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93" w:rsidRDefault="00DB78CA" w:rsidP="00C92C53">
      <w:pPr>
        <w:jc w:val="center"/>
        <w:rPr>
          <w:b/>
        </w:rPr>
      </w:pPr>
      <w:bookmarkStart w:id="0" w:name="_GoBack"/>
      <w:bookmarkEnd w:id="0"/>
      <w:r w:rsidRPr="00F86BCA">
        <w:rPr>
          <w:b/>
        </w:rPr>
        <w:t xml:space="preserve">Інформація про результати розгляду зауважень та пропозицій, наданих до проекту </w:t>
      </w:r>
      <w:r w:rsidR="00F86BCA" w:rsidRPr="00F86BCA">
        <w:rPr>
          <w:b/>
        </w:rPr>
        <w:t>рішення Комісії</w:t>
      </w:r>
    </w:p>
    <w:p w:rsidR="008A2893" w:rsidRDefault="00F86BCA" w:rsidP="00C92C53">
      <w:pPr>
        <w:jc w:val="center"/>
        <w:rPr>
          <w:b/>
        </w:rPr>
      </w:pPr>
      <w:r w:rsidRPr="00F86BCA">
        <w:rPr>
          <w:b/>
        </w:rPr>
        <w:t>«</w:t>
      </w:r>
      <w:r w:rsidRPr="00F86BCA">
        <w:rPr>
          <w:rStyle w:val="HTML"/>
          <w:b/>
          <w:sz w:val="24"/>
        </w:rPr>
        <w:t xml:space="preserve">Про подання </w:t>
      </w:r>
      <w:r w:rsidRPr="00F86BCA">
        <w:rPr>
          <w:b/>
        </w:rPr>
        <w:t>до Національної комісії з цінних паперів та фондового ринку</w:t>
      </w:r>
      <w:r w:rsidRPr="00F86BCA">
        <w:rPr>
          <w:rStyle w:val="HTML"/>
          <w:b/>
          <w:sz w:val="24"/>
        </w:rPr>
        <w:t xml:space="preserve"> інформації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w:t>
      </w:r>
      <w:r w:rsidRPr="00F86BCA">
        <w:rPr>
          <w:b/>
        </w:rPr>
        <w:t>Національна комісія з цінних паперів та фондового ринку»</w:t>
      </w:r>
      <w:r>
        <w:rPr>
          <w:b/>
        </w:rPr>
        <w:t>,</w:t>
      </w:r>
    </w:p>
    <w:p w:rsidR="00DB78CA" w:rsidRPr="008A2893" w:rsidRDefault="00DB78CA" w:rsidP="00C92C53">
      <w:pPr>
        <w:jc w:val="center"/>
        <w:rPr>
          <w:b/>
        </w:rPr>
      </w:pPr>
      <w:r w:rsidRPr="007D1D8C">
        <w:rPr>
          <w:b/>
        </w:rPr>
        <w:t xml:space="preserve">що одержані протягом строку його оприлюднення на </w:t>
      </w:r>
      <w:r w:rsidR="00FF7043" w:rsidRPr="007D1D8C">
        <w:rPr>
          <w:b/>
        </w:rPr>
        <w:t xml:space="preserve">офіційному </w:t>
      </w:r>
      <w:r w:rsidRPr="007D1D8C">
        <w:rPr>
          <w:b/>
        </w:rPr>
        <w:t>веб-сайті НКЦПФР</w:t>
      </w:r>
      <w:r w:rsidR="00235F86" w:rsidRPr="008A2893">
        <w:rPr>
          <w:b/>
        </w:rPr>
        <w:t xml:space="preserve"> (до </w:t>
      </w:r>
      <w:r w:rsidR="00C92C53" w:rsidRPr="008A2893">
        <w:rPr>
          <w:b/>
        </w:rPr>
        <w:t>0</w:t>
      </w:r>
      <w:r w:rsidR="00F86BCA" w:rsidRPr="008A2893">
        <w:rPr>
          <w:b/>
        </w:rPr>
        <w:t>5</w:t>
      </w:r>
      <w:r w:rsidR="00235F86" w:rsidRPr="008A2893">
        <w:rPr>
          <w:b/>
        </w:rPr>
        <w:t>.</w:t>
      </w:r>
      <w:r w:rsidR="00F86BCA" w:rsidRPr="008A2893">
        <w:rPr>
          <w:b/>
        </w:rPr>
        <w:t>1</w:t>
      </w:r>
      <w:r w:rsidR="00873908" w:rsidRPr="008A2893">
        <w:rPr>
          <w:b/>
        </w:rPr>
        <w:t>0.</w:t>
      </w:r>
      <w:r w:rsidR="00235F86" w:rsidRPr="008A2893">
        <w:rPr>
          <w:b/>
        </w:rPr>
        <w:t>201</w:t>
      </w:r>
      <w:r w:rsidR="00C92C53" w:rsidRPr="008A2893">
        <w:rPr>
          <w:b/>
        </w:rPr>
        <w:t>9</w:t>
      </w:r>
      <w:r w:rsidR="00235F86" w:rsidRPr="008A2893">
        <w:rPr>
          <w:b/>
        </w:rPr>
        <w:t>)</w:t>
      </w:r>
    </w:p>
    <w:p w:rsidR="00DB78CA" w:rsidRPr="008A2893" w:rsidRDefault="00DB78CA" w:rsidP="00DB78CA">
      <w:pPr>
        <w:keepNext/>
        <w:widowControl w:val="0"/>
        <w:jc w:val="center"/>
        <w:outlineLvl w:val="0"/>
        <w:rPr>
          <w:b/>
          <w:highlight w:val="green"/>
        </w:rPr>
      </w:pPr>
    </w:p>
    <w:tbl>
      <w:tblPr>
        <w:tblW w:w="518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3546"/>
        <w:gridCol w:w="4691"/>
        <w:gridCol w:w="3542"/>
        <w:gridCol w:w="2973"/>
        <w:gridCol w:w="29"/>
      </w:tblGrid>
      <w:tr w:rsidR="00C03211" w:rsidRPr="000E3495" w:rsidTr="00355A90">
        <w:trPr>
          <w:gridAfter w:val="1"/>
          <w:wAfter w:w="9" w:type="pct"/>
        </w:trPr>
        <w:tc>
          <w:tcPr>
            <w:tcW w:w="356" w:type="pct"/>
            <w:vAlign w:val="center"/>
          </w:tcPr>
          <w:p w:rsidR="00DB78CA" w:rsidRPr="000E3495" w:rsidRDefault="00DB78CA" w:rsidP="007919B0">
            <w:pPr>
              <w:jc w:val="center"/>
              <w:rPr>
                <w:b/>
              </w:rPr>
            </w:pPr>
            <w:r w:rsidRPr="000E3495">
              <w:rPr>
                <w:b/>
              </w:rPr>
              <w:t>Зміни до</w:t>
            </w:r>
          </w:p>
        </w:tc>
        <w:tc>
          <w:tcPr>
            <w:tcW w:w="1114" w:type="pct"/>
            <w:vAlign w:val="center"/>
          </w:tcPr>
          <w:p w:rsidR="00DB78CA" w:rsidRPr="000E3495" w:rsidRDefault="00DB78CA" w:rsidP="009D7F2B">
            <w:pPr>
              <w:jc w:val="center"/>
              <w:rPr>
                <w:b/>
              </w:rPr>
            </w:pPr>
            <w:r w:rsidRPr="000E3495">
              <w:rPr>
                <w:b/>
              </w:rPr>
              <w:t xml:space="preserve">Редакція </w:t>
            </w:r>
            <w:r w:rsidR="00B16506">
              <w:rPr>
                <w:b/>
              </w:rPr>
              <w:t>проекту рішення,</w:t>
            </w:r>
            <w:r w:rsidRPr="000E3495">
              <w:rPr>
                <w:b/>
              </w:rPr>
              <w:t xml:space="preserve"> схвален</w:t>
            </w:r>
            <w:r w:rsidR="00B16506">
              <w:rPr>
                <w:b/>
              </w:rPr>
              <w:t>ого</w:t>
            </w:r>
            <w:r w:rsidRPr="000E3495">
              <w:rPr>
                <w:b/>
              </w:rPr>
              <w:t xml:space="preserve"> рішенням Комісії від </w:t>
            </w:r>
            <w:r w:rsidR="009D7F2B">
              <w:rPr>
                <w:b/>
              </w:rPr>
              <w:t>0</w:t>
            </w:r>
            <w:r w:rsidR="00857B88" w:rsidRPr="000E3495">
              <w:rPr>
                <w:b/>
              </w:rPr>
              <w:t>3</w:t>
            </w:r>
            <w:r w:rsidRPr="000E3495">
              <w:rPr>
                <w:b/>
              </w:rPr>
              <w:t>.</w:t>
            </w:r>
            <w:r w:rsidR="00FF7043" w:rsidRPr="000E3495">
              <w:rPr>
                <w:b/>
              </w:rPr>
              <w:t>0</w:t>
            </w:r>
            <w:r w:rsidR="009D7F2B">
              <w:rPr>
                <w:b/>
              </w:rPr>
              <w:t>9</w:t>
            </w:r>
            <w:r w:rsidRPr="000E3495">
              <w:rPr>
                <w:b/>
              </w:rPr>
              <w:t>.201</w:t>
            </w:r>
            <w:r w:rsidR="00857B88" w:rsidRPr="000E3495">
              <w:rPr>
                <w:b/>
              </w:rPr>
              <w:t>9</w:t>
            </w:r>
            <w:r w:rsidRPr="000E3495">
              <w:rPr>
                <w:b/>
              </w:rPr>
              <w:t xml:space="preserve"> №</w:t>
            </w:r>
            <w:r w:rsidR="004A37C2" w:rsidRPr="000E3495">
              <w:rPr>
                <w:b/>
              </w:rPr>
              <w:t> </w:t>
            </w:r>
            <w:r w:rsidR="009D7F2B">
              <w:rPr>
                <w:b/>
              </w:rPr>
              <w:t>488</w:t>
            </w:r>
          </w:p>
        </w:tc>
        <w:tc>
          <w:tcPr>
            <w:tcW w:w="1474" w:type="pct"/>
            <w:vAlign w:val="center"/>
          </w:tcPr>
          <w:p w:rsidR="00DB78CA" w:rsidRPr="000E3495" w:rsidRDefault="00DB78CA" w:rsidP="006C0CAF">
            <w:pPr>
              <w:jc w:val="center"/>
              <w:rPr>
                <w:b/>
              </w:rPr>
            </w:pPr>
            <w:r w:rsidRPr="000E3495">
              <w:rPr>
                <w:b/>
              </w:rPr>
              <w:t>Пропозиції та зауваження</w:t>
            </w:r>
          </w:p>
          <w:p w:rsidR="00DB78CA" w:rsidRPr="000E3495" w:rsidRDefault="00DB78CA" w:rsidP="006C0CAF">
            <w:pPr>
              <w:jc w:val="center"/>
              <w:rPr>
                <w:b/>
              </w:rPr>
            </w:pPr>
            <w:r w:rsidRPr="000E3495">
              <w:rPr>
                <w:b/>
              </w:rPr>
              <w:t>від зацікавлених осіб</w:t>
            </w:r>
          </w:p>
        </w:tc>
        <w:tc>
          <w:tcPr>
            <w:tcW w:w="1113" w:type="pct"/>
            <w:vAlign w:val="center"/>
          </w:tcPr>
          <w:p w:rsidR="00DB78CA" w:rsidRPr="000E3495" w:rsidRDefault="00DB78CA" w:rsidP="006C0CAF">
            <w:pPr>
              <w:jc w:val="center"/>
              <w:rPr>
                <w:b/>
              </w:rPr>
            </w:pPr>
            <w:r w:rsidRPr="000E3495">
              <w:rPr>
                <w:b/>
              </w:rPr>
              <w:t>Остаточна редакція</w:t>
            </w:r>
          </w:p>
        </w:tc>
        <w:tc>
          <w:tcPr>
            <w:tcW w:w="934" w:type="pct"/>
            <w:vAlign w:val="center"/>
          </w:tcPr>
          <w:p w:rsidR="00DB78CA" w:rsidRPr="000E3495" w:rsidRDefault="00DB78CA" w:rsidP="006C0CAF">
            <w:pPr>
              <w:jc w:val="center"/>
              <w:rPr>
                <w:b/>
              </w:rPr>
            </w:pPr>
            <w:r w:rsidRPr="000E3495">
              <w:rPr>
                <w:b/>
              </w:rPr>
              <w:t xml:space="preserve">Коментарі </w:t>
            </w:r>
          </w:p>
        </w:tc>
      </w:tr>
      <w:tr w:rsidR="003D5B50" w:rsidRPr="008710F6" w:rsidTr="00355A90">
        <w:tc>
          <w:tcPr>
            <w:tcW w:w="5000" w:type="pct"/>
            <w:gridSpan w:val="6"/>
            <w:vAlign w:val="center"/>
          </w:tcPr>
          <w:p w:rsidR="004C19C9" w:rsidRPr="008710F6" w:rsidRDefault="00F726B8" w:rsidP="00F726B8">
            <w:pPr>
              <w:pStyle w:val="rvps7"/>
              <w:spacing w:before="0" w:beforeAutospacing="0" w:after="0" w:afterAutospacing="0"/>
              <w:jc w:val="center"/>
              <w:outlineLvl w:val="0"/>
              <w:rPr>
                <w:rStyle w:val="rvts15"/>
                <w:b/>
              </w:rPr>
            </w:pPr>
            <w:r>
              <w:rPr>
                <w:rStyle w:val="rvts15"/>
                <w:b/>
              </w:rPr>
              <w:t>Проект р</w:t>
            </w:r>
            <w:r w:rsidR="00755492">
              <w:rPr>
                <w:rStyle w:val="rvts15"/>
                <w:b/>
              </w:rPr>
              <w:t>ішення Комісії</w:t>
            </w:r>
          </w:p>
        </w:tc>
      </w:tr>
      <w:tr w:rsidR="00C03211" w:rsidRPr="008710F6" w:rsidTr="00355A90">
        <w:trPr>
          <w:gridAfter w:val="1"/>
          <w:wAfter w:w="9" w:type="pct"/>
        </w:trPr>
        <w:tc>
          <w:tcPr>
            <w:tcW w:w="356" w:type="pct"/>
          </w:tcPr>
          <w:p w:rsidR="00494F57" w:rsidRPr="008710F6" w:rsidRDefault="00494F57" w:rsidP="006C0CAF">
            <w:pPr>
              <w:ind w:left="-28"/>
              <w:rPr>
                <w:b/>
              </w:rPr>
            </w:pPr>
          </w:p>
          <w:p w:rsidR="00A524DB" w:rsidRPr="008710F6" w:rsidRDefault="00A524DB" w:rsidP="006C0CAF">
            <w:pPr>
              <w:jc w:val="center"/>
              <w:rPr>
                <w:b/>
                <w:sz w:val="20"/>
                <w:szCs w:val="20"/>
              </w:rPr>
            </w:pPr>
            <w:r w:rsidRPr="008710F6">
              <w:rPr>
                <w:b/>
                <w:sz w:val="20"/>
                <w:szCs w:val="20"/>
              </w:rPr>
              <w:t xml:space="preserve">пункту </w:t>
            </w:r>
            <w:r w:rsidR="009F6F61" w:rsidRPr="008710F6">
              <w:rPr>
                <w:b/>
                <w:sz w:val="20"/>
                <w:szCs w:val="20"/>
              </w:rPr>
              <w:t>2</w:t>
            </w:r>
          </w:p>
          <w:p w:rsidR="00A524DB" w:rsidRPr="008710F6" w:rsidRDefault="00A524DB" w:rsidP="006C0CAF">
            <w:pPr>
              <w:jc w:val="center"/>
              <w:rPr>
                <w:b/>
                <w:sz w:val="20"/>
                <w:szCs w:val="20"/>
              </w:rPr>
            </w:pPr>
          </w:p>
          <w:p w:rsidR="00A524DB" w:rsidRPr="008710F6" w:rsidRDefault="00A524DB" w:rsidP="006C0CAF">
            <w:pPr>
              <w:jc w:val="center"/>
              <w:rPr>
                <w:b/>
                <w:sz w:val="20"/>
                <w:szCs w:val="20"/>
              </w:rPr>
            </w:pPr>
          </w:p>
          <w:p w:rsidR="00A524DB" w:rsidRPr="008710F6" w:rsidRDefault="00A524DB" w:rsidP="006C0CAF">
            <w:pPr>
              <w:jc w:val="center"/>
              <w:rPr>
                <w:b/>
                <w:sz w:val="20"/>
                <w:szCs w:val="20"/>
              </w:rPr>
            </w:pPr>
          </w:p>
          <w:p w:rsidR="00A524DB" w:rsidRPr="008710F6" w:rsidRDefault="00A524DB" w:rsidP="006C0CAF">
            <w:pPr>
              <w:jc w:val="center"/>
              <w:rPr>
                <w:b/>
                <w:sz w:val="20"/>
                <w:szCs w:val="20"/>
              </w:rPr>
            </w:pPr>
          </w:p>
          <w:p w:rsidR="00A524DB" w:rsidRPr="008710F6" w:rsidRDefault="00A524DB" w:rsidP="006C0CAF">
            <w:pPr>
              <w:jc w:val="center"/>
              <w:rPr>
                <w:b/>
                <w:sz w:val="20"/>
                <w:szCs w:val="20"/>
              </w:rPr>
            </w:pPr>
          </w:p>
          <w:p w:rsidR="00C648DE" w:rsidRPr="008710F6" w:rsidRDefault="00C648DE" w:rsidP="006C0CAF">
            <w:pPr>
              <w:jc w:val="center"/>
              <w:rPr>
                <w:b/>
                <w:sz w:val="20"/>
                <w:szCs w:val="20"/>
              </w:rPr>
            </w:pPr>
          </w:p>
          <w:p w:rsidR="00C648DE" w:rsidRPr="008710F6" w:rsidRDefault="00C648DE" w:rsidP="006C0CAF">
            <w:pPr>
              <w:jc w:val="center"/>
              <w:rPr>
                <w:b/>
                <w:sz w:val="20"/>
                <w:szCs w:val="20"/>
              </w:rPr>
            </w:pPr>
          </w:p>
          <w:p w:rsidR="00C648DE" w:rsidRPr="008710F6" w:rsidRDefault="00C648D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FD4198" w:rsidRPr="008710F6" w:rsidRDefault="00FD4198" w:rsidP="00FF382D">
            <w:pPr>
              <w:rPr>
                <w:b/>
                <w:sz w:val="22"/>
                <w:szCs w:val="22"/>
              </w:rPr>
            </w:pPr>
          </w:p>
          <w:p w:rsidR="00FD4198" w:rsidRPr="008710F6" w:rsidRDefault="00FD4198" w:rsidP="00312C67">
            <w:pPr>
              <w:rPr>
                <w:b/>
                <w:sz w:val="22"/>
                <w:szCs w:val="22"/>
              </w:rPr>
            </w:pPr>
          </w:p>
        </w:tc>
        <w:tc>
          <w:tcPr>
            <w:tcW w:w="1114" w:type="pct"/>
          </w:tcPr>
          <w:p w:rsidR="00E4236D" w:rsidRPr="00263B35" w:rsidRDefault="00E4236D" w:rsidP="006C0CAF">
            <w:pPr>
              <w:pStyle w:val="rvps2"/>
              <w:spacing w:before="0" w:beforeAutospacing="0" w:after="0" w:afterAutospacing="0"/>
              <w:jc w:val="both"/>
            </w:pPr>
          </w:p>
          <w:p w:rsidR="005E6B2C" w:rsidRPr="00263B35" w:rsidRDefault="00101E0E" w:rsidP="006C0CAF">
            <w:pPr>
              <w:pStyle w:val="rvps2"/>
              <w:spacing w:before="0" w:beforeAutospacing="0" w:after="0" w:afterAutospacing="0"/>
              <w:jc w:val="both"/>
            </w:pPr>
            <w:r w:rsidRPr="00263B35">
              <w:t xml:space="preserve">     </w:t>
            </w:r>
            <w:r w:rsidR="009F6F61" w:rsidRPr="00263B35">
              <w:t xml:space="preserve">2. </w:t>
            </w:r>
            <w:r w:rsidR="00263B35" w:rsidRPr="00263B35">
              <w:rPr>
                <w:noProof/>
              </w:rPr>
              <w:t xml:space="preserve">Затвердити форму Інформації, що подається </w:t>
            </w:r>
            <w:r w:rsidR="00263B35" w:rsidRPr="00263B35">
              <w:t>до Національної комісії з цінних паперів та фондового ринку</w:t>
            </w:r>
            <w:r w:rsidR="00263B35" w:rsidRPr="00263B35">
              <w:rPr>
                <w:noProof/>
              </w:rPr>
              <w:t xml:space="preserve"> </w:t>
            </w:r>
            <w:r w:rsidR="00263B35" w:rsidRPr="00263B35">
              <w:rPr>
                <w:rStyle w:val="HTML"/>
                <w:sz w:val="24"/>
              </w:rPr>
              <w:t xml:space="preserve">суб’єктом аудиторської діяльності, який надає послуги з обов’язкового аудиту фінансової звітності юридичній особі, яка має тісні зв’язки з підприємством, що становить суспільний інтерес, нагляд за яким здійснює </w:t>
            </w:r>
            <w:r w:rsidR="00263B35" w:rsidRPr="00263B35">
              <w:t>Національна комісія з цінних паперів та фондового ринку</w:t>
            </w:r>
            <w:r w:rsidR="00263B35" w:rsidRPr="00263B35">
              <w:rPr>
                <w:rStyle w:val="HTML"/>
                <w:sz w:val="24"/>
              </w:rPr>
              <w:t xml:space="preserve"> (далі – Форма 2), </w:t>
            </w:r>
            <w:r w:rsidR="00263B35" w:rsidRPr="00263B35">
              <w:rPr>
                <w:spacing w:val="6"/>
              </w:rPr>
              <w:t>що додається.</w:t>
            </w:r>
          </w:p>
        </w:tc>
        <w:tc>
          <w:tcPr>
            <w:tcW w:w="1474" w:type="pct"/>
          </w:tcPr>
          <w:p w:rsidR="003500F7" w:rsidRDefault="009F6F61" w:rsidP="006C0CAF">
            <w:pPr>
              <w:jc w:val="center"/>
              <w:rPr>
                <w:b/>
                <w:u w:val="single"/>
              </w:rPr>
            </w:pPr>
            <w:r w:rsidRPr="008710F6">
              <w:rPr>
                <w:b/>
                <w:u w:val="single"/>
              </w:rPr>
              <w:t>А</w:t>
            </w:r>
            <w:r w:rsidR="003500F7">
              <w:rPr>
                <w:b/>
                <w:u w:val="single"/>
              </w:rPr>
              <w:t xml:space="preserve">удиторська палата </w:t>
            </w:r>
            <w:r w:rsidR="00755492">
              <w:rPr>
                <w:b/>
                <w:u w:val="single"/>
              </w:rPr>
              <w:t>У</w:t>
            </w:r>
            <w:r w:rsidR="003500F7">
              <w:rPr>
                <w:b/>
                <w:u w:val="single"/>
              </w:rPr>
              <w:t>країни</w:t>
            </w:r>
          </w:p>
          <w:p w:rsidR="00AE354F" w:rsidRPr="008710F6" w:rsidRDefault="003500F7" w:rsidP="006C0CAF">
            <w:pPr>
              <w:jc w:val="center"/>
              <w:rPr>
                <w:b/>
                <w:u w:val="single"/>
              </w:rPr>
            </w:pPr>
            <w:r>
              <w:rPr>
                <w:b/>
                <w:u w:val="single"/>
              </w:rPr>
              <w:t>(далі - АПУ)</w:t>
            </w:r>
          </w:p>
          <w:p w:rsidR="00BD4E1A" w:rsidRDefault="00BD4E1A" w:rsidP="006C0CAF">
            <w:pPr>
              <w:ind w:left="72" w:firstLine="324"/>
              <w:jc w:val="both"/>
            </w:pPr>
            <w:r w:rsidRPr="008710F6">
              <w:t xml:space="preserve">Пропонується </w:t>
            </w:r>
            <w:r>
              <w:t>пункт 2 проекту рішення викласти в такій редакції:</w:t>
            </w:r>
          </w:p>
          <w:p w:rsidR="00BD4E1A" w:rsidRDefault="00BD4E1A" w:rsidP="006C0CAF">
            <w:pPr>
              <w:ind w:left="72" w:firstLine="324"/>
              <w:jc w:val="both"/>
            </w:pPr>
            <w:r>
              <w:t>«</w:t>
            </w:r>
            <w:r w:rsidRPr="00263B35">
              <w:t xml:space="preserve">2. </w:t>
            </w:r>
            <w:r w:rsidRPr="00263B35">
              <w:rPr>
                <w:noProof/>
              </w:rPr>
              <w:t xml:space="preserve">Затвердити форму Інформації, що подається </w:t>
            </w:r>
            <w:r w:rsidRPr="00263B35">
              <w:t>до Національної комісії з цінних паперів та фондового ринку</w:t>
            </w:r>
            <w:r w:rsidRPr="00263B35">
              <w:rPr>
                <w:noProof/>
              </w:rPr>
              <w:t xml:space="preserve"> </w:t>
            </w:r>
            <w:r w:rsidRPr="00263B35">
              <w:rPr>
                <w:rStyle w:val="HTML"/>
                <w:sz w:val="24"/>
              </w:rPr>
              <w:t xml:space="preserve">суб’єктом аудиторської діяльності, який надає послуги з обов’язкового аудиту фінансової звітності юридичній особі, яка має тісні зв’язки з підприємством, що становить суспільний інтерес, </w:t>
            </w:r>
            <w:r w:rsidRPr="00BD4E1A">
              <w:rPr>
                <w:rStyle w:val="HTML"/>
                <w:b/>
                <w:sz w:val="24"/>
              </w:rPr>
              <w:t>обов’язковий аудит фінансової звітності якого він також проводить,</w:t>
            </w:r>
            <w:r>
              <w:rPr>
                <w:rStyle w:val="HTML"/>
                <w:sz w:val="24"/>
              </w:rPr>
              <w:t xml:space="preserve"> </w:t>
            </w:r>
            <w:r w:rsidRPr="00263B35">
              <w:rPr>
                <w:rStyle w:val="HTML"/>
                <w:sz w:val="24"/>
              </w:rPr>
              <w:t xml:space="preserve">нагляд за яким здійснює </w:t>
            </w:r>
            <w:r w:rsidRPr="00263B35">
              <w:t>Національна комісія з цінних паперів та фондового ринку</w:t>
            </w:r>
            <w:r w:rsidRPr="00263B35">
              <w:rPr>
                <w:rStyle w:val="HTML"/>
                <w:sz w:val="24"/>
              </w:rPr>
              <w:t xml:space="preserve"> (далі – Форма 2), </w:t>
            </w:r>
            <w:r w:rsidRPr="00263B35">
              <w:rPr>
                <w:spacing w:val="6"/>
              </w:rPr>
              <w:t>що додається.</w:t>
            </w:r>
          </w:p>
          <w:p w:rsidR="00EB2CE9" w:rsidRDefault="00EB2CE9" w:rsidP="006C0CAF">
            <w:pPr>
              <w:ind w:left="72" w:firstLine="324"/>
              <w:jc w:val="both"/>
            </w:pPr>
          </w:p>
          <w:p w:rsidR="002F652F" w:rsidRPr="008710F6" w:rsidRDefault="00B14642" w:rsidP="006C0CAF">
            <w:pPr>
              <w:autoSpaceDE w:val="0"/>
              <w:autoSpaceDN w:val="0"/>
              <w:adjustRightInd w:val="0"/>
              <w:jc w:val="both"/>
              <w:rPr>
                <w:b/>
              </w:rPr>
            </w:pPr>
            <w:r>
              <w:rPr>
                <w:b/>
              </w:rPr>
              <w:t xml:space="preserve">      </w:t>
            </w:r>
            <w:r w:rsidR="002F652F" w:rsidRPr="008710F6">
              <w:rPr>
                <w:b/>
              </w:rPr>
              <w:t>Обґрунтування:</w:t>
            </w:r>
          </w:p>
          <w:p w:rsidR="00263B35" w:rsidRPr="008710F6" w:rsidRDefault="009769BD" w:rsidP="00BD4E1A">
            <w:pPr>
              <w:autoSpaceDE w:val="0"/>
              <w:autoSpaceDN w:val="0"/>
              <w:adjustRightInd w:val="0"/>
              <w:jc w:val="both"/>
            </w:pPr>
            <w:r w:rsidRPr="008710F6">
              <w:t xml:space="preserve">       </w:t>
            </w:r>
            <w:r w:rsidR="00BD4E1A">
              <w:t>П</w:t>
            </w:r>
            <w:r w:rsidR="00C05D55">
              <w:t xml:space="preserve">оточна редакція Рішення, розміщеного на сайті Комісії, не </w:t>
            </w:r>
            <w:r w:rsidR="00BD4E1A">
              <w:t xml:space="preserve">містить уточнення про те, </w:t>
            </w:r>
            <w:r w:rsidR="00C05D55">
              <w:t>що інформування органу нагляду здійснюється суб’єктами аудиторської діяльності стосовно юридичної особи, що має тісні зв’язки з підприємством, що становить суспільний інтерес</w:t>
            </w:r>
            <w:r w:rsidR="00FF382D">
              <w:t xml:space="preserve">, лише у випадках, якщо </w:t>
            </w:r>
            <w:r w:rsidR="00F1757B">
              <w:t>суб’єкт</w:t>
            </w:r>
            <w:r w:rsidR="00FF382D">
              <w:t xml:space="preserve"> проводить також </w:t>
            </w:r>
            <w:r w:rsidR="00F1757B">
              <w:t>обов’язковий</w:t>
            </w:r>
            <w:r w:rsidR="00FF382D">
              <w:t xml:space="preserve"> аудит </w:t>
            </w:r>
            <w:r w:rsidR="00F1757B">
              <w:lastRenderedPageBreak/>
              <w:t>фінансової</w:t>
            </w:r>
            <w:r w:rsidR="00FF382D">
              <w:t xml:space="preserve"> звітності такого </w:t>
            </w:r>
            <w:r w:rsidR="00F1757B">
              <w:t>підприємства</w:t>
            </w:r>
            <w:r w:rsidR="00FF382D">
              <w:t>. Це може призвести до неправильного (розширеного, порівняно із Законом про аудит фінансової звітності та аудиторську діяльність в Україні) тлумачення норм Рішення.</w:t>
            </w:r>
          </w:p>
        </w:tc>
        <w:tc>
          <w:tcPr>
            <w:tcW w:w="1113" w:type="pct"/>
          </w:tcPr>
          <w:p w:rsidR="00F37439" w:rsidRPr="008710F6" w:rsidRDefault="00F37439" w:rsidP="006C0CAF">
            <w:pPr>
              <w:pStyle w:val="a6"/>
              <w:spacing w:before="0" w:beforeAutospacing="0" w:after="0" w:afterAutospacing="0"/>
              <w:ind w:firstLine="324"/>
              <w:jc w:val="both"/>
            </w:pPr>
          </w:p>
          <w:p w:rsidR="005E6B2C" w:rsidRPr="008710F6" w:rsidRDefault="00697255" w:rsidP="006C0CAF">
            <w:pPr>
              <w:ind w:left="72" w:firstLine="324"/>
              <w:jc w:val="both"/>
            </w:pPr>
            <w:r w:rsidRPr="00263B35">
              <w:t xml:space="preserve">2. </w:t>
            </w:r>
            <w:r w:rsidRPr="00263B35">
              <w:rPr>
                <w:noProof/>
              </w:rPr>
              <w:t xml:space="preserve">Затвердити форму Інформації, що подається </w:t>
            </w:r>
            <w:r w:rsidRPr="00263B35">
              <w:t>до Національної комісії з цінних паперів та фондового ринку</w:t>
            </w:r>
            <w:r w:rsidRPr="00263B35">
              <w:rPr>
                <w:noProof/>
              </w:rPr>
              <w:t xml:space="preserve"> </w:t>
            </w:r>
            <w:r w:rsidRPr="00263B35">
              <w:rPr>
                <w:rStyle w:val="HTML"/>
                <w:sz w:val="24"/>
              </w:rPr>
              <w:t xml:space="preserve">суб’єктом аудиторської діяльності, який надає послуги з обов’язкового аудиту фінансової звітності юридичній особі, яка має тісні зв’язки з підприємством, що становить суспільний інтерес, </w:t>
            </w:r>
            <w:r w:rsidRPr="006426C0">
              <w:rPr>
                <w:rStyle w:val="HTML"/>
                <w:b/>
                <w:sz w:val="24"/>
              </w:rPr>
              <w:t>обов’язковий аудит фінансової звітності якого він також проводить,</w:t>
            </w:r>
            <w:r w:rsidRPr="006426C0">
              <w:rPr>
                <w:rStyle w:val="HTML"/>
                <w:sz w:val="24"/>
              </w:rPr>
              <w:t xml:space="preserve"> нагляд</w:t>
            </w:r>
            <w:r w:rsidRPr="00263B35">
              <w:rPr>
                <w:rStyle w:val="HTML"/>
                <w:sz w:val="24"/>
              </w:rPr>
              <w:t xml:space="preserve"> за яким здійснює </w:t>
            </w:r>
            <w:r w:rsidRPr="00263B35">
              <w:t>Національна комісія з цінних паперів та фондового ринку</w:t>
            </w:r>
            <w:r w:rsidRPr="00263B35">
              <w:rPr>
                <w:rStyle w:val="HTML"/>
                <w:sz w:val="24"/>
              </w:rPr>
              <w:t xml:space="preserve"> (далі – Форма 2), </w:t>
            </w:r>
            <w:r w:rsidRPr="00263B35">
              <w:rPr>
                <w:spacing w:val="6"/>
              </w:rPr>
              <w:t>що додається.</w:t>
            </w:r>
            <w:r w:rsidR="00601950" w:rsidRPr="008710F6">
              <w:t xml:space="preserve"> </w:t>
            </w:r>
          </w:p>
        </w:tc>
        <w:tc>
          <w:tcPr>
            <w:tcW w:w="934" w:type="pct"/>
          </w:tcPr>
          <w:p w:rsidR="00312C67" w:rsidRPr="00DD0F70" w:rsidRDefault="00312C67" w:rsidP="006C0CAF">
            <w:pPr>
              <w:ind w:firstLine="324"/>
              <w:jc w:val="both"/>
              <w:rPr>
                <w:b/>
              </w:rPr>
            </w:pPr>
          </w:p>
          <w:p w:rsidR="005C15F8" w:rsidRPr="00DD0F70" w:rsidRDefault="006F32D9" w:rsidP="00DD0F70">
            <w:pPr>
              <w:ind w:firstLine="324"/>
              <w:jc w:val="both"/>
              <w:rPr>
                <w:b/>
              </w:rPr>
            </w:pPr>
            <w:r w:rsidRPr="00DD0F70">
              <w:rPr>
                <w:b/>
              </w:rPr>
              <w:t>Враховано</w:t>
            </w:r>
          </w:p>
        </w:tc>
      </w:tr>
      <w:tr w:rsidR="00C03211" w:rsidRPr="002D4608" w:rsidTr="00355A90">
        <w:trPr>
          <w:gridAfter w:val="1"/>
          <w:wAfter w:w="9" w:type="pct"/>
        </w:trPr>
        <w:tc>
          <w:tcPr>
            <w:tcW w:w="356" w:type="pct"/>
          </w:tcPr>
          <w:p w:rsidR="00932974" w:rsidRPr="004C3A0A" w:rsidRDefault="00932974" w:rsidP="006C0CAF">
            <w:pPr>
              <w:jc w:val="center"/>
              <w:rPr>
                <w:b/>
                <w:sz w:val="20"/>
                <w:szCs w:val="20"/>
              </w:rPr>
            </w:pPr>
          </w:p>
          <w:p w:rsidR="00A60F7B" w:rsidRPr="004C3A0A" w:rsidRDefault="00A60F7B" w:rsidP="006C0CAF">
            <w:pPr>
              <w:jc w:val="center"/>
              <w:rPr>
                <w:b/>
                <w:sz w:val="20"/>
                <w:szCs w:val="20"/>
              </w:rPr>
            </w:pPr>
            <w:r w:rsidRPr="004C3A0A">
              <w:rPr>
                <w:b/>
                <w:sz w:val="20"/>
                <w:szCs w:val="20"/>
              </w:rPr>
              <w:t>пункту 3</w:t>
            </w:r>
          </w:p>
          <w:p w:rsidR="00A60F7B" w:rsidRPr="004C3A0A" w:rsidRDefault="00A60F7B" w:rsidP="006C0CAF">
            <w:pPr>
              <w:ind w:left="-28"/>
              <w:rPr>
                <w:b/>
                <w:sz w:val="20"/>
                <w:szCs w:val="20"/>
              </w:rPr>
            </w:pPr>
          </w:p>
        </w:tc>
        <w:tc>
          <w:tcPr>
            <w:tcW w:w="1114" w:type="pct"/>
          </w:tcPr>
          <w:p w:rsidR="00932974" w:rsidRPr="004E6D71" w:rsidRDefault="00932974" w:rsidP="006C0CAF">
            <w:pPr>
              <w:pStyle w:val="ad"/>
              <w:jc w:val="both"/>
            </w:pPr>
          </w:p>
          <w:p w:rsidR="00A60F7B" w:rsidRPr="00893915" w:rsidRDefault="00991DED" w:rsidP="00DC6C3D">
            <w:pPr>
              <w:pStyle w:val="ad"/>
              <w:jc w:val="both"/>
            </w:pPr>
            <w:r w:rsidRPr="004E6D71">
              <w:t xml:space="preserve">    </w:t>
            </w:r>
            <w:r w:rsidR="004E6D71" w:rsidRPr="004E6D71">
              <w:t xml:space="preserve">3. </w:t>
            </w:r>
            <w:r w:rsidR="004E6D71" w:rsidRPr="004E6D71">
              <w:rPr>
                <w:noProof/>
              </w:rPr>
              <w:t xml:space="preserve">Встановити, що </w:t>
            </w:r>
            <w:r w:rsidR="004E6D71" w:rsidRPr="004E6D71">
              <w:t xml:space="preserve">суб’єкт аудиторської діяльності зобов’язаний подавати до Національної комісії з цінних паперів та фондового ринку інформацію відповідно до Форми 1 та Форми 2, які передбачені додатком до цього рішення, в електронному вигляді не пізніше </w:t>
            </w:r>
            <w:r w:rsidR="004E6D71" w:rsidRPr="004E6D71">
              <w:rPr>
                <w:b/>
              </w:rPr>
              <w:t>закінчення наступного робочого дня після дати виявлення фактів, зазначених у Формі 1 та Формі 2 додатка до рішення</w:t>
            </w:r>
            <w:r w:rsidR="004E6D71" w:rsidRPr="004E6D71">
              <w:t>.</w:t>
            </w:r>
            <w:r w:rsidR="00A60F7B" w:rsidRPr="00893915">
              <w:t xml:space="preserve"> </w:t>
            </w:r>
          </w:p>
        </w:tc>
        <w:tc>
          <w:tcPr>
            <w:tcW w:w="1474" w:type="pct"/>
          </w:tcPr>
          <w:p w:rsidR="00DC6C3D" w:rsidRDefault="00DC6C3D" w:rsidP="00DC6C3D">
            <w:pPr>
              <w:jc w:val="center"/>
              <w:rPr>
                <w:b/>
                <w:u w:val="single"/>
              </w:rPr>
            </w:pPr>
            <w:r w:rsidRPr="008710F6">
              <w:rPr>
                <w:b/>
                <w:u w:val="single"/>
              </w:rPr>
              <w:t>А</w:t>
            </w:r>
            <w:r>
              <w:rPr>
                <w:b/>
                <w:u w:val="single"/>
              </w:rPr>
              <w:t>ПУ</w:t>
            </w:r>
          </w:p>
          <w:p w:rsidR="00652CB1" w:rsidRDefault="00991DED" w:rsidP="00652CB1">
            <w:pPr>
              <w:ind w:left="72" w:firstLine="324"/>
              <w:jc w:val="both"/>
            </w:pPr>
            <w:r w:rsidRPr="00893915">
              <w:rPr>
                <w:color w:val="000000"/>
              </w:rPr>
              <w:t xml:space="preserve">   </w:t>
            </w:r>
            <w:r w:rsidR="00652CB1" w:rsidRPr="008710F6">
              <w:t xml:space="preserve">Пропонується </w:t>
            </w:r>
            <w:r w:rsidR="00652CB1">
              <w:t xml:space="preserve">визначити інший термін подання інформації </w:t>
            </w:r>
            <w:r w:rsidR="00857FF6">
              <w:t>суб’єктом</w:t>
            </w:r>
            <w:r w:rsidR="00652CB1">
              <w:t xml:space="preserve"> аудиторської діяльності до Комісії та викласти пункт 3 </w:t>
            </w:r>
            <w:r w:rsidR="00CE53F7">
              <w:t xml:space="preserve">проекту </w:t>
            </w:r>
            <w:r w:rsidR="00652CB1">
              <w:t>рішення в такій редакції:</w:t>
            </w:r>
          </w:p>
          <w:p w:rsidR="00A60F7B" w:rsidRPr="00893915" w:rsidRDefault="008D4D26" w:rsidP="008D4D26">
            <w:pPr>
              <w:ind w:left="72" w:firstLine="324"/>
              <w:jc w:val="both"/>
            </w:pPr>
            <w:r>
              <w:t xml:space="preserve"> </w:t>
            </w:r>
            <w:r w:rsidR="00652CB1">
              <w:t>«</w:t>
            </w:r>
            <w:r w:rsidRPr="004E6D71">
              <w:t xml:space="preserve">3. </w:t>
            </w:r>
            <w:r w:rsidRPr="004E6D71">
              <w:rPr>
                <w:noProof/>
              </w:rPr>
              <w:t xml:space="preserve">Встановити, що </w:t>
            </w:r>
            <w:r w:rsidRPr="004E6D71">
              <w:t xml:space="preserve">суб’єкт аудиторської діяльності зобов’язаний подавати до Національної комісії з цінних паперів та фондового ринку інформацію відповідно до Форми 1 та Форми 2, які передбачені додатком до цього рішення, в електронному вигляді не пізніше </w:t>
            </w:r>
            <w:r w:rsidR="00490C44" w:rsidRPr="00490C44">
              <w:rPr>
                <w:b/>
              </w:rPr>
              <w:t>десяти робочих днів після дати аудиторського звіту</w:t>
            </w:r>
            <w:r>
              <w:rPr>
                <w:b/>
              </w:rPr>
              <w:t>.</w:t>
            </w:r>
            <w:r w:rsidR="00652CB1" w:rsidRPr="00EB2CE9">
              <w:t>».</w:t>
            </w:r>
          </w:p>
        </w:tc>
        <w:tc>
          <w:tcPr>
            <w:tcW w:w="1113" w:type="pct"/>
          </w:tcPr>
          <w:p w:rsidR="00724479" w:rsidRPr="00893915" w:rsidRDefault="00724479" w:rsidP="009F7253">
            <w:pPr>
              <w:pStyle w:val="ad"/>
              <w:jc w:val="both"/>
            </w:pPr>
          </w:p>
          <w:p w:rsidR="00A60F7B" w:rsidRPr="00893915" w:rsidRDefault="00991DED" w:rsidP="003C519B">
            <w:pPr>
              <w:pStyle w:val="ad"/>
              <w:jc w:val="both"/>
            </w:pPr>
            <w:r w:rsidRPr="00893915">
              <w:t xml:space="preserve">      </w:t>
            </w:r>
            <w:r w:rsidR="008D4D26" w:rsidRPr="004E6D71">
              <w:t xml:space="preserve">3. </w:t>
            </w:r>
            <w:r w:rsidR="008D4D26" w:rsidRPr="004E6D71">
              <w:rPr>
                <w:noProof/>
              </w:rPr>
              <w:t xml:space="preserve">Встановити, що </w:t>
            </w:r>
            <w:r w:rsidR="008D4D26" w:rsidRPr="004E6D71">
              <w:t>суб’єкт аудиторської</w:t>
            </w:r>
            <w:r w:rsidR="00644165">
              <w:t xml:space="preserve"> </w:t>
            </w:r>
            <w:r w:rsidR="008D4D26" w:rsidRPr="004E6D71">
              <w:t xml:space="preserve">діяльності зобов’язаний подавати до Національної комісії з цінних паперів та фондового ринку інформацію відповідно до Форми 1 та Форми 2, які передбачені додатком до цього рішення, в електронному вигляді не пізніше </w:t>
            </w:r>
            <w:r w:rsidR="00EA0B23" w:rsidRPr="004E6D71">
              <w:rPr>
                <w:b/>
              </w:rPr>
              <w:t xml:space="preserve">закінчення </w:t>
            </w:r>
            <w:r w:rsidR="003C519B">
              <w:rPr>
                <w:b/>
              </w:rPr>
              <w:t>третього</w:t>
            </w:r>
            <w:r w:rsidR="00EA0B23" w:rsidRPr="004E6D71">
              <w:rPr>
                <w:b/>
              </w:rPr>
              <w:t xml:space="preserve"> робочого дня після дати виявлення фактів, зазначених у Формі 1 та Формі 2 додатка до рішення</w:t>
            </w:r>
            <w:r w:rsidR="00EA0B23" w:rsidRPr="004E6D71">
              <w:t>.</w:t>
            </w:r>
          </w:p>
        </w:tc>
        <w:tc>
          <w:tcPr>
            <w:tcW w:w="934" w:type="pct"/>
          </w:tcPr>
          <w:p w:rsidR="00A60F7B" w:rsidRPr="009242FA" w:rsidRDefault="00A60F7B" w:rsidP="006C0CAF">
            <w:pPr>
              <w:ind w:firstLine="324"/>
              <w:jc w:val="both"/>
              <w:rPr>
                <w:b/>
              </w:rPr>
            </w:pPr>
          </w:p>
          <w:p w:rsidR="00DC6C3D" w:rsidRPr="009242FA" w:rsidRDefault="003F7A03" w:rsidP="00DC6C3D">
            <w:pPr>
              <w:ind w:firstLine="324"/>
              <w:jc w:val="both"/>
              <w:rPr>
                <w:b/>
              </w:rPr>
            </w:pPr>
            <w:r>
              <w:rPr>
                <w:b/>
              </w:rPr>
              <w:t>Частково в</w:t>
            </w:r>
            <w:r w:rsidR="00DC6C3D" w:rsidRPr="009242FA">
              <w:rPr>
                <w:b/>
              </w:rPr>
              <w:t>раховано</w:t>
            </w:r>
          </w:p>
          <w:p w:rsidR="00241C0D" w:rsidRPr="009242FA" w:rsidRDefault="00F3447C" w:rsidP="00961338">
            <w:pPr>
              <w:ind w:firstLine="324"/>
              <w:jc w:val="both"/>
              <w:rPr>
                <w:b/>
              </w:rPr>
            </w:pPr>
            <w:r w:rsidRPr="009242FA">
              <w:t xml:space="preserve">Зазначений </w:t>
            </w:r>
            <w:r w:rsidR="004C160B" w:rsidRPr="009242FA">
              <w:t xml:space="preserve">у проекті рішення Комісії </w:t>
            </w:r>
            <w:r w:rsidRPr="009242FA">
              <w:t xml:space="preserve">термін </w:t>
            </w:r>
            <w:r w:rsidR="00961338">
              <w:t xml:space="preserve">сприятиме якнайшвидшому </w:t>
            </w:r>
            <w:r w:rsidR="004C160B" w:rsidRPr="009242FA">
              <w:t xml:space="preserve">реагуванню на </w:t>
            </w:r>
            <w:r w:rsidR="004C160B">
              <w:t xml:space="preserve">виявлені </w:t>
            </w:r>
            <w:r w:rsidR="004C160B" w:rsidRPr="009242FA">
              <w:t>порушення зі сторони регулятора</w:t>
            </w:r>
            <w:r w:rsidR="004C160B">
              <w:t xml:space="preserve"> і, таким чином,</w:t>
            </w:r>
            <w:r w:rsidR="004C160B" w:rsidRPr="009242FA">
              <w:t xml:space="preserve"> </w:t>
            </w:r>
            <w:r w:rsidR="004C160B">
              <w:t>захисту прав інвесторів</w:t>
            </w:r>
            <w:r w:rsidRPr="009242FA">
              <w:t>.</w:t>
            </w:r>
          </w:p>
        </w:tc>
      </w:tr>
      <w:tr w:rsidR="00C03211" w:rsidRPr="00267163" w:rsidTr="00355A90">
        <w:tc>
          <w:tcPr>
            <w:tcW w:w="356" w:type="pct"/>
            <w:vAlign w:val="center"/>
          </w:tcPr>
          <w:p w:rsidR="00F726B8" w:rsidRPr="00267163" w:rsidRDefault="00F726B8" w:rsidP="007919B0">
            <w:pPr>
              <w:jc w:val="center"/>
              <w:rPr>
                <w:b/>
                <w:sz w:val="20"/>
                <w:szCs w:val="20"/>
              </w:rPr>
            </w:pPr>
            <w:r w:rsidRPr="00267163">
              <w:rPr>
                <w:b/>
                <w:sz w:val="20"/>
                <w:szCs w:val="20"/>
              </w:rPr>
              <w:t>Форми 1</w:t>
            </w:r>
          </w:p>
        </w:tc>
        <w:tc>
          <w:tcPr>
            <w:tcW w:w="4644" w:type="pct"/>
            <w:gridSpan w:val="5"/>
            <w:vAlign w:val="center"/>
          </w:tcPr>
          <w:p w:rsidR="00E9541F" w:rsidRPr="00267163" w:rsidRDefault="00441F0D" w:rsidP="00441F0D">
            <w:pPr>
              <w:jc w:val="center"/>
              <w:rPr>
                <w:rStyle w:val="HTML"/>
                <w:b/>
                <w:sz w:val="24"/>
              </w:rPr>
            </w:pPr>
            <w:r w:rsidRPr="00267163">
              <w:rPr>
                <w:rStyle w:val="HTML"/>
                <w:b/>
                <w:sz w:val="24"/>
              </w:rPr>
              <w:t xml:space="preserve">Інформація, що подається </w:t>
            </w:r>
            <w:r w:rsidRPr="00267163">
              <w:rPr>
                <w:b/>
              </w:rPr>
              <w:t>до Національної комісії з цінних паперів та фондового ринку</w:t>
            </w:r>
          </w:p>
          <w:p w:rsidR="00E9541F" w:rsidRPr="00267163" w:rsidRDefault="00441F0D" w:rsidP="00E9541F">
            <w:pPr>
              <w:jc w:val="center"/>
              <w:rPr>
                <w:rStyle w:val="HTML"/>
                <w:b/>
                <w:sz w:val="24"/>
              </w:rPr>
            </w:pPr>
            <w:r w:rsidRPr="00267163">
              <w:rPr>
                <w:rStyle w:val="HTML"/>
                <w:b/>
                <w:sz w:val="24"/>
              </w:rPr>
              <w:t>суб’єктом аудиторської діяльності, який надає послуги з обов’язкового аудиту фінансової звітності</w:t>
            </w:r>
          </w:p>
          <w:p w:rsidR="00E9541F" w:rsidRPr="00267163" w:rsidRDefault="00441F0D" w:rsidP="00E9541F">
            <w:pPr>
              <w:jc w:val="center"/>
              <w:rPr>
                <w:rStyle w:val="HTML"/>
                <w:b/>
                <w:sz w:val="24"/>
              </w:rPr>
            </w:pPr>
            <w:r w:rsidRPr="00267163">
              <w:rPr>
                <w:rStyle w:val="HTML"/>
                <w:b/>
                <w:sz w:val="24"/>
              </w:rPr>
              <w:t>підприємству,</w:t>
            </w:r>
            <w:r w:rsidR="00E9541F" w:rsidRPr="00267163">
              <w:rPr>
                <w:rStyle w:val="HTML"/>
                <w:b/>
                <w:sz w:val="24"/>
              </w:rPr>
              <w:t xml:space="preserve"> </w:t>
            </w:r>
            <w:r w:rsidRPr="00267163">
              <w:rPr>
                <w:rStyle w:val="HTML"/>
                <w:b/>
                <w:sz w:val="24"/>
              </w:rPr>
              <w:t>що становить суспільний інтерес,</w:t>
            </w:r>
            <w:r w:rsidR="00E9541F" w:rsidRPr="00267163">
              <w:rPr>
                <w:rStyle w:val="HTML"/>
                <w:b/>
                <w:sz w:val="24"/>
              </w:rPr>
              <w:t xml:space="preserve"> </w:t>
            </w:r>
            <w:r w:rsidRPr="00267163">
              <w:rPr>
                <w:rStyle w:val="HTML"/>
                <w:b/>
                <w:sz w:val="24"/>
              </w:rPr>
              <w:t>нагляд за яким здійснює</w:t>
            </w:r>
          </w:p>
          <w:p w:rsidR="00F726B8" w:rsidRPr="00267163" w:rsidRDefault="00441F0D" w:rsidP="00E9541F">
            <w:pPr>
              <w:jc w:val="center"/>
              <w:rPr>
                <w:b/>
              </w:rPr>
            </w:pPr>
            <w:r w:rsidRPr="00267163">
              <w:rPr>
                <w:b/>
              </w:rPr>
              <w:t>Національна комісія з цінних паперів та фондового ринку</w:t>
            </w:r>
          </w:p>
        </w:tc>
      </w:tr>
      <w:tr w:rsidR="00C03211" w:rsidRPr="006242B3" w:rsidTr="00355A90">
        <w:trPr>
          <w:gridAfter w:val="1"/>
          <w:wAfter w:w="9" w:type="pct"/>
        </w:trPr>
        <w:tc>
          <w:tcPr>
            <w:tcW w:w="356" w:type="pct"/>
          </w:tcPr>
          <w:p w:rsidR="007919B0" w:rsidRDefault="007919B0" w:rsidP="007919B0">
            <w:pPr>
              <w:ind w:left="-28"/>
              <w:jc w:val="center"/>
              <w:rPr>
                <w:b/>
                <w:sz w:val="20"/>
                <w:szCs w:val="20"/>
              </w:rPr>
            </w:pPr>
          </w:p>
          <w:p w:rsidR="0019150D" w:rsidRPr="006C0B52" w:rsidRDefault="0090074B" w:rsidP="007919B0">
            <w:pPr>
              <w:ind w:left="-28"/>
              <w:jc w:val="center"/>
              <w:rPr>
                <w:b/>
                <w:sz w:val="20"/>
                <w:szCs w:val="20"/>
              </w:rPr>
            </w:pPr>
            <w:r w:rsidRPr="006C0B52">
              <w:rPr>
                <w:b/>
                <w:sz w:val="20"/>
                <w:szCs w:val="20"/>
              </w:rPr>
              <w:t>рядк</w:t>
            </w:r>
            <w:r w:rsidR="001D371E" w:rsidRPr="006C0B52">
              <w:rPr>
                <w:b/>
                <w:sz w:val="20"/>
                <w:szCs w:val="20"/>
              </w:rPr>
              <w:t>ів</w:t>
            </w:r>
            <w:r w:rsidRPr="006C0B52">
              <w:rPr>
                <w:b/>
                <w:sz w:val="20"/>
                <w:szCs w:val="20"/>
              </w:rPr>
              <w:t xml:space="preserve"> дев’ятого</w:t>
            </w:r>
            <w:r w:rsidR="001D371E" w:rsidRPr="006C0B52">
              <w:rPr>
                <w:b/>
                <w:sz w:val="20"/>
                <w:szCs w:val="20"/>
              </w:rPr>
              <w:t xml:space="preserve"> та десятого </w:t>
            </w:r>
            <w:r w:rsidRPr="006C0B52">
              <w:rPr>
                <w:b/>
                <w:sz w:val="20"/>
                <w:szCs w:val="20"/>
              </w:rPr>
              <w:t>таблиці</w:t>
            </w:r>
          </w:p>
        </w:tc>
        <w:tc>
          <w:tcPr>
            <w:tcW w:w="1114" w:type="pct"/>
          </w:tcPr>
          <w:p w:rsidR="00355A90" w:rsidRDefault="00355A90" w:rsidP="008F4098">
            <w:pPr>
              <w:tabs>
                <w:tab w:val="left" w:pos="-3780"/>
              </w:tabs>
              <w:jc w:val="both"/>
              <w:rPr>
                <w:b/>
                <w:highlight w:val="cyan"/>
              </w:rPr>
            </w:pPr>
          </w:p>
          <w:tbl>
            <w:tblPr>
              <w:tblpPr w:leftFromText="180" w:rightFromText="180" w:vertAnchor="text" w:horzAnchor="margin" w:tblpY="-84"/>
              <w:tblOverlap w:val="neve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3"/>
              <w:gridCol w:w="1417"/>
            </w:tblGrid>
            <w:tr w:rsidR="00045BA4" w:rsidRPr="00190F99" w:rsidTr="00355A90">
              <w:tc>
                <w:tcPr>
                  <w:tcW w:w="846" w:type="dxa"/>
                  <w:tcBorders>
                    <w:top w:val="single" w:sz="4" w:space="0" w:color="auto"/>
                    <w:left w:val="single" w:sz="4" w:space="0" w:color="auto"/>
                    <w:bottom w:val="single" w:sz="4" w:space="0" w:color="auto"/>
                    <w:right w:val="single" w:sz="4" w:space="0" w:color="auto"/>
                  </w:tcBorders>
                </w:tcPr>
                <w:p w:rsidR="00045BA4" w:rsidRPr="00190F99" w:rsidRDefault="00045BA4" w:rsidP="00045BA4">
                  <w:pPr>
                    <w:jc w:val="center"/>
                  </w:pPr>
                  <w:r>
                    <w:t>Тип події</w:t>
                  </w:r>
                  <w:r w:rsidRPr="007971EF">
                    <w:rPr>
                      <w:vertAlign w:val="superscript"/>
                    </w:rPr>
                    <w:t>1</w:t>
                  </w:r>
                </w:p>
              </w:tc>
              <w:tc>
                <w:tcPr>
                  <w:tcW w:w="993" w:type="dxa"/>
                  <w:tcBorders>
                    <w:top w:val="single" w:sz="4" w:space="0" w:color="auto"/>
                    <w:left w:val="single" w:sz="4" w:space="0" w:color="auto"/>
                    <w:bottom w:val="single" w:sz="4" w:space="0" w:color="auto"/>
                    <w:right w:val="single" w:sz="4" w:space="0" w:color="auto"/>
                  </w:tcBorders>
                </w:tcPr>
                <w:p w:rsidR="00045BA4" w:rsidRPr="00F7652D" w:rsidRDefault="00045BA4" w:rsidP="00045BA4">
                  <w:pPr>
                    <w:jc w:val="center"/>
                    <w:rPr>
                      <w:b/>
                    </w:rPr>
                  </w:pPr>
                  <w:r w:rsidRPr="00F7652D">
                    <w:rPr>
                      <w:b/>
                    </w:rPr>
                    <w:t>Дата виявлення</w:t>
                  </w:r>
                </w:p>
              </w:tc>
              <w:tc>
                <w:tcPr>
                  <w:tcW w:w="1417" w:type="dxa"/>
                  <w:tcBorders>
                    <w:top w:val="single" w:sz="4" w:space="0" w:color="auto"/>
                    <w:left w:val="single" w:sz="4" w:space="0" w:color="auto"/>
                    <w:bottom w:val="single" w:sz="4" w:space="0" w:color="auto"/>
                    <w:right w:val="single" w:sz="4" w:space="0" w:color="auto"/>
                  </w:tcBorders>
                </w:tcPr>
                <w:p w:rsidR="00045BA4" w:rsidRPr="00F7652D" w:rsidRDefault="00045BA4" w:rsidP="00045BA4">
                  <w:pPr>
                    <w:jc w:val="center"/>
                    <w:rPr>
                      <w:b/>
                    </w:rPr>
                  </w:pPr>
                  <w:r w:rsidRPr="00F7652D">
                    <w:rPr>
                      <w:b/>
                    </w:rPr>
                    <w:t>Опис події</w:t>
                  </w:r>
                </w:p>
              </w:tc>
            </w:tr>
            <w:tr w:rsidR="00045BA4" w:rsidRPr="00190F99" w:rsidTr="00355A90">
              <w:tc>
                <w:tcPr>
                  <w:tcW w:w="846" w:type="dxa"/>
                  <w:tcBorders>
                    <w:top w:val="single" w:sz="4" w:space="0" w:color="auto"/>
                    <w:left w:val="single" w:sz="4" w:space="0" w:color="auto"/>
                    <w:bottom w:val="single" w:sz="4" w:space="0" w:color="auto"/>
                    <w:right w:val="single" w:sz="4" w:space="0" w:color="auto"/>
                  </w:tcBorders>
                </w:tcPr>
                <w:p w:rsidR="00045BA4" w:rsidRPr="00190F99" w:rsidRDefault="00045BA4" w:rsidP="00045BA4">
                  <w:pPr>
                    <w:jc w:val="center"/>
                    <w:rPr>
                      <w:i/>
                    </w:rPr>
                  </w:pPr>
                  <w:r w:rsidRPr="00190F99">
                    <w:rPr>
                      <w:i/>
                    </w:rPr>
                    <w:t>(класифікатор)</w:t>
                  </w:r>
                </w:p>
              </w:tc>
              <w:tc>
                <w:tcPr>
                  <w:tcW w:w="993" w:type="dxa"/>
                  <w:tcBorders>
                    <w:top w:val="single" w:sz="4" w:space="0" w:color="auto"/>
                    <w:left w:val="single" w:sz="4" w:space="0" w:color="auto"/>
                    <w:bottom w:val="single" w:sz="4" w:space="0" w:color="auto"/>
                    <w:right w:val="single" w:sz="4" w:space="0" w:color="auto"/>
                  </w:tcBorders>
                </w:tcPr>
                <w:p w:rsidR="00045BA4" w:rsidRPr="00633E5A" w:rsidRDefault="00045BA4" w:rsidP="00045BA4">
                  <w:pPr>
                    <w:jc w:val="center"/>
                    <w:rPr>
                      <w:i/>
                    </w:rPr>
                  </w:pPr>
                  <w:r w:rsidRPr="00633E5A">
                    <w:rPr>
                      <w:i/>
                    </w:rPr>
                    <w:t>(дата)</w:t>
                  </w:r>
                </w:p>
              </w:tc>
              <w:tc>
                <w:tcPr>
                  <w:tcW w:w="1417" w:type="dxa"/>
                  <w:tcBorders>
                    <w:top w:val="single" w:sz="4" w:space="0" w:color="auto"/>
                    <w:left w:val="single" w:sz="4" w:space="0" w:color="auto"/>
                    <w:bottom w:val="single" w:sz="4" w:space="0" w:color="auto"/>
                    <w:right w:val="single" w:sz="4" w:space="0" w:color="auto"/>
                  </w:tcBorders>
                </w:tcPr>
                <w:p w:rsidR="00045BA4" w:rsidRPr="00F7652D" w:rsidRDefault="00045BA4" w:rsidP="00045BA4">
                  <w:pPr>
                    <w:jc w:val="center"/>
                    <w:rPr>
                      <w:b/>
                      <w:i/>
                    </w:rPr>
                  </w:pPr>
                  <w:r w:rsidRPr="00F7652D">
                    <w:rPr>
                      <w:b/>
                      <w:i/>
                    </w:rPr>
                    <w:t>(інформація про подію із</w:t>
                  </w:r>
                  <w:r>
                    <w:rPr>
                      <w:b/>
                      <w:i/>
                    </w:rPr>
                    <w:t xml:space="preserve"> </w:t>
                  </w:r>
                  <w:r w:rsidRPr="00F7652D">
                    <w:rPr>
                      <w:b/>
                      <w:i/>
                    </w:rPr>
                    <w:t>зазначенням питань, що призвели до події)</w:t>
                  </w:r>
                </w:p>
              </w:tc>
            </w:tr>
          </w:tbl>
          <w:p w:rsidR="00111013" w:rsidRPr="006242B3" w:rsidRDefault="00111013" w:rsidP="008F4098">
            <w:pPr>
              <w:tabs>
                <w:tab w:val="left" w:pos="-3780"/>
              </w:tabs>
              <w:jc w:val="both"/>
              <w:rPr>
                <w:b/>
                <w:highlight w:val="cyan"/>
              </w:rPr>
            </w:pPr>
          </w:p>
        </w:tc>
        <w:tc>
          <w:tcPr>
            <w:tcW w:w="1474" w:type="pct"/>
          </w:tcPr>
          <w:p w:rsidR="00111013" w:rsidRPr="00BF2ED1" w:rsidRDefault="0019150D" w:rsidP="00111013">
            <w:pPr>
              <w:jc w:val="center"/>
              <w:rPr>
                <w:b/>
                <w:u w:val="single"/>
              </w:rPr>
            </w:pPr>
            <w:r w:rsidRPr="00BF2ED1">
              <w:rPr>
                <w:color w:val="000000"/>
              </w:rPr>
              <w:t xml:space="preserve">          </w:t>
            </w:r>
            <w:r w:rsidR="00111013" w:rsidRPr="00BF2ED1">
              <w:rPr>
                <w:b/>
                <w:u w:val="single"/>
              </w:rPr>
              <w:t>АПУ</w:t>
            </w:r>
          </w:p>
          <w:p w:rsidR="0019150D" w:rsidRPr="00BF2ED1" w:rsidRDefault="009E1B3F" w:rsidP="00111013">
            <w:pPr>
              <w:autoSpaceDE w:val="0"/>
              <w:autoSpaceDN w:val="0"/>
              <w:adjustRightInd w:val="0"/>
              <w:jc w:val="both"/>
              <w:rPr>
                <w:color w:val="000000"/>
              </w:rPr>
            </w:pPr>
            <w:r w:rsidRPr="00BF2ED1">
              <w:t xml:space="preserve">           </w:t>
            </w:r>
            <w:r w:rsidR="00111013" w:rsidRPr="00BF2ED1">
              <w:t xml:space="preserve">Пропонується </w:t>
            </w:r>
            <w:r w:rsidR="006C0B52" w:rsidRPr="00BF2ED1">
              <w:t>рядки дев’ятий та десятий таблиці викласти в такій редакції</w:t>
            </w:r>
            <w:r w:rsidR="0019150D" w:rsidRPr="00BF2ED1">
              <w:rPr>
                <w:color w:val="000000"/>
              </w:rPr>
              <w:t>:</w:t>
            </w:r>
          </w:p>
          <w:p w:rsidR="006C0B52" w:rsidRPr="00BF2ED1" w:rsidRDefault="000815BE" w:rsidP="00111013">
            <w:pPr>
              <w:autoSpaceDE w:val="0"/>
              <w:autoSpaceDN w:val="0"/>
              <w:adjustRightInd w:val="0"/>
              <w:jc w:val="both"/>
              <w:rPr>
                <w:color w:val="000000"/>
              </w:rPr>
            </w:pPr>
            <w:r w:rsidRPr="00BF2ED1">
              <w:rPr>
                <w:color w:val="000000"/>
              </w:rPr>
              <w:t xml:space="preserve">                                                                            </w:t>
            </w:r>
          </w:p>
          <w:tbl>
            <w:tblPr>
              <w:tblpPr w:leftFromText="180" w:rightFromText="180" w:vertAnchor="text" w:horzAnchor="margin" w:tblpXSpec="center" w:tblpY="-57"/>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tblGrid>
            <w:tr w:rsidR="000815BE" w:rsidRPr="00BF2ED1" w:rsidTr="008D277D">
              <w:tc>
                <w:tcPr>
                  <w:tcW w:w="1129" w:type="dxa"/>
                  <w:tcBorders>
                    <w:top w:val="single" w:sz="4" w:space="0" w:color="auto"/>
                    <w:left w:val="single" w:sz="4" w:space="0" w:color="auto"/>
                    <w:bottom w:val="single" w:sz="4" w:space="0" w:color="auto"/>
                    <w:right w:val="single" w:sz="4" w:space="0" w:color="auto"/>
                  </w:tcBorders>
                </w:tcPr>
                <w:p w:rsidR="000815BE" w:rsidRPr="00BF2ED1" w:rsidRDefault="000815BE" w:rsidP="000815BE">
                  <w:pPr>
                    <w:jc w:val="center"/>
                  </w:pPr>
                  <w:r w:rsidRPr="00BF2ED1">
                    <w:t>Тип події</w:t>
                  </w:r>
                  <w:r w:rsidRPr="00BF2ED1">
                    <w:rPr>
                      <w:vertAlign w:val="superscript"/>
                    </w:rPr>
                    <w:t>1</w:t>
                  </w:r>
                </w:p>
              </w:tc>
              <w:tc>
                <w:tcPr>
                  <w:tcW w:w="2410" w:type="dxa"/>
                  <w:tcBorders>
                    <w:top w:val="single" w:sz="4" w:space="0" w:color="auto"/>
                    <w:left w:val="single" w:sz="4" w:space="0" w:color="auto"/>
                    <w:bottom w:val="single" w:sz="4" w:space="0" w:color="auto"/>
                    <w:right w:val="single" w:sz="4" w:space="0" w:color="auto"/>
                  </w:tcBorders>
                </w:tcPr>
                <w:p w:rsidR="000815BE" w:rsidRPr="000B0173" w:rsidRDefault="000815BE" w:rsidP="000815BE">
                  <w:pPr>
                    <w:jc w:val="center"/>
                    <w:rPr>
                      <w:b/>
                    </w:rPr>
                  </w:pPr>
                  <w:r w:rsidRPr="000B0173">
                    <w:rPr>
                      <w:b/>
                    </w:rPr>
                    <w:t>Дата</w:t>
                  </w:r>
                </w:p>
                <w:p w:rsidR="000815BE" w:rsidRPr="00BF2ED1" w:rsidRDefault="000815BE" w:rsidP="000815BE">
                  <w:pPr>
                    <w:jc w:val="center"/>
                  </w:pPr>
                  <w:r w:rsidRPr="000B0173">
                    <w:rPr>
                      <w:b/>
                    </w:rPr>
                    <w:t>аудиторського звіту</w:t>
                  </w:r>
                </w:p>
              </w:tc>
            </w:tr>
            <w:tr w:rsidR="000815BE" w:rsidRPr="00BF2ED1" w:rsidTr="008D277D">
              <w:tc>
                <w:tcPr>
                  <w:tcW w:w="1129" w:type="dxa"/>
                  <w:tcBorders>
                    <w:top w:val="single" w:sz="4" w:space="0" w:color="auto"/>
                    <w:left w:val="single" w:sz="4" w:space="0" w:color="auto"/>
                    <w:bottom w:val="single" w:sz="4" w:space="0" w:color="auto"/>
                    <w:right w:val="single" w:sz="4" w:space="0" w:color="auto"/>
                  </w:tcBorders>
                </w:tcPr>
                <w:p w:rsidR="000815BE" w:rsidRPr="00BF2ED1" w:rsidRDefault="000815BE" w:rsidP="008D277D">
                  <w:pPr>
                    <w:jc w:val="center"/>
                    <w:rPr>
                      <w:i/>
                    </w:rPr>
                  </w:pPr>
                  <w:r w:rsidRPr="00BF2ED1">
                    <w:rPr>
                      <w:i/>
                    </w:rPr>
                    <w:t>(класифікатор)</w:t>
                  </w:r>
                </w:p>
              </w:tc>
              <w:tc>
                <w:tcPr>
                  <w:tcW w:w="2410" w:type="dxa"/>
                  <w:tcBorders>
                    <w:top w:val="single" w:sz="4" w:space="0" w:color="auto"/>
                    <w:left w:val="single" w:sz="4" w:space="0" w:color="auto"/>
                    <w:bottom w:val="single" w:sz="4" w:space="0" w:color="auto"/>
                    <w:right w:val="single" w:sz="4" w:space="0" w:color="auto"/>
                  </w:tcBorders>
                </w:tcPr>
                <w:p w:rsidR="000815BE" w:rsidRPr="00BF2ED1" w:rsidRDefault="000815BE" w:rsidP="000815BE">
                  <w:pPr>
                    <w:jc w:val="center"/>
                    <w:rPr>
                      <w:i/>
                    </w:rPr>
                  </w:pPr>
                  <w:r w:rsidRPr="00BF2ED1">
                    <w:rPr>
                      <w:i/>
                    </w:rPr>
                    <w:t>(дата)</w:t>
                  </w:r>
                </w:p>
              </w:tc>
            </w:tr>
          </w:tbl>
          <w:p w:rsidR="009E1B3F" w:rsidRPr="008710F6" w:rsidRDefault="00B14642" w:rsidP="009E1B3F">
            <w:pPr>
              <w:autoSpaceDE w:val="0"/>
              <w:autoSpaceDN w:val="0"/>
              <w:adjustRightInd w:val="0"/>
              <w:jc w:val="both"/>
              <w:rPr>
                <w:b/>
              </w:rPr>
            </w:pPr>
            <w:r>
              <w:rPr>
                <w:b/>
              </w:rPr>
              <w:t xml:space="preserve">       </w:t>
            </w:r>
            <w:r w:rsidR="009E1B3F" w:rsidRPr="00BF2ED1">
              <w:rPr>
                <w:b/>
              </w:rPr>
              <w:t>Обґрунтування:</w:t>
            </w:r>
          </w:p>
          <w:p w:rsidR="009E1B3F" w:rsidRDefault="009E1B3F" w:rsidP="009E1B3F">
            <w:pPr>
              <w:autoSpaceDE w:val="0"/>
              <w:autoSpaceDN w:val="0"/>
              <w:adjustRightInd w:val="0"/>
              <w:jc w:val="both"/>
            </w:pPr>
            <w:r w:rsidRPr="008710F6">
              <w:t xml:space="preserve">       А</w:t>
            </w:r>
            <w:r>
              <w:t>ПУ вважає, що</w:t>
            </w:r>
            <w:r w:rsidR="006C0B52">
              <w:t xml:space="preserve"> «Дата виявлення» необхідно змінити на «Дата аудиторського звіту».</w:t>
            </w:r>
          </w:p>
          <w:p w:rsidR="009E1B3F" w:rsidRPr="006242B3" w:rsidRDefault="006C0B52" w:rsidP="000815BE">
            <w:pPr>
              <w:autoSpaceDE w:val="0"/>
              <w:autoSpaceDN w:val="0"/>
              <w:adjustRightInd w:val="0"/>
              <w:jc w:val="both"/>
              <w:rPr>
                <w:color w:val="000000"/>
                <w:highlight w:val="cyan"/>
              </w:rPr>
            </w:pPr>
            <w:r>
              <w:lastRenderedPageBreak/>
              <w:t xml:space="preserve">       Крім того, АПУ звертає увагу на те, що Закон України «Про аудит фінансової звітності та аудиторську діяльність»</w:t>
            </w:r>
            <w:r w:rsidR="000815BE">
              <w:t xml:space="preserve"> зобов’язує суб’єкта аудиторської діяльності інформувати наглядовий орган лише про певні, визначені абзацами 2 – 3 частини 1 статті 36 цього Закону події, але не вимагає надавати також інформацію «про подію із зазначенням питань, що призвели до події». Встановлення таких додаткових вимог до суб’єктів аудиторської діяльності не передбачено нормами зазначеного Закону.</w:t>
            </w:r>
          </w:p>
        </w:tc>
        <w:tc>
          <w:tcPr>
            <w:tcW w:w="1113" w:type="pct"/>
          </w:tcPr>
          <w:p w:rsidR="007D2BEE" w:rsidRDefault="0019150D" w:rsidP="008F4098">
            <w:pPr>
              <w:tabs>
                <w:tab w:val="left" w:pos="-3780"/>
              </w:tabs>
              <w:jc w:val="both"/>
              <w:rPr>
                <w:b/>
                <w:highlight w:val="cyan"/>
              </w:rPr>
            </w:pPr>
            <w:r w:rsidRPr="006242B3">
              <w:rPr>
                <w:b/>
                <w:highlight w:val="cyan"/>
              </w:rPr>
              <w:lastRenderedPageBreak/>
              <w:t xml:space="preserve"> </w:t>
            </w:r>
          </w:p>
          <w:p w:rsidR="007D2BEE" w:rsidRDefault="007D2BEE" w:rsidP="008F4098">
            <w:pPr>
              <w:tabs>
                <w:tab w:val="left" w:pos="-3780"/>
              </w:tabs>
              <w:jc w:val="both"/>
              <w:rPr>
                <w:b/>
                <w:highlight w:val="cyan"/>
              </w:rPr>
            </w:pPr>
          </w:p>
          <w:tbl>
            <w:tblPr>
              <w:tblpPr w:leftFromText="180" w:rightFromText="180" w:vertAnchor="text" w:horzAnchor="margin" w:tblpX="137" w:tblpY="-264"/>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3"/>
              <w:gridCol w:w="1275"/>
            </w:tblGrid>
            <w:tr w:rsidR="007D2BEE" w:rsidRPr="00190F99" w:rsidTr="001977A8">
              <w:tc>
                <w:tcPr>
                  <w:tcW w:w="846" w:type="dxa"/>
                  <w:tcBorders>
                    <w:top w:val="single" w:sz="4" w:space="0" w:color="auto"/>
                    <w:left w:val="single" w:sz="4" w:space="0" w:color="auto"/>
                    <w:bottom w:val="single" w:sz="4" w:space="0" w:color="auto"/>
                    <w:right w:val="single" w:sz="4" w:space="0" w:color="auto"/>
                  </w:tcBorders>
                </w:tcPr>
                <w:p w:rsidR="007D2BEE" w:rsidRPr="00190F99" w:rsidRDefault="007D2BEE" w:rsidP="007D2BEE">
                  <w:pPr>
                    <w:jc w:val="center"/>
                  </w:pPr>
                  <w:r>
                    <w:t>Тип події</w:t>
                  </w:r>
                  <w:r w:rsidRPr="007971EF">
                    <w:rPr>
                      <w:vertAlign w:val="superscript"/>
                    </w:rPr>
                    <w:t>1</w:t>
                  </w:r>
                </w:p>
              </w:tc>
              <w:tc>
                <w:tcPr>
                  <w:tcW w:w="993" w:type="dxa"/>
                  <w:tcBorders>
                    <w:top w:val="single" w:sz="4" w:space="0" w:color="auto"/>
                    <w:left w:val="single" w:sz="4" w:space="0" w:color="auto"/>
                    <w:bottom w:val="single" w:sz="4" w:space="0" w:color="auto"/>
                    <w:right w:val="single" w:sz="4" w:space="0" w:color="auto"/>
                  </w:tcBorders>
                </w:tcPr>
                <w:p w:rsidR="007D2BEE" w:rsidRPr="00F7652D" w:rsidRDefault="007D2BEE" w:rsidP="007D2BEE">
                  <w:pPr>
                    <w:jc w:val="center"/>
                    <w:rPr>
                      <w:b/>
                    </w:rPr>
                  </w:pPr>
                  <w:r w:rsidRPr="00F7652D">
                    <w:rPr>
                      <w:b/>
                    </w:rPr>
                    <w:t>Дата виявлення</w:t>
                  </w:r>
                </w:p>
              </w:tc>
              <w:tc>
                <w:tcPr>
                  <w:tcW w:w="1275" w:type="dxa"/>
                  <w:tcBorders>
                    <w:top w:val="single" w:sz="4" w:space="0" w:color="auto"/>
                    <w:left w:val="single" w:sz="4" w:space="0" w:color="auto"/>
                    <w:bottom w:val="single" w:sz="4" w:space="0" w:color="auto"/>
                    <w:right w:val="single" w:sz="4" w:space="0" w:color="auto"/>
                  </w:tcBorders>
                </w:tcPr>
                <w:p w:rsidR="007D2BEE" w:rsidRPr="00F7652D" w:rsidRDefault="007D2BEE" w:rsidP="007D2BEE">
                  <w:pPr>
                    <w:jc w:val="center"/>
                    <w:rPr>
                      <w:b/>
                    </w:rPr>
                  </w:pPr>
                  <w:r w:rsidRPr="00F7652D">
                    <w:rPr>
                      <w:b/>
                    </w:rPr>
                    <w:t>Опис події</w:t>
                  </w:r>
                </w:p>
              </w:tc>
            </w:tr>
            <w:tr w:rsidR="007D2BEE" w:rsidRPr="00190F99" w:rsidTr="001977A8">
              <w:tc>
                <w:tcPr>
                  <w:tcW w:w="846" w:type="dxa"/>
                  <w:tcBorders>
                    <w:top w:val="single" w:sz="4" w:space="0" w:color="auto"/>
                    <w:left w:val="single" w:sz="4" w:space="0" w:color="auto"/>
                    <w:bottom w:val="single" w:sz="4" w:space="0" w:color="auto"/>
                    <w:right w:val="single" w:sz="4" w:space="0" w:color="auto"/>
                  </w:tcBorders>
                </w:tcPr>
                <w:p w:rsidR="007D2BEE" w:rsidRPr="00190F99" w:rsidRDefault="007D2BEE" w:rsidP="007D2BEE">
                  <w:pPr>
                    <w:jc w:val="center"/>
                    <w:rPr>
                      <w:i/>
                    </w:rPr>
                  </w:pPr>
                  <w:r w:rsidRPr="00190F99">
                    <w:rPr>
                      <w:i/>
                    </w:rPr>
                    <w:t>(класифікатор)</w:t>
                  </w:r>
                </w:p>
              </w:tc>
              <w:tc>
                <w:tcPr>
                  <w:tcW w:w="993" w:type="dxa"/>
                  <w:tcBorders>
                    <w:top w:val="single" w:sz="4" w:space="0" w:color="auto"/>
                    <w:left w:val="single" w:sz="4" w:space="0" w:color="auto"/>
                    <w:bottom w:val="single" w:sz="4" w:space="0" w:color="auto"/>
                    <w:right w:val="single" w:sz="4" w:space="0" w:color="auto"/>
                  </w:tcBorders>
                </w:tcPr>
                <w:p w:rsidR="007D2BEE" w:rsidRPr="00633E5A" w:rsidRDefault="007D2BEE" w:rsidP="007D2BEE">
                  <w:pPr>
                    <w:jc w:val="center"/>
                    <w:rPr>
                      <w:i/>
                    </w:rPr>
                  </w:pPr>
                  <w:r w:rsidRPr="00633E5A">
                    <w:rPr>
                      <w:i/>
                    </w:rPr>
                    <w:t>(дата)</w:t>
                  </w:r>
                </w:p>
              </w:tc>
              <w:tc>
                <w:tcPr>
                  <w:tcW w:w="1275" w:type="dxa"/>
                  <w:tcBorders>
                    <w:top w:val="single" w:sz="4" w:space="0" w:color="auto"/>
                    <w:left w:val="single" w:sz="4" w:space="0" w:color="auto"/>
                    <w:bottom w:val="single" w:sz="4" w:space="0" w:color="auto"/>
                    <w:right w:val="single" w:sz="4" w:space="0" w:color="auto"/>
                  </w:tcBorders>
                </w:tcPr>
                <w:p w:rsidR="007D2BEE" w:rsidRPr="00F7652D" w:rsidRDefault="007D2BEE" w:rsidP="00213D09">
                  <w:pPr>
                    <w:jc w:val="center"/>
                    <w:rPr>
                      <w:b/>
                      <w:i/>
                    </w:rPr>
                  </w:pPr>
                  <w:r w:rsidRPr="00F7652D">
                    <w:rPr>
                      <w:b/>
                      <w:i/>
                    </w:rPr>
                    <w:t>(інформація</w:t>
                  </w:r>
                  <w:r w:rsidR="00213D09">
                    <w:rPr>
                      <w:b/>
                      <w:i/>
                    </w:rPr>
                    <w:t xml:space="preserve"> про подію</w:t>
                  </w:r>
                  <w:r w:rsidRPr="00F7652D">
                    <w:rPr>
                      <w:b/>
                      <w:i/>
                    </w:rPr>
                    <w:t>)</w:t>
                  </w:r>
                </w:p>
              </w:tc>
            </w:tr>
          </w:tbl>
          <w:p w:rsidR="0019150D" w:rsidRPr="006242B3" w:rsidRDefault="0019150D" w:rsidP="008F4098">
            <w:pPr>
              <w:tabs>
                <w:tab w:val="left" w:pos="-3780"/>
              </w:tabs>
              <w:jc w:val="both"/>
              <w:rPr>
                <w:b/>
                <w:highlight w:val="cyan"/>
              </w:rPr>
            </w:pPr>
          </w:p>
        </w:tc>
        <w:tc>
          <w:tcPr>
            <w:tcW w:w="934" w:type="pct"/>
          </w:tcPr>
          <w:p w:rsidR="00510AA4" w:rsidRPr="0038767B" w:rsidRDefault="00510AA4" w:rsidP="00510AA4">
            <w:pPr>
              <w:ind w:firstLine="324"/>
              <w:jc w:val="both"/>
              <w:rPr>
                <w:b/>
              </w:rPr>
            </w:pPr>
          </w:p>
          <w:p w:rsidR="0019150D" w:rsidRPr="0038767B" w:rsidRDefault="007D2BEE" w:rsidP="00510AA4">
            <w:pPr>
              <w:jc w:val="both"/>
              <w:rPr>
                <w:b/>
              </w:rPr>
            </w:pPr>
            <w:r w:rsidRPr="0038767B">
              <w:rPr>
                <w:b/>
              </w:rPr>
              <w:t xml:space="preserve">     </w:t>
            </w:r>
            <w:r w:rsidR="002E2C7B" w:rsidRPr="0038767B">
              <w:rPr>
                <w:b/>
              </w:rPr>
              <w:t>Частково враховано</w:t>
            </w:r>
          </w:p>
          <w:p w:rsidR="00B9331C" w:rsidRPr="0038767B" w:rsidRDefault="00583803" w:rsidP="00510AA4">
            <w:pPr>
              <w:jc w:val="both"/>
            </w:pPr>
            <w:r w:rsidRPr="0038767B">
              <w:rPr>
                <w:b/>
              </w:rPr>
              <w:t xml:space="preserve">     </w:t>
            </w:r>
            <w:r w:rsidRPr="0038767B">
              <w:t>Надання інформації</w:t>
            </w:r>
            <w:r w:rsidR="00B9331C" w:rsidRPr="0038767B">
              <w:t xml:space="preserve"> про порушення</w:t>
            </w:r>
            <w:r w:rsidR="00980DB2" w:rsidRPr="0038767B">
              <w:t xml:space="preserve"> п</w:t>
            </w:r>
            <w:r w:rsidR="002E2C7B">
              <w:t xml:space="preserve">ісля </w:t>
            </w:r>
            <w:r w:rsidR="00980DB2" w:rsidRPr="0038767B">
              <w:t xml:space="preserve">дати складання  аудиторського звіту не дасть можливості Комісії як регулятору </w:t>
            </w:r>
            <w:r w:rsidR="00B2794E" w:rsidRPr="0038767B">
              <w:t xml:space="preserve">вчасно </w:t>
            </w:r>
            <w:r w:rsidR="00B2794E">
              <w:t>здійснити відповідні заходи реагування.</w:t>
            </w:r>
          </w:p>
          <w:p w:rsidR="00AF2F9D" w:rsidRPr="0038767B" w:rsidRDefault="002655F0" w:rsidP="004D6107">
            <w:pPr>
              <w:jc w:val="both"/>
            </w:pPr>
            <w:r>
              <w:t xml:space="preserve"> </w:t>
            </w:r>
            <w:r w:rsidR="002F35C2" w:rsidRPr="0038767B">
              <w:t xml:space="preserve">     Відповідно до частини 1 статті 36 Закону України «Про аудит фінансової </w:t>
            </w:r>
            <w:r w:rsidR="002F35C2" w:rsidRPr="0038767B">
              <w:lastRenderedPageBreak/>
              <w:t>звітності та аудиторську діяльність»</w:t>
            </w:r>
            <w:r w:rsidR="00DB75E7" w:rsidRPr="0038767B">
              <w:t xml:space="preserve"> суб’єкт аудиторської діяльності </w:t>
            </w:r>
            <w:r w:rsidR="001977A8" w:rsidRPr="0038767B">
              <w:t>повинен повідомляти відповідний орган нагляду про будь-яку інформацію щодо питань,</w:t>
            </w:r>
            <w:r w:rsidR="001713FB" w:rsidRPr="0038767B">
              <w:t xml:space="preserve"> зазначених в абзацах другому – четвертому цієї статті</w:t>
            </w:r>
            <w:r w:rsidR="001977A8" w:rsidRPr="0038767B">
              <w:t xml:space="preserve">, яка йому стала відома </w:t>
            </w:r>
            <w:r w:rsidR="001713FB" w:rsidRPr="0038767B">
              <w:t>під час проведення аудиту</w:t>
            </w:r>
            <w:r w:rsidR="00CE3692" w:rsidRPr="0038767B">
              <w:t>, що, в свою чергу, передбачає необхідність наявн</w:t>
            </w:r>
            <w:r w:rsidR="004D6107">
              <w:t>ості</w:t>
            </w:r>
            <w:r w:rsidR="00CE3692" w:rsidRPr="0038767B">
              <w:t xml:space="preserve"> поля для опису </w:t>
            </w:r>
            <w:r w:rsidR="004D6107">
              <w:t>відповід</w:t>
            </w:r>
            <w:r w:rsidR="00CE3692" w:rsidRPr="0038767B">
              <w:t>ної інформації</w:t>
            </w:r>
            <w:r w:rsidR="001713FB" w:rsidRPr="0038767B">
              <w:t>.</w:t>
            </w:r>
          </w:p>
        </w:tc>
      </w:tr>
      <w:tr w:rsidR="00C03211" w:rsidRPr="006242B3" w:rsidTr="00355A90">
        <w:trPr>
          <w:gridAfter w:val="1"/>
          <w:wAfter w:w="9" w:type="pct"/>
        </w:trPr>
        <w:tc>
          <w:tcPr>
            <w:tcW w:w="356" w:type="pct"/>
          </w:tcPr>
          <w:p w:rsidR="00214FEF" w:rsidRPr="00CF4A39" w:rsidRDefault="00214FEF" w:rsidP="00214FEF">
            <w:pPr>
              <w:jc w:val="center"/>
              <w:rPr>
                <w:b/>
                <w:sz w:val="20"/>
                <w:szCs w:val="20"/>
              </w:rPr>
            </w:pPr>
          </w:p>
          <w:p w:rsidR="00214FEF" w:rsidRPr="00CF4A39" w:rsidRDefault="00214FEF" w:rsidP="00214FEF">
            <w:pPr>
              <w:jc w:val="center"/>
              <w:rPr>
                <w:b/>
                <w:sz w:val="20"/>
                <w:szCs w:val="20"/>
              </w:rPr>
            </w:pPr>
            <w:r w:rsidRPr="00CF4A39">
              <w:rPr>
                <w:b/>
                <w:sz w:val="20"/>
                <w:szCs w:val="20"/>
              </w:rPr>
              <w:t xml:space="preserve">пункту </w:t>
            </w:r>
            <w:r>
              <w:rPr>
                <w:b/>
                <w:sz w:val="20"/>
                <w:szCs w:val="20"/>
              </w:rPr>
              <w:t>1</w:t>
            </w:r>
          </w:p>
          <w:p w:rsidR="00214FEF" w:rsidRDefault="00214FEF" w:rsidP="00214FEF">
            <w:pPr>
              <w:ind w:left="-28"/>
              <w:jc w:val="center"/>
              <w:rPr>
                <w:b/>
                <w:sz w:val="20"/>
                <w:szCs w:val="20"/>
              </w:rPr>
            </w:pPr>
            <w:r>
              <w:rPr>
                <w:b/>
                <w:sz w:val="20"/>
                <w:szCs w:val="20"/>
              </w:rPr>
              <w:t>Приміток до</w:t>
            </w:r>
          </w:p>
          <w:p w:rsidR="00214FEF" w:rsidRPr="00CF4A39" w:rsidRDefault="00214FEF" w:rsidP="00214FEF">
            <w:pPr>
              <w:ind w:left="-28"/>
              <w:jc w:val="center"/>
              <w:rPr>
                <w:b/>
                <w:sz w:val="20"/>
                <w:szCs w:val="20"/>
              </w:rPr>
            </w:pPr>
            <w:r>
              <w:rPr>
                <w:b/>
                <w:sz w:val="20"/>
                <w:szCs w:val="20"/>
              </w:rPr>
              <w:t>Форми 1</w:t>
            </w:r>
          </w:p>
        </w:tc>
        <w:tc>
          <w:tcPr>
            <w:tcW w:w="1114" w:type="pct"/>
          </w:tcPr>
          <w:p w:rsidR="00214FEF" w:rsidRPr="00CF4A39" w:rsidRDefault="00214FEF" w:rsidP="00214FEF">
            <w:pPr>
              <w:pStyle w:val="rvps2"/>
              <w:spacing w:before="0" w:beforeAutospacing="0" w:after="0" w:afterAutospacing="0"/>
              <w:jc w:val="both"/>
            </w:pPr>
          </w:p>
          <w:p w:rsidR="00214FEF" w:rsidRPr="00846FB4" w:rsidRDefault="00214FEF" w:rsidP="00214FEF">
            <w:pPr>
              <w:pStyle w:val="rvps2"/>
              <w:spacing w:before="0" w:beforeAutospacing="0" w:after="0" w:afterAutospacing="0"/>
              <w:jc w:val="both"/>
            </w:pPr>
            <w:r w:rsidRPr="00846FB4">
              <w:t xml:space="preserve">     </w:t>
            </w:r>
            <w:r w:rsidRPr="00846FB4">
              <w:rPr>
                <w:lang w:eastAsia="ru-RU"/>
              </w:rPr>
              <w:t xml:space="preserve">1. </w:t>
            </w:r>
            <w:r w:rsidRPr="00846FB4">
              <w:rPr>
                <w:rStyle w:val="HTML"/>
                <w:sz w:val="24"/>
              </w:rPr>
              <w:t xml:space="preserve">Інформацію, що подається </w:t>
            </w:r>
            <w:r w:rsidRPr="00846FB4">
              <w:t>до Національної комісії з цінних паперів та фондового ринку</w:t>
            </w:r>
            <w:r w:rsidRPr="00846FB4">
              <w:rPr>
                <w:rStyle w:val="HTML"/>
                <w:sz w:val="24"/>
              </w:rPr>
              <w:t xml:space="preserve">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w:t>
            </w:r>
            <w:r w:rsidRPr="00846FB4">
              <w:t xml:space="preserve">Національна комісія з цінних паперів та фондового ринку, та </w:t>
            </w:r>
            <w:r w:rsidRPr="0093587C">
              <w:t xml:space="preserve">Інформацію, </w:t>
            </w:r>
            <w:r w:rsidRPr="0093587C">
              <w:rPr>
                <w:rStyle w:val="HTML"/>
                <w:sz w:val="24"/>
              </w:rPr>
              <w:t xml:space="preserve">що подається </w:t>
            </w:r>
            <w:r w:rsidRPr="0093587C">
              <w:t>до Національної комісії з цінних паперів та фондового ринку</w:t>
            </w:r>
            <w:r w:rsidRPr="0093587C">
              <w:rPr>
                <w:rStyle w:val="HTML"/>
                <w:sz w:val="24"/>
              </w:rPr>
              <w:t xml:space="preserve">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нагляд за </w:t>
            </w:r>
            <w:r w:rsidRPr="0093587C">
              <w:rPr>
                <w:rStyle w:val="HTML"/>
                <w:sz w:val="24"/>
              </w:rPr>
              <w:lastRenderedPageBreak/>
              <w:t xml:space="preserve">яким здійснює </w:t>
            </w:r>
            <w:r w:rsidRPr="0093587C">
              <w:t xml:space="preserve">Національна комісія з цінних паперів та фондового ринку </w:t>
            </w:r>
            <w:r w:rsidRPr="00846FB4">
              <w:t xml:space="preserve">(далі - Інформація), </w:t>
            </w:r>
            <w:r w:rsidRPr="00846FB4">
              <w:rPr>
                <w:lang w:eastAsia="ru-RU"/>
              </w:rPr>
              <w:t>суб’єкт аудиторської діяльності надсилає до Національної комісії з цінних паперів та фондового ринку (далі – Комісія) в електронному вигляді відповідно до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(зі змінами), затвердженого рішенням від 13 травня 2011 року № 492 та зареєстрованого Міністерством юстиції України 25 червня 2011 року за № 789/19527.</w:t>
            </w:r>
          </w:p>
        </w:tc>
        <w:tc>
          <w:tcPr>
            <w:tcW w:w="1474" w:type="pct"/>
          </w:tcPr>
          <w:p w:rsidR="00214FEF" w:rsidRPr="00CF4A39" w:rsidRDefault="00214FEF" w:rsidP="00214FEF">
            <w:pPr>
              <w:jc w:val="center"/>
              <w:rPr>
                <w:b/>
                <w:u w:val="single"/>
              </w:rPr>
            </w:pPr>
            <w:r w:rsidRPr="00CF4A39">
              <w:rPr>
                <w:b/>
                <w:u w:val="single"/>
              </w:rPr>
              <w:lastRenderedPageBreak/>
              <w:t>А</w:t>
            </w:r>
            <w:r>
              <w:rPr>
                <w:b/>
                <w:u w:val="single"/>
              </w:rPr>
              <w:t>ПУ</w:t>
            </w:r>
          </w:p>
          <w:p w:rsidR="00312F66" w:rsidRDefault="00225116" w:rsidP="00214FEF">
            <w:pPr>
              <w:ind w:left="-111" w:firstLine="324"/>
              <w:jc w:val="both"/>
            </w:pPr>
            <w:r w:rsidRPr="00225116">
              <w:rPr>
                <w:b/>
              </w:rPr>
              <w:t xml:space="preserve">   </w:t>
            </w:r>
            <w:r w:rsidR="00214FEF" w:rsidRPr="00CF4A39">
              <w:t xml:space="preserve">Пропонується </w:t>
            </w:r>
            <w:r w:rsidR="00312F66">
              <w:t xml:space="preserve">пункт </w:t>
            </w:r>
            <w:r w:rsidR="00214FEF">
              <w:t>1</w:t>
            </w:r>
            <w:r w:rsidR="00214FEF" w:rsidRPr="00CF4A39">
              <w:t xml:space="preserve"> </w:t>
            </w:r>
            <w:r w:rsidR="00214FEF">
              <w:t xml:space="preserve">Приміток до Форми 1 </w:t>
            </w:r>
            <w:r w:rsidR="00312F66">
              <w:t>викласти в такій редакції:</w:t>
            </w:r>
          </w:p>
          <w:p w:rsidR="00312F66" w:rsidRDefault="00312F66" w:rsidP="00214FEF">
            <w:pPr>
              <w:ind w:left="-111" w:firstLine="324"/>
              <w:jc w:val="both"/>
            </w:pPr>
            <w:r>
              <w:t xml:space="preserve">   «</w:t>
            </w:r>
            <w:r w:rsidRPr="00846FB4">
              <w:rPr>
                <w:lang w:eastAsia="ru-RU"/>
              </w:rPr>
              <w:t xml:space="preserve">1. </w:t>
            </w:r>
            <w:r w:rsidRPr="00846FB4">
              <w:rPr>
                <w:rStyle w:val="HTML"/>
                <w:sz w:val="24"/>
              </w:rPr>
              <w:t xml:space="preserve">Інформацію, що подається </w:t>
            </w:r>
            <w:r w:rsidRPr="00846FB4">
              <w:t>до Національної комісії з цінних паперів та фондового ринку</w:t>
            </w:r>
            <w:r w:rsidRPr="00846FB4">
              <w:rPr>
                <w:rStyle w:val="HTML"/>
                <w:sz w:val="24"/>
              </w:rPr>
              <w:t xml:space="preserve">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w:t>
            </w:r>
            <w:r w:rsidRPr="00846FB4">
              <w:t xml:space="preserve">Національна комісія з цінних паперів та фондового ринку, та </w:t>
            </w:r>
            <w:r w:rsidRPr="0093587C">
              <w:t xml:space="preserve">Інформацію, </w:t>
            </w:r>
            <w:r w:rsidRPr="0093587C">
              <w:rPr>
                <w:rStyle w:val="HTML"/>
                <w:sz w:val="24"/>
              </w:rPr>
              <w:t xml:space="preserve">що подається </w:t>
            </w:r>
            <w:r w:rsidRPr="0093587C">
              <w:t>до Національної комісії з цінних паперів та фондового ринку</w:t>
            </w:r>
            <w:r w:rsidRPr="0093587C">
              <w:rPr>
                <w:rStyle w:val="HTML"/>
                <w:sz w:val="24"/>
              </w:rPr>
              <w:t xml:space="preserve">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w:t>
            </w:r>
            <w:r w:rsidRPr="00312F66">
              <w:rPr>
                <w:rStyle w:val="HTML"/>
                <w:b/>
                <w:sz w:val="24"/>
              </w:rPr>
              <w:t>обов’язковий аудит</w:t>
            </w:r>
            <w:r>
              <w:rPr>
                <w:rStyle w:val="HTML"/>
                <w:sz w:val="24"/>
              </w:rPr>
              <w:t xml:space="preserve"> </w:t>
            </w:r>
            <w:r w:rsidRPr="00312F66">
              <w:rPr>
                <w:rStyle w:val="HTML"/>
                <w:b/>
                <w:sz w:val="24"/>
              </w:rPr>
              <w:t>фінансової звітності якого він також проводить,</w:t>
            </w:r>
            <w:r>
              <w:rPr>
                <w:rStyle w:val="HTML"/>
                <w:sz w:val="24"/>
              </w:rPr>
              <w:t xml:space="preserve"> </w:t>
            </w:r>
            <w:r w:rsidRPr="0093587C">
              <w:rPr>
                <w:rStyle w:val="HTML"/>
                <w:sz w:val="24"/>
              </w:rPr>
              <w:t xml:space="preserve">нагляд за яким здійснює </w:t>
            </w:r>
            <w:r w:rsidRPr="0093587C">
              <w:t xml:space="preserve">Національна комісія з цінних паперів та фондового ринку </w:t>
            </w:r>
            <w:r w:rsidRPr="00846FB4">
              <w:t xml:space="preserve">(далі - Інформація), </w:t>
            </w:r>
            <w:r w:rsidRPr="00846FB4">
              <w:rPr>
                <w:lang w:eastAsia="ru-RU"/>
              </w:rPr>
              <w:t xml:space="preserve">суб’єкт </w:t>
            </w:r>
            <w:r w:rsidRPr="00846FB4">
              <w:rPr>
                <w:lang w:eastAsia="ru-RU"/>
              </w:rPr>
              <w:lastRenderedPageBreak/>
              <w:t>аудиторської діяльності надсилає до Національної комісії з цінних паперів та фондового ринку (далі – Комісія) в електронному вигляді відповідно до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(зі змінами), затвердженого рішенням від 13 травня 2011 року № 492 та зареєстрованого Міністерством юстиції України 25 червня 2011 року за № 789/19527.</w:t>
            </w:r>
            <w:r>
              <w:t>».</w:t>
            </w:r>
          </w:p>
          <w:p w:rsidR="000B0173" w:rsidRPr="00CF4A39" w:rsidRDefault="000B0173" w:rsidP="00214FEF">
            <w:pPr>
              <w:ind w:left="-111" w:firstLine="324"/>
              <w:jc w:val="both"/>
            </w:pPr>
          </w:p>
          <w:p w:rsidR="00214FEF" w:rsidRPr="008710F6" w:rsidRDefault="00B14642" w:rsidP="00214FEF">
            <w:pPr>
              <w:autoSpaceDE w:val="0"/>
              <w:autoSpaceDN w:val="0"/>
              <w:adjustRightInd w:val="0"/>
              <w:jc w:val="both"/>
              <w:rPr>
                <w:b/>
              </w:rPr>
            </w:pPr>
            <w:r>
              <w:rPr>
                <w:b/>
              </w:rPr>
              <w:t xml:space="preserve">       </w:t>
            </w:r>
            <w:r w:rsidR="00214FEF" w:rsidRPr="008710F6">
              <w:rPr>
                <w:b/>
              </w:rPr>
              <w:t>Обґрунтування :</w:t>
            </w:r>
          </w:p>
          <w:p w:rsidR="00214FEF" w:rsidRPr="00CF4A39" w:rsidRDefault="00214FEF" w:rsidP="00214FEF">
            <w:pPr>
              <w:autoSpaceDE w:val="0"/>
              <w:autoSpaceDN w:val="0"/>
              <w:adjustRightInd w:val="0"/>
              <w:jc w:val="both"/>
            </w:pPr>
            <w:r w:rsidRPr="008710F6">
              <w:t xml:space="preserve">       </w:t>
            </w:r>
            <w:r w:rsidR="000B0173">
              <w:t xml:space="preserve">Поточна редакція Рішення, розміщеного на сайті Комісії, не містить уточнення про те, що інформування органу нагляду здійснюється суб’єктами аудиторської діяльності стосовно юридичної особи, що має тісні зв’язки з підприємством, що становить суспільний інтерес, лише у випадках, якщо суб’єкт проводить також обов’язковий аудит фінансової звітності такого підприємства. Це може призвести до неправильного (розширеного, порівняно із Законом про аудит фінансової звітності та аудиторську діяльність в </w:t>
            </w:r>
            <w:r w:rsidR="00312F66">
              <w:t>Україні) тлумачення норм Рішення.</w:t>
            </w:r>
          </w:p>
        </w:tc>
        <w:tc>
          <w:tcPr>
            <w:tcW w:w="1113" w:type="pct"/>
          </w:tcPr>
          <w:p w:rsidR="00214FEF" w:rsidRPr="00510AA4" w:rsidRDefault="00214FEF" w:rsidP="00214FEF">
            <w:pPr>
              <w:pStyle w:val="rvps2"/>
              <w:spacing w:before="0" w:beforeAutospacing="0" w:after="0" w:afterAutospacing="0"/>
              <w:jc w:val="both"/>
            </w:pPr>
          </w:p>
          <w:p w:rsidR="00214FEF" w:rsidRPr="00510AA4" w:rsidRDefault="00214FEF" w:rsidP="00214FEF">
            <w:pPr>
              <w:pStyle w:val="rvps2"/>
              <w:spacing w:before="0" w:beforeAutospacing="0" w:after="0" w:afterAutospacing="0"/>
              <w:jc w:val="both"/>
            </w:pPr>
            <w:r w:rsidRPr="00510AA4">
              <w:t xml:space="preserve">     </w:t>
            </w:r>
            <w:r w:rsidRPr="00510AA4">
              <w:rPr>
                <w:lang w:eastAsia="ru-RU"/>
              </w:rPr>
              <w:t xml:space="preserve">1. </w:t>
            </w:r>
            <w:r w:rsidRPr="00510AA4">
              <w:rPr>
                <w:rStyle w:val="HTML"/>
                <w:sz w:val="24"/>
              </w:rPr>
              <w:t xml:space="preserve">Інформацію, що подається </w:t>
            </w:r>
            <w:r w:rsidRPr="00510AA4">
              <w:t>до Національної комісії з цінних паперів та фондового ринку</w:t>
            </w:r>
            <w:r w:rsidRPr="00510AA4">
              <w:rPr>
                <w:rStyle w:val="HTML"/>
                <w:sz w:val="24"/>
              </w:rPr>
              <w:t xml:space="preserve">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w:t>
            </w:r>
            <w:r w:rsidRPr="00510AA4">
              <w:t xml:space="preserve">Національна комісія з цінних паперів та фондового ринку, та </w:t>
            </w:r>
            <w:r w:rsidRPr="00A67DF7">
              <w:t xml:space="preserve">Інформацію, </w:t>
            </w:r>
            <w:r w:rsidRPr="00A67DF7">
              <w:rPr>
                <w:rStyle w:val="HTML"/>
                <w:sz w:val="24"/>
              </w:rPr>
              <w:t xml:space="preserve">що подається </w:t>
            </w:r>
            <w:r w:rsidRPr="00A67DF7">
              <w:t>до Національної комісії з цінних паперів та фондового ринку</w:t>
            </w:r>
            <w:r w:rsidRPr="00A67DF7">
              <w:rPr>
                <w:rStyle w:val="HTML"/>
                <w:sz w:val="24"/>
              </w:rPr>
              <w:t xml:space="preserve">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w:t>
            </w:r>
            <w:r w:rsidR="00510AA4" w:rsidRPr="00510AA4">
              <w:rPr>
                <w:rStyle w:val="HTML"/>
                <w:b/>
                <w:sz w:val="24"/>
              </w:rPr>
              <w:lastRenderedPageBreak/>
              <w:t>обов’язковий аудит</w:t>
            </w:r>
            <w:r w:rsidR="00510AA4" w:rsidRPr="00510AA4">
              <w:rPr>
                <w:rStyle w:val="HTML"/>
                <w:sz w:val="24"/>
              </w:rPr>
              <w:t xml:space="preserve"> </w:t>
            </w:r>
            <w:r w:rsidR="00510AA4" w:rsidRPr="00510AA4">
              <w:rPr>
                <w:rStyle w:val="HTML"/>
                <w:b/>
                <w:sz w:val="24"/>
              </w:rPr>
              <w:t xml:space="preserve">фінансової звітності якого він також проводить, </w:t>
            </w:r>
            <w:r w:rsidRPr="00A67DF7">
              <w:rPr>
                <w:rStyle w:val="HTML"/>
                <w:sz w:val="24"/>
              </w:rPr>
              <w:t xml:space="preserve">нагляд за яким здійснює </w:t>
            </w:r>
            <w:r w:rsidRPr="00A67DF7">
              <w:t xml:space="preserve">Національна комісія з цінних паперів та фондового ринку </w:t>
            </w:r>
            <w:r w:rsidRPr="00510AA4">
              <w:t xml:space="preserve">(далі - Інформація), </w:t>
            </w:r>
            <w:r w:rsidRPr="00510AA4">
              <w:rPr>
                <w:lang w:eastAsia="ru-RU"/>
              </w:rPr>
              <w:t>суб’єкт аудиторської діяльності надсилає до Національної комісії з цінних паперів та фондового ринку (далі – Комісія) в електронному вигляді відповідно до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(зі змінами), затвердженого рішенням від 13 травня 2011 року № 492 та зареєстрованого Міністерством юстиції України 25 червня 2011 року за № 789/19527.</w:t>
            </w:r>
          </w:p>
        </w:tc>
        <w:tc>
          <w:tcPr>
            <w:tcW w:w="934" w:type="pct"/>
          </w:tcPr>
          <w:p w:rsidR="00214FEF" w:rsidRPr="00CF4A39" w:rsidRDefault="00214FEF" w:rsidP="00214FEF">
            <w:pPr>
              <w:ind w:firstLine="324"/>
              <w:jc w:val="both"/>
              <w:rPr>
                <w:b/>
              </w:rPr>
            </w:pPr>
          </w:p>
          <w:p w:rsidR="00214FEF" w:rsidRPr="00CF4A39" w:rsidRDefault="00214FEF" w:rsidP="007B5C40">
            <w:pPr>
              <w:ind w:firstLine="324"/>
              <w:jc w:val="both"/>
            </w:pPr>
            <w:r w:rsidRPr="00CF4A39">
              <w:rPr>
                <w:b/>
              </w:rPr>
              <w:t>Врахован</w:t>
            </w:r>
            <w:r w:rsidR="007B5C40">
              <w:rPr>
                <w:b/>
              </w:rPr>
              <w:t>о</w:t>
            </w:r>
          </w:p>
        </w:tc>
      </w:tr>
      <w:tr w:rsidR="00C03211" w:rsidRPr="00267163" w:rsidTr="00355A90">
        <w:tc>
          <w:tcPr>
            <w:tcW w:w="356" w:type="pct"/>
            <w:vAlign w:val="center"/>
          </w:tcPr>
          <w:p w:rsidR="000764F6" w:rsidRPr="00267163" w:rsidRDefault="000764F6" w:rsidP="00C20544">
            <w:pPr>
              <w:jc w:val="center"/>
              <w:rPr>
                <w:b/>
                <w:sz w:val="20"/>
                <w:szCs w:val="20"/>
              </w:rPr>
            </w:pPr>
            <w:r w:rsidRPr="00267163">
              <w:rPr>
                <w:b/>
                <w:sz w:val="20"/>
                <w:szCs w:val="20"/>
              </w:rPr>
              <w:t xml:space="preserve">Форми </w:t>
            </w:r>
            <w:r>
              <w:rPr>
                <w:b/>
                <w:sz w:val="20"/>
                <w:szCs w:val="20"/>
              </w:rPr>
              <w:t>2</w:t>
            </w:r>
          </w:p>
        </w:tc>
        <w:tc>
          <w:tcPr>
            <w:tcW w:w="4644" w:type="pct"/>
            <w:gridSpan w:val="5"/>
            <w:vAlign w:val="center"/>
          </w:tcPr>
          <w:p w:rsidR="000764F6" w:rsidRPr="00267163" w:rsidRDefault="000764F6" w:rsidP="008F4098">
            <w:pPr>
              <w:jc w:val="center"/>
              <w:rPr>
                <w:rStyle w:val="HTML"/>
                <w:b/>
                <w:sz w:val="24"/>
              </w:rPr>
            </w:pPr>
            <w:r w:rsidRPr="00267163">
              <w:rPr>
                <w:rStyle w:val="HTML"/>
                <w:b/>
                <w:sz w:val="24"/>
              </w:rPr>
              <w:t xml:space="preserve">Інформація, що подається </w:t>
            </w:r>
            <w:r w:rsidRPr="00267163">
              <w:rPr>
                <w:b/>
              </w:rPr>
              <w:t>до Національної комісії з цінних паперів та фондового ринку</w:t>
            </w:r>
          </w:p>
          <w:p w:rsidR="000764F6" w:rsidRPr="00267163" w:rsidRDefault="000764F6" w:rsidP="008F4098">
            <w:pPr>
              <w:jc w:val="center"/>
              <w:rPr>
                <w:rStyle w:val="HTML"/>
                <w:b/>
                <w:sz w:val="24"/>
              </w:rPr>
            </w:pPr>
            <w:r w:rsidRPr="00267163">
              <w:rPr>
                <w:rStyle w:val="HTML"/>
                <w:b/>
                <w:sz w:val="24"/>
              </w:rPr>
              <w:t>суб’єктом аудиторської діяльності, який надає послуги з обов’язкового аудиту фінансової звітності</w:t>
            </w:r>
          </w:p>
          <w:p w:rsidR="000764F6" w:rsidRPr="00267163" w:rsidRDefault="000764F6" w:rsidP="008F4098">
            <w:pPr>
              <w:jc w:val="center"/>
              <w:rPr>
                <w:rStyle w:val="HTML"/>
                <w:b/>
                <w:sz w:val="24"/>
              </w:rPr>
            </w:pPr>
            <w:r w:rsidRPr="000764F6">
              <w:rPr>
                <w:rStyle w:val="HTML"/>
                <w:b/>
                <w:sz w:val="24"/>
              </w:rPr>
              <w:t>юридичній особі, що має тісні зв’язки з підприємством, що становить суспільний інтерес, на</w:t>
            </w:r>
            <w:r w:rsidRPr="00267163">
              <w:rPr>
                <w:rStyle w:val="HTML"/>
                <w:b/>
                <w:sz w:val="24"/>
              </w:rPr>
              <w:t>гляд за яким здійснює</w:t>
            </w:r>
          </w:p>
          <w:p w:rsidR="000764F6" w:rsidRPr="00267163" w:rsidRDefault="000764F6" w:rsidP="008F4098">
            <w:pPr>
              <w:jc w:val="center"/>
              <w:rPr>
                <w:b/>
              </w:rPr>
            </w:pPr>
            <w:r w:rsidRPr="00267163">
              <w:rPr>
                <w:b/>
              </w:rPr>
              <w:t>Національна комісія з цінних паперів та фондового ринку</w:t>
            </w:r>
          </w:p>
        </w:tc>
      </w:tr>
      <w:tr w:rsidR="00C03211" w:rsidRPr="006242B3" w:rsidTr="00355A90">
        <w:trPr>
          <w:gridAfter w:val="1"/>
          <w:wAfter w:w="9" w:type="pct"/>
        </w:trPr>
        <w:tc>
          <w:tcPr>
            <w:tcW w:w="356" w:type="pct"/>
          </w:tcPr>
          <w:p w:rsidR="00F06449" w:rsidRPr="007B14FD" w:rsidRDefault="00F06449" w:rsidP="008F4098">
            <w:pPr>
              <w:ind w:left="-28"/>
              <w:rPr>
                <w:b/>
                <w:sz w:val="20"/>
                <w:szCs w:val="20"/>
              </w:rPr>
            </w:pPr>
          </w:p>
          <w:p w:rsidR="009C1C6B" w:rsidRDefault="009C1C6B" w:rsidP="009C1C6B">
            <w:pPr>
              <w:ind w:left="-28"/>
              <w:jc w:val="center"/>
              <w:rPr>
                <w:b/>
                <w:sz w:val="20"/>
                <w:szCs w:val="20"/>
              </w:rPr>
            </w:pPr>
            <w:r>
              <w:rPr>
                <w:b/>
                <w:sz w:val="20"/>
                <w:szCs w:val="20"/>
              </w:rPr>
              <w:t>назви</w:t>
            </w:r>
          </w:p>
          <w:p w:rsidR="00F06449" w:rsidRPr="007B14FD" w:rsidRDefault="00D03261" w:rsidP="009C1C6B">
            <w:pPr>
              <w:ind w:left="-28"/>
              <w:jc w:val="center"/>
              <w:rPr>
                <w:b/>
                <w:sz w:val="20"/>
                <w:szCs w:val="20"/>
              </w:rPr>
            </w:pPr>
            <w:r w:rsidRPr="007B14FD">
              <w:rPr>
                <w:b/>
                <w:sz w:val="20"/>
                <w:szCs w:val="20"/>
              </w:rPr>
              <w:t>Форми 2</w:t>
            </w:r>
          </w:p>
        </w:tc>
        <w:tc>
          <w:tcPr>
            <w:tcW w:w="1114" w:type="pct"/>
          </w:tcPr>
          <w:p w:rsidR="00F06449" w:rsidRPr="007B14FD" w:rsidRDefault="00F06449" w:rsidP="008F4098">
            <w:pPr>
              <w:pStyle w:val="rvps2"/>
              <w:spacing w:before="0" w:beforeAutospacing="0" w:after="0" w:afterAutospacing="0"/>
              <w:jc w:val="both"/>
              <w:rPr>
                <w:color w:val="000000"/>
              </w:rPr>
            </w:pPr>
          </w:p>
          <w:p w:rsidR="007B14FD" w:rsidRPr="009F5F2E" w:rsidRDefault="007B14FD" w:rsidP="007B14FD">
            <w:pPr>
              <w:jc w:val="center"/>
              <w:rPr>
                <w:rStyle w:val="HTML"/>
                <w:sz w:val="24"/>
              </w:rPr>
            </w:pPr>
            <w:r w:rsidRPr="009F5F2E">
              <w:rPr>
                <w:rStyle w:val="HTML"/>
                <w:sz w:val="24"/>
              </w:rPr>
              <w:t xml:space="preserve">Інформація, </w:t>
            </w:r>
          </w:p>
          <w:p w:rsidR="00F06449" w:rsidRPr="007B14FD" w:rsidRDefault="007B14FD" w:rsidP="009F5F2E">
            <w:pPr>
              <w:pStyle w:val="rvps2"/>
              <w:spacing w:before="0" w:beforeAutospacing="0" w:after="0" w:afterAutospacing="0"/>
              <w:jc w:val="center"/>
              <w:rPr>
                <w:color w:val="000000"/>
              </w:rPr>
            </w:pPr>
            <w:r w:rsidRPr="009F5F2E">
              <w:rPr>
                <w:rStyle w:val="HTML"/>
                <w:sz w:val="24"/>
              </w:rPr>
              <w:t xml:space="preserve">що подається </w:t>
            </w:r>
            <w:r w:rsidRPr="009F5F2E">
              <w:t>до Національної комісії з цінних паперів та фондового ринку</w:t>
            </w:r>
            <w:r w:rsidRPr="009F5F2E">
              <w:rPr>
                <w:rStyle w:val="HTML"/>
                <w:sz w:val="24"/>
              </w:rPr>
              <w:t xml:space="preserve"> суб’єктом </w:t>
            </w:r>
            <w:r w:rsidRPr="009F5F2E">
              <w:rPr>
                <w:rStyle w:val="HTML"/>
                <w:sz w:val="24"/>
              </w:rPr>
              <w:lastRenderedPageBreak/>
              <w:t xml:space="preserve">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нагляд за яким здійснює </w:t>
            </w:r>
            <w:r w:rsidRPr="009F5F2E">
              <w:t>Національна комісія з цінних паперів та фондового ринку</w:t>
            </w:r>
          </w:p>
        </w:tc>
        <w:tc>
          <w:tcPr>
            <w:tcW w:w="1474" w:type="pct"/>
          </w:tcPr>
          <w:p w:rsidR="007B14FD" w:rsidRPr="007B14FD" w:rsidRDefault="007B14FD" w:rsidP="008F4098">
            <w:pPr>
              <w:autoSpaceDE w:val="0"/>
              <w:autoSpaceDN w:val="0"/>
              <w:adjustRightInd w:val="0"/>
              <w:jc w:val="center"/>
              <w:rPr>
                <w:b/>
                <w:color w:val="000000"/>
                <w:u w:val="single"/>
              </w:rPr>
            </w:pPr>
            <w:r w:rsidRPr="007B14FD">
              <w:rPr>
                <w:b/>
                <w:color w:val="000000"/>
                <w:u w:val="single"/>
              </w:rPr>
              <w:lastRenderedPageBreak/>
              <w:t>АПУ</w:t>
            </w:r>
          </w:p>
          <w:p w:rsidR="001E1F43" w:rsidRDefault="001E1F43" w:rsidP="007B14FD">
            <w:pPr>
              <w:ind w:left="72" w:firstLine="324"/>
              <w:jc w:val="both"/>
            </w:pPr>
            <w:r>
              <w:t xml:space="preserve">  </w:t>
            </w:r>
            <w:r w:rsidR="007B14FD" w:rsidRPr="007B14FD">
              <w:t xml:space="preserve">Пропонується </w:t>
            </w:r>
            <w:r>
              <w:t>викласти назву Форми 2 в такій редакції:</w:t>
            </w:r>
          </w:p>
          <w:p w:rsidR="001E1F43" w:rsidRDefault="001E1F43" w:rsidP="001E1F43">
            <w:pPr>
              <w:jc w:val="both"/>
            </w:pPr>
            <w:r>
              <w:t xml:space="preserve">       «</w:t>
            </w:r>
            <w:r w:rsidRPr="009F5F2E">
              <w:rPr>
                <w:rStyle w:val="HTML"/>
                <w:sz w:val="24"/>
              </w:rPr>
              <w:t xml:space="preserve">Інформація, що подається </w:t>
            </w:r>
            <w:r w:rsidRPr="009F5F2E">
              <w:t xml:space="preserve">до Національної комісії з цінних паперів та </w:t>
            </w:r>
            <w:r w:rsidRPr="009F5F2E">
              <w:lastRenderedPageBreak/>
              <w:t>фондового ринку</w:t>
            </w:r>
            <w:r w:rsidRPr="009F5F2E">
              <w:rPr>
                <w:rStyle w:val="HTML"/>
                <w:sz w:val="24"/>
              </w:rPr>
              <w:t xml:space="preserve">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w:t>
            </w:r>
            <w:r w:rsidRPr="001E1F43">
              <w:rPr>
                <w:rStyle w:val="HTML"/>
                <w:b/>
                <w:sz w:val="24"/>
              </w:rPr>
              <w:t>обов’язковий аудит фінансової звітності якого він також проводить,</w:t>
            </w:r>
            <w:r>
              <w:rPr>
                <w:rStyle w:val="HTML"/>
                <w:sz w:val="24"/>
              </w:rPr>
              <w:t xml:space="preserve"> </w:t>
            </w:r>
            <w:r w:rsidRPr="009F5F2E">
              <w:rPr>
                <w:rStyle w:val="HTML"/>
                <w:sz w:val="24"/>
              </w:rPr>
              <w:t xml:space="preserve">нагляд за яким здійснює </w:t>
            </w:r>
            <w:r w:rsidRPr="009F5F2E">
              <w:t>Національна комісія з цінних паперів та фондового ринку</w:t>
            </w:r>
            <w:r>
              <w:t>».</w:t>
            </w:r>
          </w:p>
          <w:p w:rsidR="007B14FD" w:rsidRPr="007B14FD" w:rsidRDefault="007B14FD" w:rsidP="007B14FD">
            <w:pPr>
              <w:ind w:left="72" w:firstLine="324"/>
              <w:jc w:val="both"/>
            </w:pPr>
          </w:p>
          <w:p w:rsidR="007B14FD" w:rsidRPr="007B14FD" w:rsidRDefault="00B14642" w:rsidP="007B14FD">
            <w:pPr>
              <w:autoSpaceDE w:val="0"/>
              <w:autoSpaceDN w:val="0"/>
              <w:adjustRightInd w:val="0"/>
              <w:jc w:val="both"/>
              <w:rPr>
                <w:b/>
              </w:rPr>
            </w:pPr>
            <w:r>
              <w:rPr>
                <w:b/>
              </w:rPr>
              <w:t xml:space="preserve">         </w:t>
            </w:r>
            <w:r w:rsidR="007B14FD" w:rsidRPr="007B14FD">
              <w:rPr>
                <w:b/>
              </w:rPr>
              <w:t>Обґрунтування:</w:t>
            </w:r>
          </w:p>
          <w:p w:rsidR="00F06449" w:rsidRPr="007B14FD" w:rsidRDefault="000B0173" w:rsidP="000B0173">
            <w:pPr>
              <w:tabs>
                <w:tab w:val="left" w:pos="-3780"/>
              </w:tabs>
              <w:ind w:firstLine="567"/>
              <w:jc w:val="both"/>
            </w:pPr>
            <w:r>
              <w:t>Поточна редакція Рішення, розміщеного на сайті Комісії, не містить уточнення про те, що інформування органу нагляду здійснюється суб’єктами аудиторської діяльності стосовно юридичної особи, що має тісні зв’язки з підприємством, що становить суспільний інтерес, лише у випадках, якщо суб’єкт проводить також обов’язковий аудит фінансової звітності такого підприємства. Це може призвести до неправильного (розширеного, порівняно із Законом про аудит фінансової звітності та аудиторську діяльність в Україні) тлумачення норм Рішення.</w:t>
            </w:r>
          </w:p>
        </w:tc>
        <w:tc>
          <w:tcPr>
            <w:tcW w:w="1113" w:type="pct"/>
          </w:tcPr>
          <w:p w:rsidR="00F06449" w:rsidRPr="006242B3" w:rsidRDefault="00F06449" w:rsidP="008F4098">
            <w:pPr>
              <w:tabs>
                <w:tab w:val="left" w:pos="-3780"/>
              </w:tabs>
              <w:ind w:firstLine="567"/>
              <w:jc w:val="both"/>
              <w:rPr>
                <w:highlight w:val="cyan"/>
              </w:rPr>
            </w:pPr>
          </w:p>
          <w:p w:rsidR="00F06449" w:rsidRPr="006242B3" w:rsidRDefault="00BB2C82" w:rsidP="00BB2C82">
            <w:pPr>
              <w:tabs>
                <w:tab w:val="left" w:pos="-3780"/>
              </w:tabs>
              <w:ind w:firstLine="567"/>
              <w:jc w:val="center"/>
              <w:rPr>
                <w:highlight w:val="cyan"/>
              </w:rPr>
            </w:pPr>
            <w:r w:rsidRPr="009F5F2E">
              <w:rPr>
                <w:rStyle w:val="HTML"/>
                <w:sz w:val="24"/>
              </w:rPr>
              <w:t xml:space="preserve">Інформація, що подається </w:t>
            </w:r>
            <w:r w:rsidRPr="009F5F2E">
              <w:t>до Національної комісії з цінних паперів та фондового ринку</w:t>
            </w:r>
            <w:r w:rsidRPr="009F5F2E">
              <w:rPr>
                <w:rStyle w:val="HTML"/>
                <w:sz w:val="24"/>
              </w:rPr>
              <w:t xml:space="preserve"> суб’єктом аудиторської </w:t>
            </w:r>
            <w:r w:rsidRPr="009F5F2E">
              <w:rPr>
                <w:rStyle w:val="HTML"/>
                <w:sz w:val="24"/>
              </w:rPr>
              <w:lastRenderedPageBreak/>
              <w:t xml:space="preserve">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w:t>
            </w:r>
            <w:r w:rsidRPr="001E1F43">
              <w:rPr>
                <w:rStyle w:val="HTML"/>
                <w:b/>
                <w:sz w:val="24"/>
              </w:rPr>
              <w:t>обов’язковий аудит фінансової звітності якого він також проводить,</w:t>
            </w:r>
            <w:r>
              <w:rPr>
                <w:rStyle w:val="HTML"/>
                <w:sz w:val="24"/>
              </w:rPr>
              <w:t xml:space="preserve"> </w:t>
            </w:r>
            <w:r w:rsidRPr="009F5F2E">
              <w:rPr>
                <w:rStyle w:val="HTML"/>
                <w:sz w:val="24"/>
              </w:rPr>
              <w:t xml:space="preserve">нагляд за яким здійснює </w:t>
            </w:r>
            <w:r w:rsidRPr="009F5F2E">
              <w:t>Національна комісія з цінних паперів та фондового ринку</w:t>
            </w:r>
          </w:p>
        </w:tc>
        <w:tc>
          <w:tcPr>
            <w:tcW w:w="934" w:type="pct"/>
          </w:tcPr>
          <w:p w:rsidR="00F06449" w:rsidRPr="00BB2C82" w:rsidRDefault="00F06449" w:rsidP="008F4098">
            <w:pPr>
              <w:ind w:firstLine="324"/>
              <w:jc w:val="both"/>
              <w:rPr>
                <w:b/>
              </w:rPr>
            </w:pPr>
          </w:p>
          <w:p w:rsidR="00F06449" w:rsidRPr="00BB2C82" w:rsidRDefault="00F06449" w:rsidP="008F4098">
            <w:pPr>
              <w:ind w:firstLine="324"/>
              <w:jc w:val="both"/>
              <w:rPr>
                <w:b/>
              </w:rPr>
            </w:pPr>
            <w:r w:rsidRPr="00BB2C82">
              <w:rPr>
                <w:b/>
              </w:rPr>
              <w:t>Враховано</w:t>
            </w:r>
          </w:p>
          <w:p w:rsidR="00F06449" w:rsidRPr="00BB2C82" w:rsidRDefault="00F06449" w:rsidP="008F4098">
            <w:pPr>
              <w:ind w:firstLine="324"/>
              <w:jc w:val="both"/>
              <w:rPr>
                <w:b/>
              </w:rPr>
            </w:pPr>
          </w:p>
          <w:p w:rsidR="00F06449" w:rsidRPr="00BB2C82" w:rsidRDefault="00F06449" w:rsidP="008F4098">
            <w:pPr>
              <w:ind w:firstLine="324"/>
              <w:jc w:val="both"/>
              <w:rPr>
                <w:b/>
              </w:rPr>
            </w:pPr>
          </w:p>
          <w:p w:rsidR="00F06449" w:rsidRPr="00BB2C82" w:rsidRDefault="00F06449" w:rsidP="008F4098">
            <w:pPr>
              <w:ind w:firstLine="324"/>
              <w:jc w:val="both"/>
              <w:rPr>
                <w:b/>
              </w:rPr>
            </w:pPr>
          </w:p>
          <w:p w:rsidR="00F06449" w:rsidRPr="00BB2C82" w:rsidRDefault="00F06449" w:rsidP="008F4098">
            <w:pPr>
              <w:ind w:firstLine="324"/>
              <w:jc w:val="both"/>
              <w:rPr>
                <w:b/>
              </w:rPr>
            </w:pPr>
          </w:p>
          <w:p w:rsidR="00F06449" w:rsidRPr="00BB2C82" w:rsidRDefault="00F06449" w:rsidP="008F4098">
            <w:pPr>
              <w:jc w:val="both"/>
            </w:pPr>
          </w:p>
        </w:tc>
      </w:tr>
      <w:tr w:rsidR="00C03211" w:rsidRPr="006242B3" w:rsidTr="00355A90">
        <w:trPr>
          <w:gridAfter w:val="1"/>
          <w:wAfter w:w="9" w:type="pct"/>
        </w:trPr>
        <w:tc>
          <w:tcPr>
            <w:tcW w:w="356" w:type="pct"/>
          </w:tcPr>
          <w:p w:rsidR="001F61AC" w:rsidRDefault="001F61AC" w:rsidP="0065372F">
            <w:pPr>
              <w:ind w:left="-28"/>
              <w:rPr>
                <w:b/>
                <w:sz w:val="20"/>
                <w:szCs w:val="20"/>
              </w:rPr>
            </w:pPr>
          </w:p>
          <w:p w:rsidR="00F06449" w:rsidRPr="001978C2" w:rsidRDefault="0065372F" w:rsidP="001F61AC">
            <w:pPr>
              <w:ind w:left="-28"/>
              <w:jc w:val="center"/>
              <w:rPr>
                <w:b/>
                <w:sz w:val="20"/>
                <w:szCs w:val="20"/>
              </w:rPr>
            </w:pPr>
            <w:r w:rsidRPr="001978C2">
              <w:rPr>
                <w:b/>
                <w:sz w:val="20"/>
                <w:szCs w:val="20"/>
              </w:rPr>
              <w:t>рядку</w:t>
            </w:r>
            <w:r w:rsidR="00F06449" w:rsidRPr="001978C2">
              <w:rPr>
                <w:b/>
                <w:sz w:val="20"/>
                <w:szCs w:val="20"/>
              </w:rPr>
              <w:t xml:space="preserve"> </w:t>
            </w:r>
            <w:r w:rsidRPr="001978C2">
              <w:rPr>
                <w:b/>
                <w:sz w:val="20"/>
                <w:szCs w:val="20"/>
              </w:rPr>
              <w:t>десятого таблиці</w:t>
            </w:r>
          </w:p>
        </w:tc>
        <w:tc>
          <w:tcPr>
            <w:tcW w:w="1114" w:type="pct"/>
          </w:tcPr>
          <w:p w:rsidR="0065372F" w:rsidRPr="001978C2" w:rsidRDefault="00F06449" w:rsidP="008F4098">
            <w:pPr>
              <w:tabs>
                <w:tab w:val="left" w:pos="-3780"/>
              </w:tabs>
              <w:jc w:val="both"/>
              <w:rPr>
                <w:b/>
              </w:rPr>
            </w:pPr>
            <w:r w:rsidRPr="001978C2">
              <w:rPr>
                <w:b/>
              </w:rPr>
              <w:t xml:space="preserve">  </w:t>
            </w:r>
          </w:p>
          <w:tbl>
            <w:tblPr>
              <w:tblW w:w="3119"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9"/>
            </w:tblGrid>
            <w:tr w:rsidR="0065372F" w:rsidRPr="001978C2" w:rsidTr="00B2794E">
              <w:tc>
                <w:tcPr>
                  <w:tcW w:w="2410" w:type="dxa"/>
                  <w:tcBorders>
                    <w:top w:val="single" w:sz="4" w:space="0" w:color="auto"/>
                    <w:left w:val="single" w:sz="4" w:space="0" w:color="auto"/>
                    <w:bottom w:val="single" w:sz="4" w:space="0" w:color="auto"/>
                    <w:right w:val="single" w:sz="4" w:space="0" w:color="auto"/>
                  </w:tcBorders>
                </w:tcPr>
                <w:p w:rsidR="0065372F" w:rsidRPr="001978C2" w:rsidRDefault="0065372F" w:rsidP="0065372F">
                  <w:pPr>
                    <w:jc w:val="both"/>
                  </w:pPr>
                  <w:r w:rsidRPr="001978C2">
                    <w:t>Дата, на яку складена фінансова звітність підприємства, аудит якого проводиться</w:t>
                  </w:r>
                </w:p>
              </w:tc>
              <w:tc>
                <w:tcPr>
                  <w:tcW w:w="709" w:type="dxa"/>
                  <w:tcBorders>
                    <w:top w:val="single" w:sz="4" w:space="0" w:color="auto"/>
                    <w:left w:val="single" w:sz="4" w:space="0" w:color="auto"/>
                    <w:bottom w:val="single" w:sz="4" w:space="0" w:color="auto"/>
                    <w:right w:val="single" w:sz="4" w:space="0" w:color="auto"/>
                  </w:tcBorders>
                </w:tcPr>
                <w:p w:rsidR="0065372F" w:rsidRPr="001978C2" w:rsidRDefault="0065372F" w:rsidP="0065372F">
                  <w:pPr>
                    <w:jc w:val="both"/>
                  </w:pPr>
                </w:p>
              </w:tc>
            </w:tr>
          </w:tbl>
          <w:p w:rsidR="00F06449" w:rsidRPr="001978C2" w:rsidRDefault="00F06449" w:rsidP="00292A22">
            <w:pPr>
              <w:tabs>
                <w:tab w:val="left" w:pos="-3780"/>
              </w:tabs>
              <w:jc w:val="both"/>
              <w:rPr>
                <w:b/>
              </w:rPr>
            </w:pPr>
          </w:p>
        </w:tc>
        <w:tc>
          <w:tcPr>
            <w:tcW w:w="1474" w:type="pct"/>
          </w:tcPr>
          <w:p w:rsidR="001457DE" w:rsidRPr="001978C2" w:rsidRDefault="001457DE" w:rsidP="001457DE">
            <w:pPr>
              <w:autoSpaceDE w:val="0"/>
              <w:autoSpaceDN w:val="0"/>
              <w:adjustRightInd w:val="0"/>
              <w:jc w:val="center"/>
              <w:rPr>
                <w:b/>
                <w:color w:val="000000"/>
                <w:u w:val="single"/>
              </w:rPr>
            </w:pPr>
            <w:r w:rsidRPr="001978C2">
              <w:rPr>
                <w:b/>
                <w:color w:val="000000"/>
                <w:u w:val="single"/>
              </w:rPr>
              <w:t>АПУ</w:t>
            </w:r>
          </w:p>
          <w:p w:rsidR="001978C2" w:rsidRDefault="001457DE" w:rsidP="001978C2">
            <w:pPr>
              <w:autoSpaceDE w:val="0"/>
              <w:autoSpaceDN w:val="0"/>
              <w:adjustRightInd w:val="0"/>
              <w:jc w:val="both"/>
            </w:pPr>
            <w:r w:rsidRPr="001978C2">
              <w:t xml:space="preserve">          </w:t>
            </w:r>
            <w:r w:rsidR="001978C2" w:rsidRPr="001978C2">
              <w:t>Пропонується рядок десят</w:t>
            </w:r>
            <w:r w:rsidR="007C2F28">
              <w:t>ий викласти в такій редакції</w:t>
            </w:r>
          </w:p>
          <w:p w:rsidR="007C2F28" w:rsidRPr="001978C2" w:rsidRDefault="007C2F28" w:rsidP="001978C2">
            <w:pPr>
              <w:autoSpaceDE w:val="0"/>
              <w:autoSpaceDN w:val="0"/>
              <w:adjustRightInd w:val="0"/>
              <w:jc w:val="both"/>
            </w:pPr>
          </w:p>
          <w:tbl>
            <w:tblPr>
              <w:tblW w:w="429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4"/>
              <w:gridCol w:w="802"/>
            </w:tblGrid>
            <w:tr w:rsidR="001978C2" w:rsidRPr="001978C2" w:rsidTr="00862EE2">
              <w:tc>
                <w:tcPr>
                  <w:tcW w:w="3494" w:type="dxa"/>
                  <w:tcBorders>
                    <w:top w:val="single" w:sz="4" w:space="0" w:color="auto"/>
                    <w:left w:val="single" w:sz="4" w:space="0" w:color="auto"/>
                    <w:bottom w:val="single" w:sz="4" w:space="0" w:color="auto"/>
                    <w:right w:val="single" w:sz="4" w:space="0" w:color="auto"/>
                  </w:tcBorders>
                </w:tcPr>
                <w:p w:rsidR="001978C2" w:rsidRPr="001978C2" w:rsidRDefault="001978C2" w:rsidP="00644DD6">
                  <w:pPr>
                    <w:jc w:val="both"/>
                  </w:pPr>
                  <w:r w:rsidRPr="001978C2">
                    <w:t xml:space="preserve">Дата, на яку складена фінансова звітність </w:t>
                  </w:r>
                  <w:r w:rsidR="00644DD6" w:rsidRPr="00644DD6">
                    <w:rPr>
                      <w:b/>
                    </w:rPr>
                    <w:t>юридичної особи</w:t>
                  </w:r>
                  <w:r w:rsidR="000A00AB">
                    <w:t xml:space="preserve"> </w:t>
                  </w:r>
                  <w:r w:rsidR="000A00AB" w:rsidRPr="000A00AB">
                    <w:rPr>
                      <w:b/>
                    </w:rPr>
                    <w:t>(що має тісні зв’язки з підприємством, що становить суспільний інтерес)</w:t>
                  </w:r>
                  <w:r w:rsidRPr="001978C2">
                    <w:t>, аудит якого проводиться</w:t>
                  </w:r>
                </w:p>
              </w:tc>
              <w:tc>
                <w:tcPr>
                  <w:tcW w:w="802" w:type="dxa"/>
                  <w:tcBorders>
                    <w:top w:val="single" w:sz="4" w:space="0" w:color="auto"/>
                    <w:left w:val="single" w:sz="4" w:space="0" w:color="auto"/>
                    <w:bottom w:val="single" w:sz="4" w:space="0" w:color="auto"/>
                    <w:right w:val="single" w:sz="4" w:space="0" w:color="auto"/>
                  </w:tcBorders>
                </w:tcPr>
                <w:p w:rsidR="001978C2" w:rsidRPr="001978C2" w:rsidRDefault="001978C2" w:rsidP="001978C2">
                  <w:pPr>
                    <w:jc w:val="both"/>
                  </w:pPr>
                </w:p>
              </w:tc>
            </w:tr>
          </w:tbl>
          <w:p w:rsidR="00F06449" w:rsidRPr="001978C2" w:rsidRDefault="001978C2" w:rsidP="00F06111">
            <w:pPr>
              <w:autoSpaceDE w:val="0"/>
              <w:autoSpaceDN w:val="0"/>
              <w:adjustRightInd w:val="0"/>
              <w:jc w:val="both"/>
              <w:rPr>
                <w:color w:val="000000"/>
              </w:rPr>
            </w:pPr>
            <w:r w:rsidRPr="001978C2">
              <w:rPr>
                <w:color w:val="000000"/>
              </w:rPr>
              <w:t xml:space="preserve">                                                                      </w:t>
            </w:r>
          </w:p>
        </w:tc>
        <w:tc>
          <w:tcPr>
            <w:tcW w:w="1113" w:type="pct"/>
          </w:tcPr>
          <w:p w:rsidR="00A7443C" w:rsidRDefault="00F06449" w:rsidP="00292A22">
            <w:pPr>
              <w:tabs>
                <w:tab w:val="left" w:pos="-3780"/>
              </w:tabs>
              <w:jc w:val="both"/>
              <w:rPr>
                <w:b/>
                <w:highlight w:val="cyan"/>
              </w:rPr>
            </w:pPr>
            <w:r w:rsidRPr="006242B3">
              <w:rPr>
                <w:b/>
                <w:highlight w:val="cyan"/>
              </w:rPr>
              <w:t xml:space="preserve">       </w:t>
            </w:r>
          </w:p>
          <w:tbl>
            <w:tblPr>
              <w:tblW w:w="326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tblGrid>
            <w:tr w:rsidR="00A7443C" w:rsidRPr="001978C2" w:rsidTr="00B2794E">
              <w:tc>
                <w:tcPr>
                  <w:tcW w:w="2552" w:type="dxa"/>
                  <w:tcBorders>
                    <w:top w:val="single" w:sz="4" w:space="0" w:color="auto"/>
                    <w:left w:val="single" w:sz="4" w:space="0" w:color="auto"/>
                    <w:bottom w:val="single" w:sz="4" w:space="0" w:color="auto"/>
                    <w:right w:val="single" w:sz="4" w:space="0" w:color="auto"/>
                  </w:tcBorders>
                </w:tcPr>
                <w:p w:rsidR="00A7443C" w:rsidRPr="001978C2" w:rsidRDefault="00A7443C" w:rsidP="00A7443C">
                  <w:pPr>
                    <w:jc w:val="both"/>
                  </w:pPr>
                  <w:r w:rsidRPr="001978C2">
                    <w:t xml:space="preserve">Дата, на яку складена фінансова звітність </w:t>
                  </w:r>
                  <w:r w:rsidRPr="00644DD6">
                    <w:rPr>
                      <w:b/>
                    </w:rPr>
                    <w:t>юридичної особи</w:t>
                  </w:r>
                  <w:r>
                    <w:t xml:space="preserve"> </w:t>
                  </w:r>
                  <w:r w:rsidRPr="000A00AB">
                    <w:rPr>
                      <w:b/>
                    </w:rPr>
                    <w:t>(що має тісні зв’язки з підприємством, що становить суспільний інтерес)</w:t>
                  </w:r>
                  <w:r w:rsidRPr="001978C2">
                    <w:t>, аудит якого проводиться</w:t>
                  </w:r>
                </w:p>
              </w:tc>
              <w:tc>
                <w:tcPr>
                  <w:tcW w:w="709" w:type="dxa"/>
                  <w:tcBorders>
                    <w:top w:val="single" w:sz="4" w:space="0" w:color="auto"/>
                    <w:left w:val="single" w:sz="4" w:space="0" w:color="auto"/>
                    <w:bottom w:val="single" w:sz="4" w:space="0" w:color="auto"/>
                    <w:right w:val="single" w:sz="4" w:space="0" w:color="auto"/>
                  </w:tcBorders>
                </w:tcPr>
                <w:p w:rsidR="00A7443C" w:rsidRPr="001978C2" w:rsidRDefault="00A7443C" w:rsidP="00A7443C">
                  <w:pPr>
                    <w:jc w:val="both"/>
                  </w:pPr>
                </w:p>
              </w:tc>
            </w:tr>
          </w:tbl>
          <w:p w:rsidR="00B01FDB" w:rsidRPr="006242B3" w:rsidRDefault="00B01FDB" w:rsidP="00A7443C">
            <w:pPr>
              <w:tabs>
                <w:tab w:val="left" w:pos="-3780"/>
              </w:tabs>
              <w:jc w:val="both"/>
              <w:rPr>
                <w:b/>
                <w:highlight w:val="cyan"/>
              </w:rPr>
            </w:pPr>
          </w:p>
        </w:tc>
        <w:tc>
          <w:tcPr>
            <w:tcW w:w="934" w:type="pct"/>
          </w:tcPr>
          <w:p w:rsidR="00A7443C" w:rsidRPr="00A7443C" w:rsidRDefault="00A7443C" w:rsidP="008F4098">
            <w:pPr>
              <w:ind w:firstLine="324"/>
              <w:jc w:val="both"/>
              <w:rPr>
                <w:b/>
              </w:rPr>
            </w:pPr>
          </w:p>
          <w:p w:rsidR="00F06449" w:rsidRPr="00A7443C" w:rsidRDefault="00F06449" w:rsidP="008F4098">
            <w:pPr>
              <w:ind w:firstLine="324"/>
              <w:jc w:val="both"/>
              <w:rPr>
                <w:b/>
              </w:rPr>
            </w:pPr>
            <w:r w:rsidRPr="00A7443C">
              <w:rPr>
                <w:b/>
              </w:rPr>
              <w:t>Враховано</w:t>
            </w:r>
          </w:p>
        </w:tc>
      </w:tr>
      <w:tr w:rsidR="00C03211" w:rsidRPr="00CF4A39" w:rsidTr="00355A90">
        <w:trPr>
          <w:gridAfter w:val="1"/>
          <w:wAfter w:w="9" w:type="pct"/>
        </w:trPr>
        <w:tc>
          <w:tcPr>
            <w:tcW w:w="356" w:type="pct"/>
          </w:tcPr>
          <w:p w:rsidR="00FF0E53" w:rsidRDefault="00FF0E53" w:rsidP="00D8282D">
            <w:pPr>
              <w:ind w:left="-28"/>
              <w:jc w:val="center"/>
              <w:rPr>
                <w:b/>
                <w:sz w:val="20"/>
                <w:szCs w:val="20"/>
              </w:rPr>
            </w:pPr>
          </w:p>
          <w:p w:rsidR="00D8282D" w:rsidRPr="00CF4A39" w:rsidRDefault="00D8282D" w:rsidP="00D8282D">
            <w:pPr>
              <w:ind w:left="-28"/>
              <w:jc w:val="center"/>
              <w:rPr>
                <w:b/>
                <w:sz w:val="20"/>
                <w:szCs w:val="20"/>
              </w:rPr>
            </w:pPr>
            <w:r>
              <w:rPr>
                <w:b/>
                <w:sz w:val="20"/>
                <w:szCs w:val="20"/>
              </w:rPr>
              <w:t>рядків одинадцятого та дванадцятого</w:t>
            </w:r>
            <w:r w:rsidR="00BE76C8">
              <w:rPr>
                <w:b/>
                <w:sz w:val="20"/>
                <w:szCs w:val="20"/>
              </w:rPr>
              <w:t xml:space="preserve"> таблиці</w:t>
            </w:r>
          </w:p>
        </w:tc>
        <w:tc>
          <w:tcPr>
            <w:tcW w:w="1114" w:type="pct"/>
          </w:tcPr>
          <w:p w:rsidR="00D8282D" w:rsidRDefault="00D8282D" w:rsidP="00D8282D">
            <w:pPr>
              <w:tabs>
                <w:tab w:val="left" w:pos="-3780"/>
              </w:tabs>
              <w:jc w:val="both"/>
              <w:rPr>
                <w:b/>
                <w:highlight w:val="cyan"/>
              </w:rPr>
            </w:pPr>
          </w:p>
          <w:p w:rsidR="00D8282D" w:rsidRDefault="00D8282D" w:rsidP="00D8282D">
            <w:pPr>
              <w:tabs>
                <w:tab w:val="left" w:pos="-3780"/>
              </w:tabs>
              <w:jc w:val="both"/>
              <w:rPr>
                <w:b/>
                <w:highlight w:val="cyan"/>
              </w:rPr>
            </w:pPr>
          </w:p>
          <w:p w:rsidR="00D8282D" w:rsidRDefault="00D8282D" w:rsidP="00D8282D">
            <w:pPr>
              <w:tabs>
                <w:tab w:val="left" w:pos="-3780"/>
              </w:tabs>
              <w:jc w:val="both"/>
              <w:rPr>
                <w:b/>
                <w:highlight w:val="cyan"/>
              </w:rPr>
            </w:pPr>
          </w:p>
          <w:tbl>
            <w:tblPr>
              <w:tblpPr w:leftFromText="180" w:rightFromText="180" w:vertAnchor="text" w:horzAnchor="margin" w:tblpX="137" w:tblpY="-264"/>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134"/>
            </w:tblGrid>
            <w:tr w:rsidR="00D8282D" w:rsidRPr="00190F99" w:rsidTr="00C03211">
              <w:tc>
                <w:tcPr>
                  <w:tcW w:w="846" w:type="dxa"/>
                  <w:tcBorders>
                    <w:top w:val="single" w:sz="4" w:space="0" w:color="auto"/>
                    <w:left w:val="single" w:sz="4" w:space="0" w:color="auto"/>
                    <w:bottom w:val="single" w:sz="4" w:space="0" w:color="auto"/>
                    <w:right w:val="single" w:sz="4" w:space="0" w:color="auto"/>
                  </w:tcBorders>
                </w:tcPr>
                <w:p w:rsidR="00D8282D" w:rsidRPr="00190F99" w:rsidRDefault="00D8282D" w:rsidP="00D8282D">
                  <w:pPr>
                    <w:jc w:val="center"/>
                  </w:pPr>
                  <w:r>
                    <w:t>Тип події</w:t>
                  </w:r>
                  <w:r w:rsidRPr="007971EF">
                    <w:rPr>
                      <w:vertAlign w:val="superscript"/>
                    </w:rPr>
                    <w:t>1</w:t>
                  </w:r>
                </w:p>
              </w:tc>
              <w:tc>
                <w:tcPr>
                  <w:tcW w:w="1134" w:type="dxa"/>
                  <w:tcBorders>
                    <w:top w:val="single" w:sz="4" w:space="0" w:color="auto"/>
                    <w:left w:val="single" w:sz="4" w:space="0" w:color="auto"/>
                    <w:bottom w:val="single" w:sz="4" w:space="0" w:color="auto"/>
                    <w:right w:val="single" w:sz="4" w:space="0" w:color="auto"/>
                  </w:tcBorders>
                </w:tcPr>
                <w:p w:rsidR="00D8282D" w:rsidRPr="009A2CFB" w:rsidRDefault="00D8282D" w:rsidP="00D8282D">
                  <w:pPr>
                    <w:jc w:val="center"/>
                    <w:rPr>
                      <w:b/>
                    </w:rPr>
                  </w:pPr>
                  <w:r w:rsidRPr="009A2CFB">
                    <w:rPr>
                      <w:b/>
                    </w:rPr>
                    <w:t>Дата виявлення</w:t>
                  </w:r>
                </w:p>
              </w:tc>
              <w:tc>
                <w:tcPr>
                  <w:tcW w:w="1134" w:type="dxa"/>
                  <w:tcBorders>
                    <w:top w:val="single" w:sz="4" w:space="0" w:color="auto"/>
                    <w:left w:val="single" w:sz="4" w:space="0" w:color="auto"/>
                    <w:bottom w:val="single" w:sz="4" w:space="0" w:color="auto"/>
                    <w:right w:val="single" w:sz="4" w:space="0" w:color="auto"/>
                  </w:tcBorders>
                </w:tcPr>
                <w:p w:rsidR="00D8282D" w:rsidRPr="009A2CFB" w:rsidRDefault="00D8282D" w:rsidP="00D8282D">
                  <w:pPr>
                    <w:jc w:val="center"/>
                    <w:rPr>
                      <w:b/>
                    </w:rPr>
                  </w:pPr>
                  <w:r w:rsidRPr="009A2CFB">
                    <w:rPr>
                      <w:b/>
                    </w:rPr>
                    <w:t>Опис події</w:t>
                  </w:r>
                </w:p>
              </w:tc>
            </w:tr>
            <w:tr w:rsidR="009A2CFB" w:rsidRPr="00190F99" w:rsidTr="00C03211">
              <w:tc>
                <w:tcPr>
                  <w:tcW w:w="846" w:type="dxa"/>
                  <w:tcBorders>
                    <w:top w:val="single" w:sz="4" w:space="0" w:color="auto"/>
                    <w:left w:val="single" w:sz="4" w:space="0" w:color="auto"/>
                    <w:bottom w:val="single" w:sz="4" w:space="0" w:color="auto"/>
                    <w:right w:val="single" w:sz="4" w:space="0" w:color="auto"/>
                  </w:tcBorders>
                </w:tcPr>
                <w:p w:rsidR="00D8282D" w:rsidRPr="00190F99" w:rsidRDefault="00D8282D" w:rsidP="00BE06F4">
                  <w:pPr>
                    <w:jc w:val="center"/>
                    <w:rPr>
                      <w:i/>
                    </w:rPr>
                  </w:pPr>
                  <w:r w:rsidRPr="00190F99">
                    <w:rPr>
                      <w:i/>
                    </w:rPr>
                    <w:t>(класифікатор)</w:t>
                  </w:r>
                </w:p>
              </w:tc>
              <w:tc>
                <w:tcPr>
                  <w:tcW w:w="1134" w:type="dxa"/>
                  <w:tcBorders>
                    <w:top w:val="single" w:sz="4" w:space="0" w:color="auto"/>
                    <w:left w:val="single" w:sz="4" w:space="0" w:color="auto"/>
                    <w:bottom w:val="single" w:sz="4" w:space="0" w:color="auto"/>
                    <w:right w:val="single" w:sz="4" w:space="0" w:color="auto"/>
                  </w:tcBorders>
                </w:tcPr>
                <w:p w:rsidR="00D8282D" w:rsidRPr="00633E5A" w:rsidRDefault="00D8282D" w:rsidP="00D8282D">
                  <w:pPr>
                    <w:jc w:val="center"/>
                    <w:rPr>
                      <w:i/>
                    </w:rPr>
                  </w:pPr>
                  <w:r w:rsidRPr="00633E5A">
                    <w:rPr>
                      <w:i/>
                    </w:rPr>
                    <w:t>(дата)</w:t>
                  </w:r>
                </w:p>
              </w:tc>
              <w:tc>
                <w:tcPr>
                  <w:tcW w:w="1134" w:type="dxa"/>
                  <w:tcBorders>
                    <w:top w:val="single" w:sz="4" w:space="0" w:color="auto"/>
                    <w:left w:val="single" w:sz="4" w:space="0" w:color="auto"/>
                    <w:bottom w:val="single" w:sz="4" w:space="0" w:color="auto"/>
                    <w:right w:val="single" w:sz="4" w:space="0" w:color="auto"/>
                  </w:tcBorders>
                </w:tcPr>
                <w:p w:rsidR="00D8282D" w:rsidRPr="009A2CFB" w:rsidRDefault="00D8282D" w:rsidP="00D8282D">
                  <w:pPr>
                    <w:jc w:val="center"/>
                    <w:rPr>
                      <w:b/>
                      <w:i/>
                    </w:rPr>
                  </w:pPr>
                  <w:r w:rsidRPr="009A2CFB">
                    <w:rPr>
                      <w:b/>
                      <w:i/>
                    </w:rPr>
                    <w:t>(інформація про подію із зазначенням питань, що призвели до події)</w:t>
                  </w:r>
                </w:p>
              </w:tc>
            </w:tr>
          </w:tbl>
          <w:p w:rsidR="00D8282D" w:rsidRPr="006242B3" w:rsidRDefault="00D8282D" w:rsidP="00D8282D">
            <w:pPr>
              <w:tabs>
                <w:tab w:val="left" w:pos="-3780"/>
              </w:tabs>
              <w:jc w:val="both"/>
              <w:rPr>
                <w:b/>
                <w:highlight w:val="cyan"/>
              </w:rPr>
            </w:pPr>
          </w:p>
        </w:tc>
        <w:tc>
          <w:tcPr>
            <w:tcW w:w="1474" w:type="pct"/>
          </w:tcPr>
          <w:p w:rsidR="00D8282D" w:rsidRPr="00BF2ED1" w:rsidRDefault="00D8282D" w:rsidP="00D8282D">
            <w:pPr>
              <w:jc w:val="center"/>
              <w:rPr>
                <w:b/>
                <w:u w:val="single"/>
              </w:rPr>
            </w:pPr>
            <w:r w:rsidRPr="00BF2ED1">
              <w:rPr>
                <w:color w:val="000000"/>
              </w:rPr>
              <w:t xml:space="preserve">          </w:t>
            </w:r>
            <w:r w:rsidRPr="00BF2ED1">
              <w:rPr>
                <w:b/>
                <w:u w:val="single"/>
              </w:rPr>
              <w:t>АПУ</w:t>
            </w:r>
          </w:p>
          <w:p w:rsidR="00D8282D" w:rsidRPr="00BF2ED1" w:rsidRDefault="00D8282D" w:rsidP="00D8282D">
            <w:pPr>
              <w:autoSpaceDE w:val="0"/>
              <w:autoSpaceDN w:val="0"/>
              <w:adjustRightInd w:val="0"/>
              <w:jc w:val="both"/>
              <w:rPr>
                <w:color w:val="000000"/>
              </w:rPr>
            </w:pPr>
            <w:r w:rsidRPr="00BF2ED1">
              <w:t xml:space="preserve">           Пропонується рядки </w:t>
            </w:r>
            <w:r>
              <w:t xml:space="preserve">одинадцятий та дванадцятий </w:t>
            </w:r>
            <w:r w:rsidRPr="00BF2ED1">
              <w:t>таблиці викласти в такій редакції</w:t>
            </w:r>
            <w:r w:rsidRPr="00BF2ED1">
              <w:rPr>
                <w:color w:val="000000"/>
              </w:rPr>
              <w:t>:</w:t>
            </w:r>
          </w:p>
          <w:p w:rsidR="00D8282D" w:rsidRPr="00BF2ED1" w:rsidRDefault="00D8282D" w:rsidP="00D8282D">
            <w:pPr>
              <w:autoSpaceDE w:val="0"/>
              <w:autoSpaceDN w:val="0"/>
              <w:adjustRightInd w:val="0"/>
              <w:jc w:val="both"/>
              <w:rPr>
                <w:color w:val="000000"/>
              </w:rPr>
            </w:pPr>
            <w:r w:rsidRPr="00BF2ED1">
              <w:rPr>
                <w:color w:val="000000"/>
              </w:rPr>
              <w:t xml:space="preserve">                                                                </w:t>
            </w:r>
          </w:p>
          <w:tbl>
            <w:tblPr>
              <w:tblpPr w:leftFromText="180" w:rightFromText="180" w:vertAnchor="text" w:horzAnchor="margin" w:tblpXSpec="center" w:tblpY="-57"/>
              <w:tblOverlap w:val="neve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352"/>
            </w:tblGrid>
            <w:tr w:rsidR="00D8282D" w:rsidRPr="00BF2ED1" w:rsidTr="007919B0">
              <w:tc>
                <w:tcPr>
                  <w:tcW w:w="1329" w:type="dxa"/>
                  <w:tcBorders>
                    <w:top w:val="single" w:sz="4" w:space="0" w:color="auto"/>
                    <w:left w:val="single" w:sz="4" w:space="0" w:color="auto"/>
                    <w:bottom w:val="single" w:sz="4" w:space="0" w:color="auto"/>
                    <w:right w:val="single" w:sz="4" w:space="0" w:color="auto"/>
                  </w:tcBorders>
                </w:tcPr>
                <w:p w:rsidR="00D8282D" w:rsidRPr="00BF2ED1" w:rsidRDefault="00D8282D" w:rsidP="00D8282D">
                  <w:pPr>
                    <w:jc w:val="center"/>
                  </w:pPr>
                  <w:r w:rsidRPr="00BF2ED1">
                    <w:t>Тип події</w:t>
                  </w:r>
                  <w:r w:rsidRPr="00BF2ED1">
                    <w:rPr>
                      <w:vertAlign w:val="superscript"/>
                    </w:rPr>
                    <w:t>1</w:t>
                  </w:r>
                </w:p>
              </w:tc>
              <w:tc>
                <w:tcPr>
                  <w:tcW w:w="2352" w:type="dxa"/>
                  <w:tcBorders>
                    <w:top w:val="single" w:sz="4" w:space="0" w:color="auto"/>
                    <w:left w:val="single" w:sz="4" w:space="0" w:color="auto"/>
                    <w:bottom w:val="single" w:sz="4" w:space="0" w:color="auto"/>
                    <w:right w:val="single" w:sz="4" w:space="0" w:color="auto"/>
                  </w:tcBorders>
                </w:tcPr>
                <w:p w:rsidR="00D8282D" w:rsidRPr="009A2CFB" w:rsidRDefault="00D8282D" w:rsidP="00D8282D">
                  <w:pPr>
                    <w:jc w:val="center"/>
                    <w:rPr>
                      <w:b/>
                    </w:rPr>
                  </w:pPr>
                  <w:r w:rsidRPr="009A2CFB">
                    <w:rPr>
                      <w:b/>
                    </w:rPr>
                    <w:t>Дата</w:t>
                  </w:r>
                </w:p>
                <w:p w:rsidR="00D8282D" w:rsidRPr="00BF2ED1" w:rsidRDefault="00D8282D" w:rsidP="00D8282D">
                  <w:pPr>
                    <w:jc w:val="center"/>
                  </w:pPr>
                  <w:r w:rsidRPr="009A2CFB">
                    <w:rPr>
                      <w:b/>
                    </w:rPr>
                    <w:t>аудиторського звіту</w:t>
                  </w:r>
                </w:p>
              </w:tc>
            </w:tr>
            <w:tr w:rsidR="00D8282D" w:rsidRPr="00BF2ED1" w:rsidTr="007919B0">
              <w:tc>
                <w:tcPr>
                  <w:tcW w:w="1329" w:type="dxa"/>
                  <w:tcBorders>
                    <w:top w:val="single" w:sz="4" w:space="0" w:color="auto"/>
                    <w:left w:val="single" w:sz="4" w:space="0" w:color="auto"/>
                    <w:bottom w:val="single" w:sz="4" w:space="0" w:color="auto"/>
                    <w:right w:val="single" w:sz="4" w:space="0" w:color="auto"/>
                  </w:tcBorders>
                </w:tcPr>
                <w:p w:rsidR="00D8282D" w:rsidRPr="00BF2ED1" w:rsidRDefault="00D8282D" w:rsidP="00D8282D">
                  <w:pPr>
                    <w:jc w:val="center"/>
                    <w:rPr>
                      <w:i/>
                    </w:rPr>
                  </w:pPr>
                  <w:r w:rsidRPr="00BF2ED1">
                    <w:rPr>
                      <w:i/>
                    </w:rPr>
                    <w:t>(класифіка тор)</w:t>
                  </w:r>
                </w:p>
              </w:tc>
              <w:tc>
                <w:tcPr>
                  <w:tcW w:w="2352" w:type="dxa"/>
                  <w:tcBorders>
                    <w:top w:val="single" w:sz="4" w:space="0" w:color="auto"/>
                    <w:left w:val="single" w:sz="4" w:space="0" w:color="auto"/>
                    <w:bottom w:val="single" w:sz="4" w:space="0" w:color="auto"/>
                    <w:right w:val="single" w:sz="4" w:space="0" w:color="auto"/>
                  </w:tcBorders>
                </w:tcPr>
                <w:p w:rsidR="00D8282D" w:rsidRPr="00BF2ED1" w:rsidRDefault="00D8282D" w:rsidP="00D8282D">
                  <w:pPr>
                    <w:jc w:val="center"/>
                    <w:rPr>
                      <w:i/>
                    </w:rPr>
                  </w:pPr>
                  <w:r w:rsidRPr="00BF2ED1">
                    <w:rPr>
                      <w:i/>
                    </w:rPr>
                    <w:t>(дата)</w:t>
                  </w:r>
                </w:p>
              </w:tc>
            </w:tr>
          </w:tbl>
          <w:p w:rsidR="00D8282D" w:rsidRPr="008710F6" w:rsidRDefault="00E4768D" w:rsidP="00D8282D">
            <w:pPr>
              <w:autoSpaceDE w:val="0"/>
              <w:autoSpaceDN w:val="0"/>
              <w:adjustRightInd w:val="0"/>
              <w:jc w:val="both"/>
              <w:rPr>
                <w:b/>
              </w:rPr>
            </w:pPr>
            <w:r>
              <w:rPr>
                <w:b/>
              </w:rPr>
              <w:t xml:space="preserve">       </w:t>
            </w:r>
            <w:r w:rsidR="00D8282D" w:rsidRPr="00BF2ED1">
              <w:rPr>
                <w:b/>
              </w:rPr>
              <w:t>Обґрунтування:</w:t>
            </w:r>
          </w:p>
          <w:p w:rsidR="00D8282D" w:rsidRDefault="00D8282D" w:rsidP="00D8282D">
            <w:pPr>
              <w:autoSpaceDE w:val="0"/>
              <w:autoSpaceDN w:val="0"/>
              <w:adjustRightInd w:val="0"/>
              <w:jc w:val="both"/>
            </w:pPr>
            <w:r w:rsidRPr="008710F6">
              <w:t xml:space="preserve">       А</w:t>
            </w:r>
            <w:r>
              <w:t>ПУ вважає, що «Дата виявлення» необхідно змінити на «Дата аудиторського звіту».</w:t>
            </w:r>
          </w:p>
          <w:p w:rsidR="00D8282D" w:rsidRPr="006242B3" w:rsidRDefault="00D8282D" w:rsidP="00D8282D">
            <w:pPr>
              <w:autoSpaceDE w:val="0"/>
              <w:autoSpaceDN w:val="0"/>
              <w:adjustRightInd w:val="0"/>
              <w:jc w:val="both"/>
              <w:rPr>
                <w:color w:val="000000"/>
                <w:highlight w:val="cyan"/>
              </w:rPr>
            </w:pPr>
            <w:r>
              <w:t xml:space="preserve">       Крім того, АПУ звертає увагу на те, що Закон України «Про аудит фінансової звітності та аудиторську діяльність» зобов’язує суб’єкта аудиторської діяльності інформувати наглядовий орган лише про певні, визначені абзацами 2 – 3 частини 1 статті 36 цього Закону події, але не вимагає надавати також інформацію «про подію із зазначенням питань, що призвели до події». Встановлення таких додаткових вимог до суб’єктів аудиторської діяльності не передбачено нормами зазначеного Закону.</w:t>
            </w:r>
          </w:p>
        </w:tc>
        <w:tc>
          <w:tcPr>
            <w:tcW w:w="1113" w:type="pct"/>
          </w:tcPr>
          <w:p w:rsidR="00D8282D" w:rsidRDefault="00D8282D" w:rsidP="00D8282D">
            <w:pPr>
              <w:pStyle w:val="rvps2"/>
              <w:spacing w:before="0" w:beforeAutospacing="0" w:after="0" w:afterAutospacing="0"/>
              <w:jc w:val="both"/>
            </w:pPr>
          </w:p>
          <w:p w:rsidR="00B01FDB" w:rsidRDefault="00B01FDB" w:rsidP="00D8282D">
            <w:pPr>
              <w:pStyle w:val="rvps2"/>
              <w:spacing w:before="0" w:beforeAutospacing="0" w:after="0" w:afterAutospacing="0"/>
              <w:jc w:val="both"/>
            </w:pPr>
          </w:p>
          <w:p w:rsidR="00B01FDB" w:rsidRDefault="00B01FDB" w:rsidP="00D8282D">
            <w:pPr>
              <w:pStyle w:val="rvps2"/>
              <w:spacing w:before="0" w:beforeAutospacing="0" w:after="0" w:afterAutospacing="0"/>
              <w:jc w:val="both"/>
            </w:pPr>
          </w:p>
          <w:tbl>
            <w:tblPr>
              <w:tblpPr w:leftFromText="180" w:rightFromText="180" w:vertAnchor="text" w:horzAnchor="margin" w:tblpX="137" w:tblpY="-264"/>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134"/>
            </w:tblGrid>
            <w:tr w:rsidR="00B01FDB" w:rsidRPr="00190F99" w:rsidTr="00C03211">
              <w:tc>
                <w:tcPr>
                  <w:tcW w:w="846" w:type="dxa"/>
                  <w:tcBorders>
                    <w:top w:val="single" w:sz="4" w:space="0" w:color="auto"/>
                    <w:left w:val="single" w:sz="4" w:space="0" w:color="auto"/>
                    <w:bottom w:val="single" w:sz="4" w:space="0" w:color="auto"/>
                    <w:right w:val="single" w:sz="4" w:space="0" w:color="auto"/>
                  </w:tcBorders>
                </w:tcPr>
                <w:p w:rsidR="00B01FDB" w:rsidRPr="00190F99" w:rsidRDefault="00B01FDB" w:rsidP="00B01FDB">
                  <w:pPr>
                    <w:jc w:val="center"/>
                  </w:pPr>
                  <w:r>
                    <w:t>Тип події</w:t>
                  </w:r>
                  <w:r w:rsidRPr="007971EF">
                    <w:rPr>
                      <w:vertAlign w:val="superscript"/>
                    </w:rPr>
                    <w:t>1</w:t>
                  </w:r>
                </w:p>
              </w:tc>
              <w:tc>
                <w:tcPr>
                  <w:tcW w:w="1134" w:type="dxa"/>
                  <w:tcBorders>
                    <w:top w:val="single" w:sz="4" w:space="0" w:color="auto"/>
                    <w:left w:val="single" w:sz="4" w:space="0" w:color="auto"/>
                    <w:bottom w:val="single" w:sz="4" w:space="0" w:color="auto"/>
                    <w:right w:val="single" w:sz="4" w:space="0" w:color="auto"/>
                  </w:tcBorders>
                </w:tcPr>
                <w:p w:rsidR="00B01FDB" w:rsidRPr="009A2CFB" w:rsidRDefault="00B01FDB" w:rsidP="00B01FDB">
                  <w:pPr>
                    <w:jc w:val="center"/>
                    <w:rPr>
                      <w:b/>
                    </w:rPr>
                  </w:pPr>
                  <w:r w:rsidRPr="009A2CFB">
                    <w:rPr>
                      <w:b/>
                    </w:rPr>
                    <w:t>Дата виявлення</w:t>
                  </w:r>
                </w:p>
              </w:tc>
              <w:tc>
                <w:tcPr>
                  <w:tcW w:w="1134" w:type="dxa"/>
                  <w:tcBorders>
                    <w:top w:val="single" w:sz="4" w:space="0" w:color="auto"/>
                    <w:left w:val="single" w:sz="4" w:space="0" w:color="auto"/>
                    <w:bottom w:val="single" w:sz="4" w:space="0" w:color="auto"/>
                    <w:right w:val="single" w:sz="4" w:space="0" w:color="auto"/>
                  </w:tcBorders>
                </w:tcPr>
                <w:p w:rsidR="00B01FDB" w:rsidRPr="009A2CFB" w:rsidRDefault="00B01FDB" w:rsidP="00B01FDB">
                  <w:pPr>
                    <w:jc w:val="center"/>
                    <w:rPr>
                      <w:b/>
                    </w:rPr>
                  </w:pPr>
                  <w:r w:rsidRPr="009A2CFB">
                    <w:rPr>
                      <w:b/>
                    </w:rPr>
                    <w:t>Опис події</w:t>
                  </w:r>
                </w:p>
              </w:tc>
            </w:tr>
            <w:tr w:rsidR="00B01FDB" w:rsidRPr="00190F99" w:rsidTr="00C03211">
              <w:tc>
                <w:tcPr>
                  <w:tcW w:w="846" w:type="dxa"/>
                  <w:tcBorders>
                    <w:top w:val="single" w:sz="4" w:space="0" w:color="auto"/>
                    <w:left w:val="single" w:sz="4" w:space="0" w:color="auto"/>
                    <w:bottom w:val="single" w:sz="4" w:space="0" w:color="auto"/>
                    <w:right w:val="single" w:sz="4" w:space="0" w:color="auto"/>
                  </w:tcBorders>
                </w:tcPr>
                <w:p w:rsidR="00B01FDB" w:rsidRPr="00190F99" w:rsidRDefault="00B01FDB" w:rsidP="00B01FDB">
                  <w:pPr>
                    <w:jc w:val="center"/>
                    <w:rPr>
                      <w:i/>
                    </w:rPr>
                  </w:pPr>
                  <w:r w:rsidRPr="00190F99">
                    <w:rPr>
                      <w:i/>
                    </w:rPr>
                    <w:t>(класифікатор)</w:t>
                  </w:r>
                </w:p>
              </w:tc>
              <w:tc>
                <w:tcPr>
                  <w:tcW w:w="1134" w:type="dxa"/>
                  <w:tcBorders>
                    <w:top w:val="single" w:sz="4" w:space="0" w:color="auto"/>
                    <w:left w:val="single" w:sz="4" w:space="0" w:color="auto"/>
                    <w:bottom w:val="single" w:sz="4" w:space="0" w:color="auto"/>
                    <w:right w:val="single" w:sz="4" w:space="0" w:color="auto"/>
                  </w:tcBorders>
                </w:tcPr>
                <w:p w:rsidR="00B01FDB" w:rsidRPr="00633E5A" w:rsidRDefault="00B01FDB" w:rsidP="00B01FDB">
                  <w:pPr>
                    <w:jc w:val="center"/>
                    <w:rPr>
                      <w:i/>
                    </w:rPr>
                  </w:pPr>
                  <w:r w:rsidRPr="00633E5A">
                    <w:rPr>
                      <w:i/>
                    </w:rPr>
                    <w:t>(дата)</w:t>
                  </w:r>
                </w:p>
              </w:tc>
              <w:tc>
                <w:tcPr>
                  <w:tcW w:w="1134" w:type="dxa"/>
                  <w:tcBorders>
                    <w:top w:val="single" w:sz="4" w:space="0" w:color="auto"/>
                    <w:left w:val="single" w:sz="4" w:space="0" w:color="auto"/>
                    <w:bottom w:val="single" w:sz="4" w:space="0" w:color="auto"/>
                    <w:right w:val="single" w:sz="4" w:space="0" w:color="auto"/>
                  </w:tcBorders>
                </w:tcPr>
                <w:p w:rsidR="00B01FDB" w:rsidRPr="009A2CFB" w:rsidRDefault="00B01FDB" w:rsidP="00D824B8">
                  <w:pPr>
                    <w:jc w:val="center"/>
                    <w:rPr>
                      <w:b/>
                      <w:i/>
                    </w:rPr>
                  </w:pPr>
                  <w:r w:rsidRPr="009A2CFB">
                    <w:rPr>
                      <w:b/>
                      <w:i/>
                    </w:rPr>
                    <w:t>(</w:t>
                  </w:r>
                  <w:r w:rsidR="0038767B" w:rsidRPr="00F7652D">
                    <w:rPr>
                      <w:b/>
                      <w:i/>
                    </w:rPr>
                    <w:t>інформація</w:t>
                  </w:r>
                  <w:r w:rsidR="00D824B8">
                    <w:rPr>
                      <w:b/>
                      <w:i/>
                    </w:rPr>
                    <w:t xml:space="preserve"> про </w:t>
                  </w:r>
                  <w:r w:rsidR="0038767B" w:rsidRPr="00F7652D">
                    <w:rPr>
                      <w:b/>
                      <w:i/>
                    </w:rPr>
                    <w:t>поді</w:t>
                  </w:r>
                  <w:r w:rsidR="00D824B8">
                    <w:rPr>
                      <w:b/>
                      <w:i/>
                    </w:rPr>
                    <w:t>ю</w:t>
                  </w:r>
                  <w:r w:rsidRPr="009A2CFB">
                    <w:rPr>
                      <w:b/>
                      <w:i/>
                    </w:rPr>
                    <w:t>)</w:t>
                  </w:r>
                </w:p>
              </w:tc>
            </w:tr>
          </w:tbl>
          <w:p w:rsidR="00B01FDB" w:rsidRDefault="00B01FDB" w:rsidP="00D8282D">
            <w:pPr>
              <w:pStyle w:val="rvps2"/>
              <w:spacing w:before="0" w:beforeAutospacing="0" w:after="0" w:afterAutospacing="0"/>
              <w:jc w:val="both"/>
            </w:pPr>
          </w:p>
          <w:p w:rsidR="00B01FDB" w:rsidRPr="00846FB4" w:rsidRDefault="00B01FDB" w:rsidP="00D8282D">
            <w:pPr>
              <w:pStyle w:val="rvps2"/>
              <w:spacing w:before="0" w:beforeAutospacing="0" w:after="0" w:afterAutospacing="0"/>
              <w:jc w:val="both"/>
            </w:pPr>
          </w:p>
        </w:tc>
        <w:tc>
          <w:tcPr>
            <w:tcW w:w="934" w:type="pct"/>
          </w:tcPr>
          <w:p w:rsidR="00B01FDB" w:rsidRDefault="00B01FDB" w:rsidP="00D8282D">
            <w:pPr>
              <w:ind w:firstLine="324"/>
              <w:jc w:val="both"/>
              <w:rPr>
                <w:b/>
                <w:highlight w:val="green"/>
              </w:rPr>
            </w:pPr>
          </w:p>
          <w:p w:rsidR="00B2794E" w:rsidRPr="0038767B" w:rsidRDefault="001A6D7E" w:rsidP="00B2794E">
            <w:pPr>
              <w:jc w:val="both"/>
              <w:rPr>
                <w:b/>
              </w:rPr>
            </w:pPr>
            <w:r>
              <w:rPr>
                <w:b/>
              </w:rPr>
              <w:t xml:space="preserve">      </w:t>
            </w:r>
            <w:r w:rsidR="002655F0" w:rsidRPr="0038767B">
              <w:rPr>
                <w:b/>
              </w:rPr>
              <w:t>Частково враховано</w:t>
            </w:r>
          </w:p>
          <w:p w:rsidR="00B2794E" w:rsidRPr="0038767B" w:rsidRDefault="00B2794E" w:rsidP="00B2794E">
            <w:pPr>
              <w:jc w:val="both"/>
            </w:pPr>
            <w:r w:rsidRPr="0038767B">
              <w:rPr>
                <w:b/>
              </w:rPr>
              <w:t xml:space="preserve">    </w:t>
            </w:r>
            <w:r w:rsidR="001A6D7E">
              <w:rPr>
                <w:b/>
              </w:rPr>
              <w:t xml:space="preserve"> </w:t>
            </w:r>
            <w:r w:rsidRPr="0038767B">
              <w:rPr>
                <w:b/>
              </w:rPr>
              <w:t xml:space="preserve"> </w:t>
            </w:r>
            <w:r w:rsidRPr="0038767B">
              <w:t>Н</w:t>
            </w:r>
            <w:r w:rsidR="00E37676">
              <w:t>адання інформації про порушення</w:t>
            </w:r>
            <w:r w:rsidRPr="0038767B">
              <w:t xml:space="preserve"> п</w:t>
            </w:r>
            <w:r w:rsidR="00E37676">
              <w:t xml:space="preserve">ісля </w:t>
            </w:r>
            <w:r w:rsidRPr="0038767B">
              <w:t>дати складання  аудиторського звіту не дасть можливості Комісії</w:t>
            </w:r>
            <w:r w:rsidR="00E37676">
              <w:t xml:space="preserve"> як регулятору</w:t>
            </w:r>
            <w:r w:rsidRPr="0038767B">
              <w:t xml:space="preserve"> вчасно </w:t>
            </w:r>
            <w:r>
              <w:t>здійснити відповідні заходи реагування.</w:t>
            </w:r>
          </w:p>
          <w:p w:rsidR="00B2794E" w:rsidRPr="003825CB" w:rsidRDefault="00CB1684" w:rsidP="00FD46C0">
            <w:pPr>
              <w:ind w:firstLine="324"/>
              <w:jc w:val="both"/>
              <w:rPr>
                <w:b/>
                <w:highlight w:val="green"/>
              </w:rPr>
            </w:pPr>
            <w:r>
              <w:t>В</w:t>
            </w:r>
            <w:r w:rsidR="00B2794E" w:rsidRPr="0038767B">
              <w:t>ідповідно до частини 1 статті 36 Закону України «Про аудит фінансової звітності та аудиторську діяльність» суб’єкт аудиторської діяльності повинен повідомляти відповідний орган нагляду про будь-яку інформацію щодо питань, зазначених в абзацах другому – четвертому цієї статті, яка йому стала відома під час проведення аудиту, що, в свою чергу, передбачає необхідність наявн</w:t>
            </w:r>
            <w:r w:rsidR="00FD46C0">
              <w:t>ості</w:t>
            </w:r>
            <w:r w:rsidR="00B2794E" w:rsidRPr="0038767B">
              <w:t xml:space="preserve"> поля для опису </w:t>
            </w:r>
            <w:r w:rsidR="00FD46C0">
              <w:t>відповідної</w:t>
            </w:r>
            <w:r w:rsidR="00B2794E" w:rsidRPr="0038767B">
              <w:t xml:space="preserve"> інформації.</w:t>
            </w:r>
          </w:p>
        </w:tc>
      </w:tr>
      <w:tr w:rsidR="00C03211" w:rsidRPr="006242B3" w:rsidTr="00355A90">
        <w:trPr>
          <w:gridAfter w:val="1"/>
          <w:wAfter w:w="9" w:type="pct"/>
        </w:trPr>
        <w:tc>
          <w:tcPr>
            <w:tcW w:w="356" w:type="pct"/>
          </w:tcPr>
          <w:p w:rsidR="00FF0E53" w:rsidRPr="00CF4A39" w:rsidRDefault="00FF0E53" w:rsidP="00FF0E53">
            <w:pPr>
              <w:jc w:val="center"/>
              <w:rPr>
                <w:b/>
                <w:sz w:val="20"/>
                <w:szCs w:val="20"/>
              </w:rPr>
            </w:pPr>
          </w:p>
          <w:p w:rsidR="00FF0E53" w:rsidRPr="00CF4A39" w:rsidRDefault="00FF0E53" w:rsidP="00FF0E53">
            <w:pPr>
              <w:jc w:val="center"/>
              <w:rPr>
                <w:b/>
                <w:sz w:val="20"/>
                <w:szCs w:val="20"/>
              </w:rPr>
            </w:pPr>
            <w:r w:rsidRPr="00CF4A39">
              <w:rPr>
                <w:b/>
                <w:sz w:val="20"/>
                <w:szCs w:val="20"/>
              </w:rPr>
              <w:t xml:space="preserve">пункту </w:t>
            </w:r>
            <w:r>
              <w:rPr>
                <w:b/>
                <w:sz w:val="20"/>
                <w:szCs w:val="20"/>
              </w:rPr>
              <w:t>1</w:t>
            </w:r>
          </w:p>
          <w:p w:rsidR="00FF0E53" w:rsidRDefault="00FF0E53" w:rsidP="00FF0E53">
            <w:pPr>
              <w:ind w:left="-28"/>
              <w:jc w:val="center"/>
              <w:rPr>
                <w:b/>
                <w:sz w:val="20"/>
                <w:szCs w:val="20"/>
              </w:rPr>
            </w:pPr>
            <w:r>
              <w:rPr>
                <w:b/>
                <w:sz w:val="20"/>
                <w:szCs w:val="20"/>
              </w:rPr>
              <w:t>Приміток до</w:t>
            </w:r>
          </w:p>
          <w:p w:rsidR="00FF0E53" w:rsidRPr="00CF4A39" w:rsidRDefault="00FF0E53" w:rsidP="00FF0E53">
            <w:pPr>
              <w:ind w:left="-28"/>
              <w:jc w:val="center"/>
              <w:rPr>
                <w:b/>
                <w:sz w:val="20"/>
                <w:szCs w:val="20"/>
              </w:rPr>
            </w:pPr>
            <w:r>
              <w:rPr>
                <w:b/>
                <w:sz w:val="20"/>
                <w:szCs w:val="20"/>
              </w:rPr>
              <w:t>Форми 2</w:t>
            </w:r>
          </w:p>
        </w:tc>
        <w:tc>
          <w:tcPr>
            <w:tcW w:w="1114" w:type="pct"/>
          </w:tcPr>
          <w:p w:rsidR="00FF0E53" w:rsidRPr="00CF4A39" w:rsidRDefault="00FF0E53" w:rsidP="00FF0E53">
            <w:pPr>
              <w:pStyle w:val="rvps2"/>
              <w:spacing w:before="0" w:beforeAutospacing="0" w:after="0" w:afterAutospacing="0"/>
              <w:jc w:val="both"/>
            </w:pPr>
          </w:p>
          <w:p w:rsidR="00FF0E53" w:rsidRPr="00846FB4" w:rsidRDefault="00FF0E53" w:rsidP="00FF0E53">
            <w:pPr>
              <w:pStyle w:val="rvps2"/>
              <w:spacing w:before="0" w:beforeAutospacing="0" w:after="0" w:afterAutospacing="0"/>
              <w:jc w:val="both"/>
            </w:pPr>
            <w:r w:rsidRPr="00846FB4">
              <w:t xml:space="preserve">     </w:t>
            </w:r>
            <w:r w:rsidRPr="00846FB4">
              <w:rPr>
                <w:lang w:eastAsia="ru-RU"/>
              </w:rPr>
              <w:t xml:space="preserve">1. </w:t>
            </w:r>
            <w:r w:rsidRPr="00846FB4">
              <w:rPr>
                <w:rStyle w:val="HTML"/>
                <w:sz w:val="24"/>
              </w:rPr>
              <w:t xml:space="preserve">Інформацію, що подається </w:t>
            </w:r>
            <w:r w:rsidRPr="00846FB4">
              <w:t>до Національної комісії з цінних паперів та фондового ринку</w:t>
            </w:r>
            <w:r w:rsidRPr="00846FB4">
              <w:rPr>
                <w:rStyle w:val="HTML"/>
                <w:sz w:val="24"/>
              </w:rPr>
              <w:t xml:space="preserve">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w:t>
            </w:r>
            <w:r w:rsidRPr="00846FB4">
              <w:rPr>
                <w:rStyle w:val="HTML"/>
                <w:sz w:val="24"/>
              </w:rPr>
              <w:lastRenderedPageBreak/>
              <w:t xml:space="preserve">яким здійснює </w:t>
            </w:r>
            <w:r w:rsidRPr="00846FB4">
              <w:t xml:space="preserve">Національна комісія з цінних паперів та фондового ринку, та </w:t>
            </w:r>
            <w:r w:rsidRPr="0093587C">
              <w:t xml:space="preserve">Інформацію, </w:t>
            </w:r>
            <w:r w:rsidRPr="0093587C">
              <w:rPr>
                <w:rStyle w:val="HTML"/>
                <w:sz w:val="24"/>
              </w:rPr>
              <w:t xml:space="preserve">що подається </w:t>
            </w:r>
            <w:r w:rsidRPr="0093587C">
              <w:t>до Національної комісії з цінних паперів та фондового ринку</w:t>
            </w:r>
            <w:r w:rsidRPr="0093587C">
              <w:rPr>
                <w:rStyle w:val="HTML"/>
                <w:sz w:val="24"/>
              </w:rPr>
              <w:t xml:space="preserve">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нагляд за яким здійснює </w:t>
            </w:r>
            <w:r w:rsidRPr="0093587C">
              <w:t xml:space="preserve">Національна комісія з цінних паперів та фондового ринку </w:t>
            </w:r>
            <w:r w:rsidRPr="00846FB4">
              <w:t xml:space="preserve">(далі - Інформація), </w:t>
            </w:r>
            <w:r w:rsidRPr="00846FB4">
              <w:rPr>
                <w:lang w:eastAsia="ru-RU"/>
              </w:rPr>
              <w:t>суб’єкт аудиторської діяльності надсилає до Національної комісії з цінних паперів та фондового ринку (далі – Комісія) в електронному вигляді відповідно до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(зі змінами), затвердженого рішенням від 13 травня 2011 року № 492 та зареєстрованого Міністерством юстиції України 25 червня 2011 року за № 789/19527.</w:t>
            </w:r>
          </w:p>
        </w:tc>
        <w:tc>
          <w:tcPr>
            <w:tcW w:w="1474" w:type="pct"/>
          </w:tcPr>
          <w:p w:rsidR="00FF0E53" w:rsidRPr="00CF4A39" w:rsidRDefault="00FF0E53" w:rsidP="00FF0E53">
            <w:pPr>
              <w:jc w:val="center"/>
              <w:rPr>
                <w:b/>
                <w:u w:val="single"/>
              </w:rPr>
            </w:pPr>
            <w:r w:rsidRPr="00CF4A39">
              <w:rPr>
                <w:b/>
                <w:u w:val="single"/>
              </w:rPr>
              <w:lastRenderedPageBreak/>
              <w:t>А</w:t>
            </w:r>
            <w:r>
              <w:rPr>
                <w:b/>
                <w:u w:val="single"/>
              </w:rPr>
              <w:t>ПУ</w:t>
            </w:r>
          </w:p>
          <w:p w:rsidR="00FF0E53" w:rsidRDefault="00FF0E53" w:rsidP="00FF0E53">
            <w:pPr>
              <w:ind w:left="-111" w:firstLine="324"/>
              <w:jc w:val="both"/>
            </w:pPr>
            <w:r w:rsidRPr="00225116">
              <w:rPr>
                <w:b/>
              </w:rPr>
              <w:t xml:space="preserve">   </w:t>
            </w:r>
            <w:r w:rsidRPr="00CF4A39">
              <w:t xml:space="preserve">Пропонується </w:t>
            </w:r>
            <w:r>
              <w:t>пункт 1</w:t>
            </w:r>
            <w:r w:rsidRPr="00CF4A39">
              <w:t xml:space="preserve"> </w:t>
            </w:r>
            <w:r>
              <w:t>Приміток до Форми 1 викласти в такій редакції:</w:t>
            </w:r>
          </w:p>
          <w:p w:rsidR="00FF0E53" w:rsidRDefault="00FF0E53" w:rsidP="00FF0E53">
            <w:pPr>
              <w:ind w:left="-111" w:firstLine="324"/>
              <w:jc w:val="both"/>
            </w:pPr>
            <w:r>
              <w:t xml:space="preserve">   «</w:t>
            </w:r>
            <w:r w:rsidRPr="00846FB4">
              <w:rPr>
                <w:lang w:eastAsia="ru-RU"/>
              </w:rPr>
              <w:t xml:space="preserve">1. </w:t>
            </w:r>
            <w:r w:rsidRPr="00846FB4">
              <w:rPr>
                <w:rStyle w:val="HTML"/>
                <w:sz w:val="24"/>
              </w:rPr>
              <w:t xml:space="preserve">Інформацію, що подається </w:t>
            </w:r>
            <w:r w:rsidRPr="00846FB4">
              <w:t>до Національної комісії з цінних паперів та фондового ринку</w:t>
            </w:r>
            <w:r w:rsidRPr="00846FB4">
              <w:rPr>
                <w:rStyle w:val="HTML"/>
                <w:sz w:val="24"/>
              </w:rPr>
              <w:t xml:space="preserve">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яким здійснює </w:t>
            </w:r>
            <w:r w:rsidRPr="00846FB4">
              <w:lastRenderedPageBreak/>
              <w:t xml:space="preserve">Національна комісія з цінних паперів та фондового ринку, та </w:t>
            </w:r>
            <w:r w:rsidRPr="0093587C">
              <w:t xml:space="preserve">Інформацію, </w:t>
            </w:r>
            <w:r w:rsidRPr="0093587C">
              <w:rPr>
                <w:rStyle w:val="HTML"/>
                <w:sz w:val="24"/>
              </w:rPr>
              <w:t xml:space="preserve">що подається </w:t>
            </w:r>
            <w:r w:rsidRPr="0093587C">
              <w:t>до Національної комісії з цінних паперів та фондового ринку</w:t>
            </w:r>
            <w:r w:rsidRPr="0093587C">
              <w:rPr>
                <w:rStyle w:val="HTML"/>
                <w:sz w:val="24"/>
              </w:rPr>
              <w:t xml:space="preserve">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 </w:t>
            </w:r>
            <w:r w:rsidRPr="00312F66">
              <w:rPr>
                <w:rStyle w:val="HTML"/>
                <w:b/>
                <w:sz w:val="24"/>
              </w:rPr>
              <w:t>обов’язковий аудит</w:t>
            </w:r>
            <w:r>
              <w:rPr>
                <w:rStyle w:val="HTML"/>
                <w:sz w:val="24"/>
              </w:rPr>
              <w:t xml:space="preserve"> </w:t>
            </w:r>
            <w:r w:rsidRPr="00312F66">
              <w:rPr>
                <w:rStyle w:val="HTML"/>
                <w:b/>
                <w:sz w:val="24"/>
              </w:rPr>
              <w:t>фінансової звітності якого він також проводить,</w:t>
            </w:r>
            <w:r>
              <w:rPr>
                <w:rStyle w:val="HTML"/>
                <w:sz w:val="24"/>
              </w:rPr>
              <w:t xml:space="preserve"> </w:t>
            </w:r>
            <w:r w:rsidRPr="0093587C">
              <w:rPr>
                <w:rStyle w:val="HTML"/>
                <w:sz w:val="24"/>
              </w:rPr>
              <w:t xml:space="preserve">нагляд за яким здійснює </w:t>
            </w:r>
            <w:r w:rsidRPr="0093587C">
              <w:t xml:space="preserve">Національна комісія з цінних паперів та фондового ринку </w:t>
            </w:r>
            <w:r w:rsidRPr="00846FB4">
              <w:t xml:space="preserve">(далі - Інформація), </w:t>
            </w:r>
            <w:r w:rsidRPr="00846FB4">
              <w:rPr>
                <w:lang w:eastAsia="ru-RU"/>
              </w:rPr>
              <w:t>суб’єкт аудиторської діяльності надсилає до Національної комісії з цінних паперів та фондового ринку (далі – Комісія) в електронному вигляді відповідно до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(зі змінами), затвердженого рішенням від 13 травня 2011 року № 492 та зареєстрованого Міністерством юстиції України 25 червня 2011 року за № 789/19527.</w:t>
            </w:r>
            <w:r>
              <w:t>».</w:t>
            </w:r>
          </w:p>
          <w:p w:rsidR="00FF0E53" w:rsidRPr="00CF4A39" w:rsidRDefault="00FF0E53" w:rsidP="00FF0E53">
            <w:pPr>
              <w:ind w:left="-111" w:firstLine="324"/>
              <w:jc w:val="both"/>
            </w:pPr>
          </w:p>
          <w:p w:rsidR="00FF0E53" w:rsidRPr="008710F6" w:rsidRDefault="00E4768D" w:rsidP="00FF0E53">
            <w:pPr>
              <w:autoSpaceDE w:val="0"/>
              <w:autoSpaceDN w:val="0"/>
              <w:adjustRightInd w:val="0"/>
              <w:jc w:val="both"/>
              <w:rPr>
                <w:b/>
              </w:rPr>
            </w:pPr>
            <w:r>
              <w:rPr>
                <w:b/>
              </w:rPr>
              <w:t xml:space="preserve">       </w:t>
            </w:r>
            <w:r w:rsidR="00FF0E53" w:rsidRPr="008710F6">
              <w:rPr>
                <w:b/>
              </w:rPr>
              <w:t>Обґрунтування :</w:t>
            </w:r>
          </w:p>
          <w:p w:rsidR="00FF0E53" w:rsidRPr="00CF4A39" w:rsidRDefault="00FF0E53" w:rsidP="00FF0E53">
            <w:pPr>
              <w:autoSpaceDE w:val="0"/>
              <w:autoSpaceDN w:val="0"/>
              <w:adjustRightInd w:val="0"/>
              <w:jc w:val="both"/>
            </w:pPr>
            <w:r w:rsidRPr="008710F6">
              <w:t xml:space="preserve">       </w:t>
            </w:r>
            <w:r>
              <w:t xml:space="preserve">Поточна редакція Рішення, розміщеного на сайті Комісії, не містить уточнення про те, що інформування органу нагляду здійснюється суб’єктами аудиторської діяльності стосовно юридичної особи, що має тісні зв’язки з підприємством, що становить суспільний інтерес, лише у випадках, якщо суб’єкт проводить також обов’язковий аудит фінансової звітності такого підприємства. Це може призвести до неправильного </w:t>
            </w:r>
            <w:r>
              <w:lastRenderedPageBreak/>
              <w:t>(розширеного, порівняно із Законом про аудит фінансової звітності та аудиторську діяльність в Україні) тлумачення норм Рішення.</w:t>
            </w:r>
          </w:p>
        </w:tc>
        <w:tc>
          <w:tcPr>
            <w:tcW w:w="1113" w:type="pct"/>
          </w:tcPr>
          <w:p w:rsidR="00FF0E53" w:rsidRPr="00CF4A39" w:rsidRDefault="00FF0E53" w:rsidP="00FF0E53">
            <w:pPr>
              <w:pStyle w:val="rvps2"/>
              <w:spacing w:before="0" w:beforeAutospacing="0" w:after="0" w:afterAutospacing="0"/>
              <w:jc w:val="both"/>
            </w:pPr>
          </w:p>
          <w:p w:rsidR="00FF0E53" w:rsidRPr="00846FB4" w:rsidRDefault="00FF0E53" w:rsidP="00FF0E53">
            <w:pPr>
              <w:pStyle w:val="rvps2"/>
              <w:spacing w:before="0" w:beforeAutospacing="0" w:after="0" w:afterAutospacing="0"/>
              <w:jc w:val="both"/>
            </w:pPr>
            <w:r w:rsidRPr="00846FB4">
              <w:t xml:space="preserve">     </w:t>
            </w:r>
            <w:r w:rsidRPr="00846FB4">
              <w:rPr>
                <w:lang w:eastAsia="ru-RU"/>
              </w:rPr>
              <w:t xml:space="preserve">1. </w:t>
            </w:r>
            <w:r w:rsidRPr="00846FB4">
              <w:rPr>
                <w:rStyle w:val="HTML"/>
                <w:sz w:val="24"/>
              </w:rPr>
              <w:t xml:space="preserve">Інформацію, що подається </w:t>
            </w:r>
            <w:r w:rsidRPr="00846FB4">
              <w:t>до Національної комісії з цінних паперів та фондового ринку</w:t>
            </w:r>
            <w:r w:rsidRPr="00846FB4">
              <w:rPr>
                <w:rStyle w:val="HTML"/>
                <w:sz w:val="24"/>
              </w:rPr>
              <w:t xml:space="preserve"> суб’єктом аудиторської діяльності, який надає послуги з обов’язкового аудиту фінансової звітності підприємству, що становить суспільний інтерес, нагляд за </w:t>
            </w:r>
            <w:r w:rsidRPr="00846FB4">
              <w:rPr>
                <w:rStyle w:val="HTML"/>
                <w:sz w:val="24"/>
              </w:rPr>
              <w:lastRenderedPageBreak/>
              <w:t xml:space="preserve">яким здійснює </w:t>
            </w:r>
            <w:r w:rsidRPr="00846FB4">
              <w:t xml:space="preserve">Національна комісія з цінних паперів та фондового ринку, </w:t>
            </w:r>
            <w:r w:rsidRPr="00EB6C68">
              <w:t xml:space="preserve">та Інформацію, </w:t>
            </w:r>
            <w:r w:rsidRPr="00EB6C68">
              <w:rPr>
                <w:rStyle w:val="HTML"/>
                <w:sz w:val="24"/>
              </w:rPr>
              <w:t xml:space="preserve">що подається </w:t>
            </w:r>
            <w:r w:rsidRPr="00EB6C68">
              <w:t>до Національної комісії з цінних паперів та фондового ринку</w:t>
            </w:r>
            <w:r w:rsidRPr="00EB6C68">
              <w:rPr>
                <w:rStyle w:val="HTML"/>
                <w:sz w:val="24"/>
              </w:rPr>
              <w:t xml:space="preserve"> суб’єктом аудиторської діяльності, який надає послуги з обов’язкового аудиту фінансової звітності юридичній особі, що має тісні зв’язки з підприємством, що становить суспільний інтерес,</w:t>
            </w:r>
            <w:r w:rsidRPr="00EB6C68">
              <w:rPr>
                <w:rStyle w:val="HTML"/>
                <w:b/>
                <w:sz w:val="24"/>
              </w:rPr>
              <w:t xml:space="preserve"> </w:t>
            </w:r>
            <w:r w:rsidR="00EB6C68" w:rsidRPr="00312F66">
              <w:rPr>
                <w:rStyle w:val="HTML"/>
                <w:b/>
                <w:sz w:val="24"/>
              </w:rPr>
              <w:t>обов’язковий аудит</w:t>
            </w:r>
            <w:r w:rsidR="00EB6C68">
              <w:rPr>
                <w:rStyle w:val="HTML"/>
                <w:sz w:val="24"/>
              </w:rPr>
              <w:t xml:space="preserve"> </w:t>
            </w:r>
            <w:r w:rsidR="00EB6C68" w:rsidRPr="00312F66">
              <w:rPr>
                <w:rStyle w:val="HTML"/>
                <w:b/>
                <w:sz w:val="24"/>
              </w:rPr>
              <w:t>фінансової звітності якого він також проводить,</w:t>
            </w:r>
            <w:r w:rsidR="00EB6C68">
              <w:rPr>
                <w:rStyle w:val="HTML"/>
                <w:b/>
                <w:sz w:val="24"/>
              </w:rPr>
              <w:t xml:space="preserve"> </w:t>
            </w:r>
            <w:r w:rsidRPr="00EB6C68">
              <w:rPr>
                <w:rStyle w:val="HTML"/>
                <w:sz w:val="24"/>
              </w:rPr>
              <w:t xml:space="preserve">нагляд за яким здійснює </w:t>
            </w:r>
            <w:r w:rsidRPr="00EB6C68">
              <w:t>Національна комісія з цінних паперів та фондового ринку (далі - Інформація</w:t>
            </w:r>
            <w:r w:rsidRPr="00846FB4">
              <w:t xml:space="preserve">), </w:t>
            </w:r>
            <w:r w:rsidRPr="00846FB4">
              <w:rPr>
                <w:lang w:eastAsia="ru-RU"/>
              </w:rPr>
              <w:t>суб’єкт аудиторської діяльності надсилає до Національної комісії з цінних паперів та фондового ринку (далі – Комісія) в електронному вигляді відповідно до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(зі змінами), затвердженого рішенням від 13 травня 2011 року № 492 та зареєстрованого Міністерством юстиції України 25 червня 2011 року за № 789/19527.</w:t>
            </w:r>
          </w:p>
        </w:tc>
        <w:tc>
          <w:tcPr>
            <w:tcW w:w="934" w:type="pct"/>
          </w:tcPr>
          <w:p w:rsidR="00FF0E53" w:rsidRPr="00B05059" w:rsidRDefault="00FF0E53" w:rsidP="00FF0E53">
            <w:pPr>
              <w:ind w:firstLine="324"/>
              <w:jc w:val="both"/>
              <w:rPr>
                <w:b/>
              </w:rPr>
            </w:pPr>
          </w:p>
          <w:p w:rsidR="00FF0E53" w:rsidRPr="00B05059" w:rsidRDefault="00FF0E53" w:rsidP="00FF0E53">
            <w:pPr>
              <w:ind w:firstLine="324"/>
              <w:jc w:val="both"/>
              <w:rPr>
                <w:b/>
              </w:rPr>
            </w:pPr>
            <w:r w:rsidRPr="00B05059">
              <w:rPr>
                <w:b/>
              </w:rPr>
              <w:t>Враховано</w:t>
            </w:r>
          </w:p>
        </w:tc>
      </w:tr>
      <w:tr w:rsidR="00C03211" w:rsidRPr="006242B3" w:rsidTr="00355A90">
        <w:trPr>
          <w:gridAfter w:val="1"/>
          <w:wAfter w:w="9" w:type="pct"/>
        </w:trPr>
        <w:tc>
          <w:tcPr>
            <w:tcW w:w="356" w:type="pct"/>
          </w:tcPr>
          <w:p w:rsidR="0091066B" w:rsidRDefault="0091066B" w:rsidP="00BE76C8">
            <w:pPr>
              <w:jc w:val="center"/>
              <w:rPr>
                <w:b/>
                <w:sz w:val="20"/>
                <w:szCs w:val="20"/>
              </w:rPr>
            </w:pPr>
          </w:p>
          <w:p w:rsidR="0091066B" w:rsidRPr="00CF4A39" w:rsidRDefault="0091066B" w:rsidP="0091066B">
            <w:pPr>
              <w:jc w:val="center"/>
              <w:rPr>
                <w:b/>
                <w:sz w:val="20"/>
                <w:szCs w:val="20"/>
              </w:rPr>
            </w:pPr>
            <w:r w:rsidRPr="00CF4A39">
              <w:rPr>
                <w:b/>
                <w:sz w:val="20"/>
                <w:szCs w:val="20"/>
              </w:rPr>
              <w:t xml:space="preserve">пункту </w:t>
            </w:r>
            <w:r>
              <w:rPr>
                <w:b/>
                <w:sz w:val="20"/>
                <w:szCs w:val="20"/>
              </w:rPr>
              <w:t>1</w:t>
            </w:r>
          </w:p>
          <w:p w:rsidR="0091066B" w:rsidRDefault="0091066B" w:rsidP="0091066B">
            <w:pPr>
              <w:ind w:left="-28"/>
              <w:jc w:val="center"/>
              <w:rPr>
                <w:b/>
                <w:sz w:val="20"/>
                <w:szCs w:val="20"/>
              </w:rPr>
            </w:pPr>
            <w:r>
              <w:rPr>
                <w:b/>
                <w:sz w:val="20"/>
                <w:szCs w:val="20"/>
              </w:rPr>
              <w:t>Приміток до</w:t>
            </w:r>
          </w:p>
          <w:p w:rsidR="0091066B" w:rsidRPr="00CF4A39" w:rsidRDefault="0091066B" w:rsidP="0091066B">
            <w:pPr>
              <w:jc w:val="center"/>
              <w:rPr>
                <w:b/>
                <w:sz w:val="20"/>
                <w:szCs w:val="20"/>
              </w:rPr>
            </w:pPr>
            <w:r>
              <w:rPr>
                <w:b/>
                <w:sz w:val="20"/>
                <w:szCs w:val="20"/>
              </w:rPr>
              <w:t xml:space="preserve">Форми </w:t>
            </w:r>
            <w:r w:rsidR="00C043DA">
              <w:rPr>
                <w:b/>
                <w:sz w:val="20"/>
                <w:szCs w:val="20"/>
              </w:rPr>
              <w:t xml:space="preserve">1 та Форми </w:t>
            </w:r>
            <w:r>
              <w:rPr>
                <w:b/>
                <w:sz w:val="20"/>
                <w:szCs w:val="20"/>
              </w:rPr>
              <w:t>2</w:t>
            </w:r>
          </w:p>
        </w:tc>
        <w:tc>
          <w:tcPr>
            <w:tcW w:w="1114" w:type="pct"/>
          </w:tcPr>
          <w:p w:rsidR="0091066B" w:rsidRPr="00773DB6" w:rsidRDefault="0091066B" w:rsidP="00BE76C8">
            <w:pPr>
              <w:pStyle w:val="rvps2"/>
              <w:spacing w:before="0" w:beforeAutospacing="0" w:after="0" w:afterAutospacing="0"/>
              <w:jc w:val="both"/>
              <w:rPr>
                <w:b/>
              </w:rPr>
            </w:pPr>
          </w:p>
          <w:p w:rsidR="0091066B" w:rsidRPr="00773DB6" w:rsidRDefault="0091066B" w:rsidP="00BE76C8">
            <w:pPr>
              <w:pStyle w:val="rvps2"/>
              <w:spacing w:before="0" w:beforeAutospacing="0" w:after="0" w:afterAutospacing="0"/>
              <w:jc w:val="both"/>
              <w:rPr>
                <w:b/>
              </w:rPr>
            </w:pPr>
            <w:r w:rsidRPr="00773DB6">
              <w:rPr>
                <w:b/>
              </w:rPr>
              <w:t>…</w:t>
            </w:r>
          </w:p>
        </w:tc>
        <w:tc>
          <w:tcPr>
            <w:tcW w:w="1474" w:type="pct"/>
          </w:tcPr>
          <w:p w:rsidR="0091066B" w:rsidRDefault="0091066B" w:rsidP="0091066B">
            <w:pPr>
              <w:autoSpaceDE w:val="0"/>
              <w:autoSpaceDN w:val="0"/>
              <w:adjustRightInd w:val="0"/>
              <w:jc w:val="center"/>
              <w:rPr>
                <w:b/>
              </w:rPr>
            </w:pPr>
            <w:r w:rsidRPr="0091066B">
              <w:rPr>
                <w:b/>
                <w:u w:val="single"/>
              </w:rPr>
              <w:t>АПУ</w:t>
            </w:r>
          </w:p>
          <w:p w:rsidR="0091066B" w:rsidRDefault="0091066B" w:rsidP="0091066B">
            <w:pPr>
              <w:autoSpaceDE w:val="0"/>
              <w:autoSpaceDN w:val="0"/>
              <w:adjustRightInd w:val="0"/>
              <w:jc w:val="both"/>
              <w:rPr>
                <w:lang w:eastAsia="ru-RU"/>
              </w:rPr>
            </w:pPr>
            <w:r>
              <w:t xml:space="preserve">        АПУ звертає увагу, що проектом рішення передбачено подання інформації «в електронному вигляді </w:t>
            </w:r>
            <w:r w:rsidRPr="002351C1">
              <w:rPr>
                <w:lang w:eastAsia="ru-RU"/>
              </w:rPr>
              <w:t>відповідно до Положення про подання</w:t>
            </w:r>
            <w:r w:rsidRPr="003871B4">
              <w:rPr>
                <w:lang w:eastAsia="ru-RU"/>
              </w:rPr>
              <w:t xml:space="preserve"> адміністративних даних та інформації у вигляді електронних документів до Національної комісії з цінних паперів та фондового ринку</w:t>
            </w:r>
            <w:r>
              <w:rPr>
                <w:lang w:eastAsia="ru-RU"/>
              </w:rPr>
              <w:t xml:space="preserve"> (зі змінами)</w:t>
            </w:r>
            <w:r w:rsidRPr="003871B4">
              <w:rPr>
                <w:lang w:eastAsia="ru-RU"/>
              </w:rPr>
              <w:t>, затвердженого рішенням від 13 травня 2011 року № 492 та зареєстрованого Міністерством юстиції України 25 червня 2011 року за № 789/19527.</w:t>
            </w:r>
          </w:p>
          <w:p w:rsidR="0091066B" w:rsidRDefault="0091066B" w:rsidP="0091066B">
            <w:pPr>
              <w:autoSpaceDE w:val="0"/>
              <w:autoSpaceDN w:val="0"/>
              <w:adjustRightInd w:val="0"/>
              <w:jc w:val="both"/>
              <w:rPr>
                <w:color w:val="000000"/>
              </w:rPr>
            </w:pPr>
            <w:r>
              <w:rPr>
                <w:lang w:eastAsia="ru-RU"/>
              </w:rPr>
              <w:t xml:space="preserve">         </w:t>
            </w:r>
            <w:r w:rsidRPr="003871B4">
              <w:rPr>
                <w:color w:val="000000"/>
              </w:rPr>
              <w:t>Повідомлення у вигляді електронного документу складається відповідно до опису розділів та схем XML файлів, визначених окремим документом нормативно-технічного характеру.</w:t>
            </w:r>
            <w:r>
              <w:rPr>
                <w:color w:val="000000"/>
              </w:rPr>
              <w:t>»</w:t>
            </w:r>
          </w:p>
          <w:p w:rsidR="0091066B" w:rsidRPr="00CF4A39" w:rsidRDefault="0091066B" w:rsidP="0091066B">
            <w:pPr>
              <w:jc w:val="both"/>
              <w:rPr>
                <w:b/>
                <w:u w:val="single"/>
              </w:rPr>
            </w:pPr>
            <w:r>
              <w:rPr>
                <w:color w:val="000000"/>
              </w:rPr>
              <w:t xml:space="preserve">         Подання повідомлення у електронному вигляді відповідно до вищевказаного положення здійснюється за допомогою відповідного програмного комплексу, розробленого ДУ «АРІФРУ», та використання електронного цифрового підпису. Враховуючи, що подання інформації із застосуванням вищевказаного програмного комплексу здійснюється на платній основі, то це, відповідно, спричинить додаткове фінансове навантаження на суб’єктів аудиторської діяльності.</w:t>
            </w:r>
          </w:p>
        </w:tc>
        <w:tc>
          <w:tcPr>
            <w:tcW w:w="1113" w:type="pct"/>
          </w:tcPr>
          <w:p w:rsidR="0091066B" w:rsidRPr="00CF4A39" w:rsidRDefault="0091066B" w:rsidP="00BE76C8">
            <w:pPr>
              <w:pStyle w:val="rvps2"/>
              <w:spacing w:before="0" w:beforeAutospacing="0" w:after="0" w:afterAutospacing="0"/>
              <w:jc w:val="both"/>
            </w:pPr>
          </w:p>
        </w:tc>
        <w:tc>
          <w:tcPr>
            <w:tcW w:w="934" w:type="pct"/>
          </w:tcPr>
          <w:p w:rsidR="0091066B" w:rsidRPr="00E06EC2" w:rsidRDefault="0091066B" w:rsidP="00BE76C8">
            <w:pPr>
              <w:ind w:firstLine="324"/>
              <w:jc w:val="both"/>
              <w:rPr>
                <w:b/>
              </w:rPr>
            </w:pPr>
          </w:p>
          <w:p w:rsidR="00496A83" w:rsidRPr="00E06EC2" w:rsidRDefault="00496A83" w:rsidP="00BE76C8">
            <w:pPr>
              <w:ind w:firstLine="324"/>
              <w:jc w:val="both"/>
              <w:rPr>
                <w:b/>
              </w:rPr>
            </w:pPr>
            <w:r w:rsidRPr="00E06EC2">
              <w:rPr>
                <w:b/>
              </w:rPr>
              <w:t>Не враховано</w:t>
            </w:r>
          </w:p>
          <w:p w:rsidR="002903EA" w:rsidRDefault="002903EA" w:rsidP="00BE76C8">
            <w:pPr>
              <w:ind w:firstLine="324"/>
              <w:jc w:val="both"/>
            </w:pPr>
            <w:r w:rsidRPr="00E06EC2">
              <w:t>Відповідно до частини 2 статті 36 Закону України «Про аудит фінансової звітності та аудиторську діяльність» Комісія</w:t>
            </w:r>
            <w:r w:rsidR="006739CB">
              <w:t>, згідно з наданими їй повноваженнями</w:t>
            </w:r>
            <w:r w:rsidR="008E283F">
              <w:t>,</w:t>
            </w:r>
            <w:r w:rsidRPr="00E06EC2">
              <w:t xml:space="preserve"> зобов’язана запровадити механізм взаємодії із суб’єкт</w:t>
            </w:r>
            <w:r w:rsidR="006739CB">
              <w:t>ами</w:t>
            </w:r>
            <w:r w:rsidRPr="00E06EC2">
              <w:t xml:space="preserve"> аудиторської діяльності</w:t>
            </w:r>
            <w:r w:rsidR="008E283F">
              <w:t>, які проводять аудит фінансової звітності підприємств, що становлять суспільний інтерес.</w:t>
            </w:r>
          </w:p>
          <w:p w:rsidR="00466E8A" w:rsidRPr="00A86066" w:rsidRDefault="006D67F9" w:rsidP="00E23F2F">
            <w:pPr>
              <w:ind w:firstLine="324"/>
              <w:jc w:val="both"/>
            </w:pPr>
            <w:r>
              <w:t>Запровадження електронної форми звітності надасть можливість Комісії як регулятору оперативно реаг</w:t>
            </w:r>
            <w:r w:rsidR="00BA70FD">
              <w:t>у</w:t>
            </w:r>
            <w:r>
              <w:t>в</w:t>
            </w:r>
            <w:r w:rsidR="00BA70FD">
              <w:t>ати на відповідні порушення та вживати необхідних заходів з метою захисту прав інвесторів.</w:t>
            </w:r>
          </w:p>
        </w:tc>
      </w:tr>
    </w:tbl>
    <w:p w:rsidR="00DB78CA" w:rsidRPr="00377E4E" w:rsidRDefault="00DB78CA" w:rsidP="00377E4E">
      <w:pPr>
        <w:tabs>
          <w:tab w:val="left" w:pos="1455"/>
        </w:tabs>
      </w:pPr>
    </w:p>
    <w:sectPr w:rsidR="00DB78CA" w:rsidRPr="00377E4E" w:rsidSect="00377E4E">
      <w:footerReference w:type="even" r:id="rId8"/>
      <w:footerReference w:type="default" r:id="rId9"/>
      <w:pgSz w:w="16838" w:h="11906" w:orient="landscape"/>
      <w:pgMar w:top="567" w:right="851" w:bottom="567" w:left="851" w:header="709"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5E" w:rsidRDefault="00DF7A5E">
      <w:r>
        <w:separator/>
      </w:r>
    </w:p>
  </w:endnote>
  <w:endnote w:type="continuationSeparator" w:id="0">
    <w:p w:rsidR="00DF7A5E" w:rsidRDefault="00DF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F" w:rsidRDefault="008C4B2F" w:rsidP="00427E2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C4B2F" w:rsidRDefault="008C4B2F" w:rsidP="00717A8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F" w:rsidRDefault="008C4B2F" w:rsidP="00427E2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B1CBD">
      <w:rPr>
        <w:rStyle w:val="ab"/>
        <w:noProof/>
      </w:rPr>
      <w:t>1</w:t>
    </w:r>
    <w:r>
      <w:rPr>
        <w:rStyle w:val="ab"/>
      </w:rPr>
      <w:fldChar w:fldCharType="end"/>
    </w:r>
  </w:p>
  <w:p w:rsidR="008C4B2F" w:rsidRDefault="008C4B2F" w:rsidP="00717A8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5E" w:rsidRDefault="00DF7A5E">
      <w:r>
        <w:separator/>
      </w:r>
    </w:p>
  </w:footnote>
  <w:footnote w:type="continuationSeparator" w:id="0">
    <w:p w:rsidR="00DF7A5E" w:rsidRDefault="00DF7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374"/>
    <w:multiLevelType w:val="hybridMultilevel"/>
    <w:tmpl w:val="D0E8034E"/>
    <w:lvl w:ilvl="0" w:tplc="2D86D642">
      <w:start w:val="1"/>
      <w:numFmt w:val="decimal"/>
      <w:lvlText w:val="%1."/>
      <w:lvlJc w:val="left"/>
      <w:pPr>
        <w:tabs>
          <w:tab w:val="num" w:pos="1080"/>
        </w:tabs>
        <w:ind w:left="417" w:hanging="57"/>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8B4671"/>
    <w:multiLevelType w:val="hybridMultilevel"/>
    <w:tmpl w:val="264E0AA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00C17E3"/>
    <w:multiLevelType w:val="multilevel"/>
    <w:tmpl w:val="7B46B05A"/>
    <w:lvl w:ilvl="0">
      <w:start w:val="1"/>
      <w:numFmt w:val="decimal"/>
      <w:lvlText w:val="%1."/>
      <w:lvlJc w:val="left"/>
      <w:pPr>
        <w:tabs>
          <w:tab w:val="num" w:pos="1408"/>
        </w:tabs>
        <w:ind w:left="745" w:hanging="57"/>
      </w:pPr>
      <w:rPr>
        <w:rFonts w:cs="Times New Roman" w:hint="default"/>
      </w:rPr>
    </w:lvl>
    <w:lvl w:ilvl="1">
      <w:start w:val="1"/>
      <w:numFmt w:val="lowerLetter"/>
      <w:lvlText w:val="%2."/>
      <w:lvlJc w:val="left"/>
      <w:pPr>
        <w:tabs>
          <w:tab w:val="num" w:pos="1768"/>
        </w:tabs>
        <w:ind w:left="1768" w:hanging="360"/>
      </w:pPr>
      <w:rPr>
        <w:rFonts w:cs="Times New Roman"/>
      </w:rPr>
    </w:lvl>
    <w:lvl w:ilvl="2">
      <w:start w:val="1"/>
      <w:numFmt w:val="lowerRoman"/>
      <w:lvlText w:val="%3."/>
      <w:lvlJc w:val="right"/>
      <w:pPr>
        <w:tabs>
          <w:tab w:val="num" w:pos="2488"/>
        </w:tabs>
        <w:ind w:left="2488" w:hanging="180"/>
      </w:pPr>
      <w:rPr>
        <w:rFonts w:cs="Times New Roman"/>
      </w:rPr>
    </w:lvl>
    <w:lvl w:ilvl="3">
      <w:start w:val="1"/>
      <w:numFmt w:val="decimal"/>
      <w:lvlText w:val="%4."/>
      <w:lvlJc w:val="left"/>
      <w:pPr>
        <w:tabs>
          <w:tab w:val="num" w:pos="3208"/>
        </w:tabs>
        <w:ind w:left="3208" w:hanging="360"/>
      </w:pPr>
      <w:rPr>
        <w:rFonts w:cs="Times New Roman"/>
      </w:rPr>
    </w:lvl>
    <w:lvl w:ilvl="4">
      <w:start w:val="1"/>
      <w:numFmt w:val="lowerLetter"/>
      <w:lvlText w:val="%5."/>
      <w:lvlJc w:val="left"/>
      <w:pPr>
        <w:tabs>
          <w:tab w:val="num" w:pos="3928"/>
        </w:tabs>
        <w:ind w:left="3928" w:hanging="360"/>
      </w:pPr>
      <w:rPr>
        <w:rFonts w:cs="Times New Roman"/>
      </w:rPr>
    </w:lvl>
    <w:lvl w:ilvl="5">
      <w:start w:val="1"/>
      <w:numFmt w:val="lowerRoman"/>
      <w:lvlText w:val="%6."/>
      <w:lvlJc w:val="right"/>
      <w:pPr>
        <w:tabs>
          <w:tab w:val="num" w:pos="4648"/>
        </w:tabs>
        <w:ind w:left="4648" w:hanging="180"/>
      </w:pPr>
      <w:rPr>
        <w:rFonts w:cs="Times New Roman"/>
      </w:rPr>
    </w:lvl>
    <w:lvl w:ilvl="6">
      <w:start w:val="1"/>
      <w:numFmt w:val="decimal"/>
      <w:lvlText w:val="%7."/>
      <w:lvlJc w:val="left"/>
      <w:pPr>
        <w:tabs>
          <w:tab w:val="num" w:pos="5368"/>
        </w:tabs>
        <w:ind w:left="5368" w:hanging="360"/>
      </w:pPr>
      <w:rPr>
        <w:rFonts w:cs="Times New Roman"/>
      </w:rPr>
    </w:lvl>
    <w:lvl w:ilvl="7">
      <w:start w:val="1"/>
      <w:numFmt w:val="lowerLetter"/>
      <w:lvlText w:val="%8."/>
      <w:lvlJc w:val="left"/>
      <w:pPr>
        <w:tabs>
          <w:tab w:val="num" w:pos="6088"/>
        </w:tabs>
        <w:ind w:left="6088" w:hanging="360"/>
      </w:pPr>
      <w:rPr>
        <w:rFonts w:cs="Times New Roman"/>
      </w:rPr>
    </w:lvl>
    <w:lvl w:ilvl="8">
      <w:start w:val="1"/>
      <w:numFmt w:val="lowerRoman"/>
      <w:lvlText w:val="%9."/>
      <w:lvlJc w:val="right"/>
      <w:pPr>
        <w:tabs>
          <w:tab w:val="num" w:pos="6808"/>
        </w:tabs>
        <w:ind w:left="6808" w:hanging="180"/>
      </w:pPr>
      <w:rPr>
        <w:rFonts w:cs="Times New Roman"/>
      </w:rPr>
    </w:lvl>
  </w:abstractNum>
  <w:abstractNum w:abstractNumId="3" w15:restartNumberingAfterBreak="0">
    <w:nsid w:val="35AD781A"/>
    <w:multiLevelType w:val="hybridMultilevel"/>
    <w:tmpl w:val="325E91DA"/>
    <w:lvl w:ilvl="0" w:tplc="2D86D642">
      <w:start w:val="1"/>
      <w:numFmt w:val="decimal"/>
      <w:lvlText w:val="%1."/>
      <w:lvlJc w:val="left"/>
      <w:pPr>
        <w:tabs>
          <w:tab w:val="num" w:pos="1080"/>
        </w:tabs>
        <w:ind w:left="417" w:hanging="57"/>
      </w:pPr>
      <w:rPr>
        <w:rFonts w:cs="Times New Roman" w:hint="default"/>
      </w:rPr>
    </w:lvl>
    <w:lvl w:ilvl="1" w:tplc="04220019">
      <w:start w:val="1"/>
      <w:numFmt w:val="lowerLetter"/>
      <w:lvlText w:val="%2."/>
      <w:lvlJc w:val="left"/>
      <w:pPr>
        <w:tabs>
          <w:tab w:val="num" w:pos="1768"/>
        </w:tabs>
        <w:ind w:left="1768" w:hanging="360"/>
      </w:pPr>
      <w:rPr>
        <w:rFonts w:cs="Times New Roman"/>
      </w:rPr>
    </w:lvl>
    <w:lvl w:ilvl="2" w:tplc="0422001B" w:tentative="1">
      <w:start w:val="1"/>
      <w:numFmt w:val="lowerRoman"/>
      <w:lvlText w:val="%3."/>
      <w:lvlJc w:val="right"/>
      <w:pPr>
        <w:tabs>
          <w:tab w:val="num" w:pos="2488"/>
        </w:tabs>
        <w:ind w:left="2488" w:hanging="180"/>
      </w:pPr>
      <w:rPr>
        <w:rFonts w:cs="Times New Roman"/>
      </w:rPr>
    </w:lvl>
    <w:lvl w:ilvl="3" w:tplc="0422000F" w:tentative="1">
      <w:start w:val="1"/>
      <w:numFmt w:val="decimal"/>
      <w:lvlText w:val="%4."/>
      <w:lvlJc w:val="left"/>
      <w:pPr>
        <w:tabs>
          <w:tab w:val="num" w:pos="3208"/>
        </w:tabs>
        <w:ind w:left="3208" w:hanging="360"/>
      </w:pPr>
      <w:rPr>
        <w:rFonts w:cs="Times New Roman"/>
      </w:rPr>
    </w:lvl>
    <w:lvl w:ilvl="4" w:tplc="04220019" w:tentative="1">
      <w:start w:val="1"/>
      <w:numFmt w:val="lowerLetter"/>
      <w:lvlText w:val="%5."/>
      <w:lvlJc w:val="left"/>
      <w:pPr>
        <w:tabs>
          <w:tab w:val="num" w:pos="3928"/>
        </w:tabs>
        <w:ind w:left="3928" w:hanging="360"/>
      </w:pPr>
      <w:rPr>
        <w:rFonts w:cs="Times New Roman"/>
      </w:rPr>
    </w:lvl>
    <w:lvl w:ilvl="5" w:tplc="0422001B" w:tentative="1">
      <w:start w:val="1"/>
      <w:numFmt w:val="lowerRoman"/>
      <w:lvlText w:val="%6."/>
      <w:lvlJc w:val="right"/>
      <w:pPr>
        <w:tabs>
          <w:tab w:val="num" w:pos="4648"/>
        </w:tabs>
        <w:ind w:left="4648" w:hanging="180"/>
      </w:pPr>
      <w:rPr>
        <w:rFonts w:cs="Times New Roman"/>
      </w:rPr>
    </w:lvl>
    <w:lvl w:ilvl="6" w:tplc="0422000F" w:tentative="1">
      <w:start w:val="1"/>
      <w:numFmt w:val="decimal"/>
      <w:lvlText w:val="%7."/>
      <w:lvlJc w:val="left"/>
      <w:pPr>
        <w:tabs>
          <w:tab w:val="num" w:pos="5368"/>
        </w:tabs>
        <w:ind w:left="5368" w:hanging="360"/>
      </w:pPr>
      <w:rPr>
        <w:rFonts w:cs="Times New Roman"/>
      </w:rPr>
    </w:lvl>
    <w:lvl w:ilvl="7" w:tplc="04220019" w:tentative="1">
      <w:start w:val="1"/>
      <w:numFmt w:val="lowerLetter"/>
      <w:lvlText w:val="%8."/>
      <w:lvlJc w:val="left"/>
      <w:pPr>
        <w:tabs>
          <w:tab w:val="num" w:pos="6088"/>
        </w:tabs>
        <w:ind w:left="6088" w:hanging="360"/>
      </w:pPr>
      <w:rPr>
        <w:rFonts w:cs="Times New Roman"/>
      </w:rPr>
    </w:lvl>
    <w:lvl w:ilvl="8" w:tplc="0422001B" w:tentative="1">
      <w:start w:val="1"/>
      <w:numFmt w:val="lowerRoman"/>
      <w:lvlText w:val="%9."/>
      <w:lvlJc w:val="right"/>
      <w:pPr>
        <w:tabs>
          <w:tab w:val="num" w:pos="6808"/>
        </w:tabs>
        <w:ind w:left="6808" w:hanging="180"/>
      </w:pPr>
      <w:rPr>
        <w:rFonts w:cs="Times New Roman"/>
      </w:rPr>
    </w:lvl>
  </w:abstractNum>
  <w:abstractNum w:abstractNumId="4" w15:restartNumberingAfterBreak="0">
    <w:nsid w:val="4D1D0D9F"/>
    <w:multiLevelType w:val="hybridMultilevel"/>
    <w:tmpl w:val="2F5ADEB0"/>
    <w:lvl w:ilvl="0" w:tplc="15CCAAA2">
      <w:start w:val="1"/>
      <w:numFmt w:val="decimal"/>
      <w:lvlText w:val="%1)"/>
      <w:lvlJc w:val="left"/>
      <w:pPr>
        <w:tabs>
          <w:tab w:val="num" w:pos="1288"/>
        </w:tabs>
        <w:ind w:left="1288" w:hanging="960"/>
      </w:pPr>
      <w:rPr>
        <w:rFonts w:cs="Times New Roman" w:hint="default"/>
        <w:sz w:val="24"/>
        <w:szCs w:val="24"/>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DD34FAA"/>
    <w:multiLevelType w:val="hybridMultilevel"/>
    <w:tmpl w:val="CACC8A46"/>
    <w:lvl w:ilvl="0" w:tplc="2D86D642">
      <w:start w:val="1"/>
      <w:numFmt w:val="decimal"/>
      <w:lvlText w:val="%1."/>
      <w:lvlJc w:val="left"/>
      <w:pPr>
        <w:tabs>
          <w:tab w:val="num" w:pos="1080"/>
        </w:tabs>
        <w:ind w:left="417" w:hanging="57"/>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6CD4632"/>
    <w:multiLevelType w:val="hybridMultilevel"/>
    <w:tmpl w:val="63702618"/>
    <w:lvl w:ilvl="0" w:tplc="0422000F">
      <w:start w:val="1"/>
      <w:numFmt w:val="decimal"/>
      <w:lvlText w:val="%1."/>
      <w:lvlJc w:val="left"/>
      <w:pPr>
        <w:tabs>
          <w:tab w:val="num" w:pos="1048"/>
        </w:tabs>
        <w:ind w:left="1048" w:hanging="360"/>
      </w:pPr>
      <w:rPr>
        <w:rFonts w:cs="Times New Roman"/>
      </w:rPr>
    </w:lvl>
    <w:lvl w:ilvl="1" w:tplc="04220019" w:tentative="1">
      <w:start w:val="1"/>
      <w:numFmt w:val="lowerLetter"/>
      <w:lvlText w:val="%2."/>
      <w:lvlJc w:val="left"/>
      <w:pPr>
        <w:tabs>
          <w:tab w:val="num" w:pos="1768"/>
        </w:tabs>
        <w:ind w:left="1768" w:hanging="360"/>
      </w:pPr>
      <w:rPr>
        <w:rFonts w:cs="Times New Roman"/>
      </w:rPr>
    </w:lvl>
    <w:lvl w:ilvl="2" w:tplc="0422001B" w:tentative="1">
      <w:start w:val="1"/>
      <w:numFmt w:val="lowerRoman"/>
      <w:lvlText w:val="%3."/>
      <w:lvlJc w:val="right"/>
      <w:pPr>
        <w:tabs>
          <w:tab w:val="num" w:pos="2488"/>
        </w:tabs>
        <w:ind w:left="2488" w:hanging="180"/>
      </w:pPr>
      <w:rPr>
        <w:rFonts w:cs="Times New Roman"/>
      </w:rPr>
    </w:lvl>
    <w:lvl w:ilvl="3" w:tplc="0422000F" w:tentative="1">
      <w:start w:val="1"/>
      <w:numFmt w:val="decimal"/>
      <w:lvlText w:val="%4."/>
      <w:lvlJc w:val="left"/>
      <w:pPr>
        <w:tabs>
          <w:tab w:val="num" w:pos="3208"/>
        </w:tabs>
        <w:ind w:left="3208" w:hanging="360"/>
      </w:pPr>
      <w:rPr>
        <w:rFonts w:cs="Times New Roman"/>
      </w:rPr>
    </w:lvl>
    <w:lvl w:ilvl="4" w:tplc="04220019" w:tentative="1">
      <w:start w:val="1"/>
      <w:numFmt w:val="lowerLetter"/>
      <w:lvlText w:val="%5."/>
      <w:lvlJc w:val="left"/>
      <w:pPr>
        <w:tabs>
          <w:tab w:val="num" w:pos="3928"/>
        </w:tabs>
        <w:ind w:left="3928" w:hanging="360"/>
      </w:pPr>
      <w:rPr>
        <w:rFonts w:cs="Times New Roman"/>
      </w:rPr>
    </w:lvl>
    <w:lvl w:ilvl="5" w:tplc="0422001B" w:tentative="1">
      <w:start w:val="1"/>
      <w:numFmt w:val="lowerRoman"/>
      <w:lvlText w:val="%6."/>
      <w:lvlJc w:val="right"/>
      <w:pPr>
        <w:tabs>
          <w:tab w:val="num" w:pos="4648"/>
        </w:tabs>
        <w:ind w:left="4648" w:hanging="180"/>
      </w:pPr>
      <w:rPr>
        <w:rFonts w:cs="Times New Roman"/>
      </w:rPr>
    </w:lvl>
    <w:lvl w:ilvl="6" w:tplc="0422000F" w:tentative="1">
      <w:start w:val="1"/>
      <w:numFmt w:val="decimal"/>
      <w:lvlText w:val="%7."/>
      <w:lvlJc w:val="left"/>
      <w:pPr>
        <w:tabs>
          <w:tab w:val="num" w:pos="5368"/>
        </w:tabs>
        <w:ind w:left="5368" w:hanging="360"/>
      </w:pPr>
      <w:rPr>
        <w:rFonts w:cs="Times New Roman"/>
      </w:rPr>
    </w:lvl>
    <w:lvl w:ilvl="7" w:tplc="04220019" w:tentative="1">
      <w:start w:val="1"/>
      <w:numFmt w:val="lowerLetter"/>
      <w:lvlText w:val="%8."/>
      <w:lvlJc w:val="left"/>
      <w:pPr>
        <w:tabs>
          <w:tab w:val="num" w:pos="6088"/>
        </w:tabs>
        <w:ind w:left="6088" w:hanging="360"/>
      </w:pPr>
      <w:rPr>
        <w:rFonts w:cs="Times New Roman"/>
      </w:rPr>
    </w:lvl>
    <w:lvl w:ilvl="8" w:tplc="0422001B" w:tentative="1">
      <w:start w:val="1"/>
      <w:numFmt w:val="lowerRoman"/>
      <w:lvlText w:val="%9."/>
      <w:lvlJc w:val="right"/>
      <w:pPr>
        <w:tabs>
          <w:tab w:val="num" w:pos="6808"/>
        </w:tabs>
        <w:ind w:left="6808" w:hanging="180"/>
      </w:pPr>
      <w:rPr>
        <w:rFonts w:cs="Times New Roman"/>
      </w:rPr>
    </w:lvl>
  </w:abstractNum>
  <w:abstractNum w:abstractNumId="7" w15:restartNumberingAfterBreak="0">
    <w:nsid w:val="621930E3"/>
    <w:multiLevelType w:val="hybridMultilevel"/>
    <w:tmpl w:val="BFBE9142"/>
    <w:lvl w:ilvl="0" w:tplc="136EDDFC">
      <w:start w:val="1"/>
      <w:numFmt w:val="decimal"/>
      <w:lvlText w:val="%1."/>
      <w:lvlJc w:val="left"/>
      <w:pPr>
        <w:tabs>
          <w:tab w:val="num" w:pos="1080"/>
        </w:tabs>
        <w:ind w:left="417" w:hanging="57"/>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EDD621B"/>
    <w:multiLevelType w:val="hybridMultilevel"/>
    <w:tmpl w:val="6A42BD8C"/>
    <w:lvl w:ilvl="0" w:tplc="15CCAAA2">
      <w:start w:val="1"/>
      <w:numFmt w:val="decimal"/>
      <w:lvlText w:val="%1)"/>
      <w:lvlJc w:val="left"/>
      <w:pPr>
        <w:tabs>
          <w:tab w:val="num" w:pos="1288"/>
        </w:tabs>
        <w:ind w:left="1288" w:hanging="960"/>
      </w:pPr>
      <w:rPr>
        <w:rFonts w:cs="Times New Roman" w:hint="default"/>
        <w:sz w:val="24"/>
        <w:szCs w:val="24"/>
      </w:rPr>
    </w:lvl>
    <w:lvl w:ilvl="1" w:tplc="04220019" w:tentative="1">
      <w:start w:val="1"/>
      <w:numFmt w:val="lowerLetter"/>
      <w:lvlText w:val="%2."/>
      <w:lvlJc w:val="left"/>
      <w:pPr>
        <w:tabs>
          <w:tab w:val="num" w:pos="1408"/>
        </w:tabs>
        <w:ind w:left="1408" w:hanging="360"/>
      </w:pPr>
      <w:rPr>
        <w:rFonts w:cs="Times New Roman"/>
      </w:rPr>
    </w:lvl>
    <w:lvl w:ilvl="2" w:tplc="0422001B" w:tentative="1">
      <w:start w:val="1"/>
      <w:numFmt w:val="lowerRoman"/>
      <w:lvlText w:val="%3."/>
      <w:lvlJc w:val="right"/>
      <w:pPr>
        <w:tabs>
          <w:tab w:val="num" w:pos="2128"/>
        </w:tabs>
        <w:ind w:left="2128" w:hanging="180"/>
      </w:pPr>
      <w:rPr>
        <w:rFonts w:cs="Times New Roman"/>
      </w:rPr>
    </w:lvl>
    <w:lvl w:ilvl="3" w:tplc="0422000F" w:tentative="1">
      <w:start w:val="1"/>
      <w:numFmt w:val="decimal"/>
      <w:lvlText w:val="%4."/>
      <w:lvlJc w:val="left"/>
      <w:pPr>
        <w:tabs>
          <w:tab w:val="num" w:pos="2848"/>
        </w:tabs>
        <w:ind w:left="2848" w:hanging="360"/>
      </w:pPr>
      <w:rPr>
        <w:rFonts w:cs="Times New Roman"/>
      </w:rPr>
    </w:lvl>
    <w:lvl w:ilvl="4" w:tplc="04220019" w:tentative="1">
      <w:start w:val="1"/>
      <w:numFmt w:val="lowerLetter"/>
      <w:lvlText w:val="%5."/>
      <w:lvlJc w:val="left"/>
      <w:pPr>
        <w:tabs>
          <w:tab w:val="num" w:pos="3568"/>
        </w:tabs>
        <w:ind w:left="3568" w:hanging="360"/>
      </w:pPr>
      <w:rPr>
        <w:rFonts w:cs="Times New Roman"/>
      </w:rPr>
    </w:lvl>
    <w:lvl w:ilvl="5" w:tplc="0422001B" w:tentative="1">
      <w:start w:val="1"/>
      <w:numFmt w:val="lowerRoman"/>
      <w:lvlText w:val="%6."/>
      <w:lvlJc w:val="right"/>
      <w:pPr>
        <w:tabs>
          <w:tab w:val="num" w:pos="4288"/>
        </w:tabs>
        <w:ind w:left="4288" w:hanging="180"/>
      </w:pPr>
      <w:rPr>
        <w:rFonts w:cs="Times New Roman"/>
      </w:rPr>
    </w:lvl>
    <w:lvl w:ilvl="6" w:tplc="0422000F" w:tentative="1">
      <w:start w:val="1"/>
      <w:numFmt w:val="decimal"/>
      <w:lvlText w:val="%7."/>
      <w:lvlJc w:val="left"/>
      <w:pPr>
        <w:tabs>
          <w:tab w:val="num" w:pos="5008"/>
        </w:tabs>
        <w:ind w:left="5008" w:hanging="360"/>
      </w:pPr>
      <w:rPr>
        <w:rFonts w:cs="Times New Roman"/>
      </w:rPr>
    </w:lvl>
    <w:lvl w:ilvl="7" w:tplc="04220019" w:tentative="1">
      <w:start w:val="1"/>
      <w:numFmt w:val="lowerLetter"/>
      <w:lvlText w:val="%8."/>
      <w:lvlJc w:val="left"/>
      <w:pPr>
        <w:tabs>
          <w:tab w:val="num" w:pos="5728"/>
        </w:tabs>
        <w:ind w:left="5728" w:hanging="360"/>
      </w:pPr>
      <w:rPr>
        <w:rFonts w:cs="Times New Roman"/>
      </w:rPr>
    </w:lvl>
    <w:lvl w:ilvl="8" w:tplc="0422001B" w:tentative="1">
      <w:start w:val="1"/>
      <w:numFmt w:val="lowerRoman"/>
      <w:lvlText w:val="%9."/>
      <w:lvlJc w:val="right"/>
      <w:pPr>
        <w:tabs>
          <w:tab w:val="num" w:pos="6448"/>
        </w:tabs>
        <w:ind w:left="6448" w:hanging="180"/>
      </w:pPr>
      <w:rPr>
        <w:rFonts w:cs="Times New Roman"/>
      </w:rPr>
    </w:lvl>
  </w:abstractNum>
  <w:abstractNum w:abstractNumId="9" w15:restartNumberingAfterBreak="0">
    <w:nsid w:val="727C5327"/>
    <w:multiLevelType w:val="hybridMultilevel"/>
    <w:tmpl w:val="6EFADF04"/>
    <w:lvl w:ilvl="0" w:tplc="15CCAAA2">
      <w:start w:val="1"/>
      <w:numFmt w:val="decimal"/>
      <w:lvlText w:val="%1)"/>
      <w:lvlJc w:val="left"/>
      <w:pPr>
        <w:tabs>
          <w:tab w:val="num" w:pos="1288"/>
        </w:tabs>
        <w:ind w:left="1288" w:hanging="960"/>
      </w:pPr>
      <w:rPr>
        <w:rFonts w:cs="Times New Roman" w:hint="default"/>
        <w:sz w:val="24"/>
        <w:szCs w:val="24"/>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6F90475"/>
    <w:multiLevelType w:val="hybridMultilevel"/>
    <w:tmpl w:val="15EA2A96"/>
    <w:lvl w:ilvl="0" w:tplc="15CCAAA2">
      <w:start w:val="1"/>
      <w:numFmt w:val="decimal"/>
      <w:lvlText w:val="%1)"/>
      <w:lvlJc w:val="left"/>
      <w:pPr>
        <w:tabs>
          <w:tab w:val="num" w:pos="1288"/>
        </w:tabs>
        <w:ind w:left="1288" w:hanging="960"/>
      </w:pPr>
      <w:rPr>
        <w:rFonts w:cs="Times New Roman" w:hint="default"/>
        <w:sz w:val="24"/>
        <w:szCs w:val="24"/>
      </w:rPr>
    </w:lvl>
    <w:lvl w:ilvl="1" w:tplc="32BCAD10">
      <w:start w:val="1"/>
      <w:numFmt w:val="decimal"/>
      <w:lvlText w:val="%2."/>
      <w:lvlJc w:val="left"/>
      <w:pPr>
        <w:tabs>
          <w:tab w:val="num" w:pos="1440"/>
        </w:tabs>
        <w:ind w:left="1440" w:hanging="360"/>
      </w:pPr>
      <w:rPr>
        <w:rFonts w:cs="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8"/>
  </w:num>
  <w:num w:numId="4">
    <w:abstractNumId w:val="10"/>
  </w:num>
  <w:num w:numId="5">
    <w:abstractNumId w:val="4"/>
  </w:num>
  <w:num w:numId="6">
    <w:abstractNumId w:val="9"/>
  </w:num>
  <w:num w:numId="7">
    <w:abstractNumId w:val="3"/>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8CA"/>
    <w:rsid w:val="0000216E"/>
    <w:rsid w:val="000053D3"/>
    <w:rsid w:val="000054D4"/>
    <w:rsid w:val="0001045E"/>
    <w:rsid w:val="00024038"/>
    <w:rsid w:val="0003481B"/>
    <w:rsid w:val="000354EC"/>
    <w:rsid w:val="00035FBB"/>
    <w:rsid w:val="00041E21"/>
    <w:rsid w:val="000423DC"/>
    <w:rsid w:val="00042982"/>
    <w:rsid w:val="00042B18"/>
    <w:rsid w:val="00043E52"/>
    <w:rsid w:val="00044CCD"/>
    <w:rsid w:val="00045BA4"/>
    <w:rsid w:val="000472F9"/>
    <w:rsid w:val="0005354B"/>
    <w:rsid w:val="00054020"/>
    <w:rsid w:val="0005490A"/>
    <w:rsid w:val="00055C01"/>
    <w:rsid w:val="000764F6"/>
    <w:rsid w:val="000815BE"/>
    <w:rsid w:val="000839A9"/>
    <w:rsid w:val="00093407"/>
    <w:rsid w:val="00096E7D"/>
    <w:rsid w:val="000A00AB"/>
    <w:rsid w:val="000A0B5A"/>
    <w:rsid w:val="000A1EE5"/>
    <w:rsid w:val="000A386D"/>
    <w:rsid w:val="000A74FB"/>
    <w:rsid w:val="000B0173"/>
    <w:rsid w:val="000B16F2"/>
    <w:rsid w:val="000B22C7"/>
    <w:rsid w:val="000B732D"/>
    <w:rsid w:val="000C499E"/>
    <w:rsid w:val="000C6DD0"/>
    <w:rsid w:val="000D61EF"/>
    <w:rsid w:val="000D68EC"/>
    <w:rsid w:val="000D778F"/>
    <w:rsid w:val="000E158C"/>
    <w:rsid w:val="000E2A4A"/>
    <w:rsid w:val="000E2EBA"/>
    <w:rsid w:val="000E3495"/>
    <w:rsid w:val="000E395C"/>
    <w:rsid w:val="000E4C76"/>
    <w:rsid w:val="000E573B"/>
    <w:rsid w:val="000E6399"/>
    <w:rsid w:val="000F05EC"/>
    <w:rsid w:val="000F2F33"/>
    <w:rsid w:val="000F311E"/>
    <w:rsid w:val="00101E0E"/>
    <w:rsid w:val="00110DB8"/>
    <w:rsid w:val="00111013"/>
    <w:rsid w:val="00112EF4"/>
    <w:rsid w:val="00114400"/>
    <w:rsid w:val="001156FF"/>
    <w:rsid w:val="0011711A"/>
    <w:rsid w:val="00124841"/>
    <w:rsid w:val="00126926"/>
    <w:rsid w:val="00132A14"/>
    <w:rsid w:val="00135B9A"/>
    <w:rsid w:val="00135BC8"/>
    <w:rsid w:val="00136FB3"/>
    <w:rsid w:val="001457DE"/>
    <w:rsid w:val="00150C5E"/>
    <w:rsid w:val="00151A96"/>
    <w:rsid w:val="00152294"/>
    <w:rsid w:val="00167220"/>
    <w:rsid w:val="001713FB"/>
    <w:rsid w:val="00172E6D"/>
    <w:rsid w:val="00174140"/>
    <w:rsid w:val="0018602F"/>
    <w:rsid w:val="00190F99"/>
    <w:rsid w:val="0019150D"/>
    <w:rsid w:val="00194563"/>
    <w:rsid w:val="001977A8"/>
    <w:rsid w:val="001978C2"/>
    <w:rsid w:val="001A082C"/>
    <w:rsid w:val="001A6D7E"/>
    <w:rsid w:val="001A7A03"/>
    <w:rsid w:val="001B1670"/>
    <w:rsid w:val="001B1CBD"/>
    <w:rsid w:val="001B265F"/>
    <w:rsid w:val="001B68B3"/>
    <w:rsid w:val="001C313A"/>
    <w:rsid w:val="001C520C"/>
    <w:rsid w:val="001D3129"/>
    <w:rsid w:val="001D371E"/>
    <w:rsid w:val="001D4A3B"/>
    <w:rsid w:val="001D6774"/>
    <w:rsid w:val="001E1F43"/>
    <w:rsid w:val="001E215F"/>
    <w:rsid w:val="001E56B9"/>
    <w:rsid w:val="001E6F95"/>
    <w:rsid w:val="001F0A2C"/>
    <w:rsid w:val="001F61AC"/>
    <w:rsid w:val="00203145"/>
    <w:rsid w:val="002046CC"/>
    <w:rsid w:val="0020530A"/>
    <w:rsid w:val="00205343"/>
    <w:rsid w:val="002063C9"/>
    <w:rsid w:val="00210791"/>
    <w:rsid w:val="00213D09"/>
    <w:rsid w:val="00214FEF"/>
    <w:rsid w:val="00222E33"/>
    <w:rsid w:val="00225116"/>
    <w:rsid w:val="00225FBD"/>
    <w:rsid w:val="00227643"/>
    <w:rsid w:val="00227F9B"/>
    <w:rsid w:val="0023012B"/>
    <w:rsid w:val="002307E1"/>
    <w:rsid w:val="002351C1"/>
    <w:rsid w:val="002354B1"/>
    <w:rsid w:val="00235F86"/>
    <w:rsid w:val="00236304"/>
    <w:rsid w:val="00241C0D"/>
    <w:rsid w:val="00253234"/>
    <w:rsid w:val="0025475B"/>
    <w:rsid w:val="0026348F"/>
    <w:rsid w:val="00263B35"/>
    <w:rsid w:val="00264683"/>
    <w:rsid w:val="002655F0"/>
    <w:rsid w:val="00267163"/>
    <w:rsid w:val="002903EA"/>
    <w:rsid w:val="002919A5"/>
    <w:rsid w:val="00292A22"/>
    <w:rsid w:val="002A0703"/>
    <w:rsid w:val="002A2B4B"/>
    <w:rsid w:val="002A5096"/>
    <w:rsid w:val="002B1AF0"/>
    <w:rsid w:val="002B5D19"/>
    <w:rsid w:val="002C0501"/>
    <w:rsid w:val="002C065F"/>
    <w:rsid w:val="002C4DF3"/>
    <w:rsid w:val="002D01B7"/>
    <w:rsid w:val="002D2D1C"/>
    <w:rsid w:val="002D4608"/>
    <w:rsid w:val="002D47AF"/>
    <w:rsid w:val="002D7EB7"/>
    <w:rsid w:val="002E1B47"/>
    <w:rsid w:val="002E2C7B"/>
    <w:rsid w:val="002E7C61"/>
    <w:rsid w:val="002F03E9"/>
    <w:rsid w:val="002F35C2"/>
    <w:rsid w:val="002F652F"/>
    <w:rsid w:val="002F6EB7"/>
    <w:rsid w:val="00307B59"/>
    <w:rsid w:val="00312C67"/>
    <w:rsid w:val="00312F66"/>
    <w:rsid w:val="00320561"/>
    <w:rsid w:val="00320C8A"/>
    <w:rsid w:val="00320DE8"/>
    <w:rsid w:val="00320FAC"/>
    <w:rsid w:val="00322440"/>
    <w:rsid w:val="00330173"/>
    <w:rsid w:val="00330A15"/>
    <w:rsid w:val="00331F0A"/>
    <w:rsid w:val="00334554"/>
    <w:rsid w:val="003469ED"/>
    <w:rsid w:val="003500F7"/>
    <w:rsid w:val="003533A3"/>
    <w:rsid w:val="00355A90"/>
    <w:rsid w:val="003636A1"/>
    <w:rsid w:val="00365733"/>
    <w:rsid w:val="00366EE9"/>
    <w:rsid w:val="003767A2"/>
    <w:rsid w:val="00377E4E"/>
    <w:rsid w:val="003825CB"/>
    <w:rsid w:val="003871B4"/>
    <w:rsid w:val="0038767B"/>
    <w:rsid w:val="00391E87"/>
    <w:rsid w:val="003A4CEA"/>
    <w:rsid w:val="003A6872"/>
    <w:rsid w:val="003B1F1A"/>
    <w:rsid w:val="003B3B2F"/>
    <w:rsid w:val="003B3C56"/>
    <w:rsid w:val="003B6F47"/>
    <w:rsid w:val="003C519B"/>
    <w:rsid w:val="003C77F1"/>
    <w:rsid w:val="003D1AB9"/>
    <w:rsid w:val="003D2165"/>
    <w:rsid w:val="003D3D8D"/>
    <w:rsid w:val="003D5B50"/>
    <w:rsid w:val="003D73F9"/>
    <w:rsid w:val="003E34B3"/>
    <w:rsid w:val="003E71B0"/>
    <w:rsid w:val="003F7A03"/>
    <w:rsid w:val="004017C0"/>
    <w:rsid w:val="00401F4D"/>
    <w:rsid w:val="0040320D"/>
    <w:rsid w:val="004053A5"/>
    <w:rsid w:val="00405A01"/>
    <w:rsid w:val="00406899"/>
    <w:rsid w:val="0041125E"/>
    <w:rsid w:val="00412C8B"/>
    <w:rsid w:val="004136C5"/>
    <w:rsid w:val="00417D2C"/>
    <w:rsid w:val="00417DBB"/>
    <w:rsid w:val="00422309"/>
    <w:rsid w:val="00427E22"/>
    <w:rsid w:val="00431785"/>
    <w:rsid w:val="004317E3"/>
    <w:rsid w:val="00441F0D"/>
    <w:rsid w:val="00445945"/>
    <w:rsid w:val="0044610E"/>
    <w:rsid w:val="0045100E"/>
    <w:rsid w:val="00455C78"/>
    <w:rsid w:val="004647D6"/>
    <w:rsid w:val="004648D0"/>
    <w:rsid w:val="0046680E"/>
    <w:rsid w:val="00466E8A"/>
    <w:rsid w:val="0047263D"/>
    <w:rsid w:val="00480BE0"/>
    <w:rsid w:val="00490751"/>
    <w:rsid w:val="00490C44"/>
    <w:rsid w:val="00494F57"/>
    <w:rsid w:val="00496052"/>
    <w:rsid w:val="00496A83"/>
    <w:rsid w:val="004A2C34"/>
    <w:rsid w:val="004A37C2"/>
    <w:rsid w:val="004A7B6E"/>
    <w:rsid w:val="004A7E62"/>
    <w:rsid w:val="004C107F"/>
    <w:rsid w:val="004C160B"/>
    <w:rsid w:val="004C19C9"/>
    <w:rsid w:val="004C3A0A"/>
    <w:rsid w:val="004C636C"/>
    <w:rsid w:val="004C65E9"/>
    <w:rsid w:val="004D543F"/>
    <w:rsid w:val="004D60A6"/>
    <w:rsid w:val="004D6107"/>
    <w:rsid w:val="004D641E"/>
    <w:rsid w:val="004E5E6F"/>
    <w:rsid w:val="004E6A85"/>
    <w:rsid w:val="004E6D71"/>
    <w:rsid w:val="004E70C0"/>
    <w:rsid w:val="004E72F6"/>
    <w:rsid w:val="004F001D"/>
    <w:rsid w:val="004F48E2"/>
    <w:rsid w:val="004F52E3"/>
    <w:rsid w:val="00502A3E"/>
    <w:rsid w:val="00504961"/>
    <w:rsid w:val="00510846"/>
    <w:rsid w:val="00510AA4"/>
    <w:rsid w:val="00513308"/>
    <w:rsid w:val="00513E25"/>
    <w:rsid w:val="00515314"/>
    <w:rsid w:val="00521B75"/>
    <w:rsid w:val="00524DE6"/>
    <w:rsid w:val="005271AF"/>
    <w:rsid w:val="0053249F"/>
    <w:rsid w:val="0053358A"/>
    <w:rsid w:val="00533CA5"/>
    <w:rsid w:val="0053508C"/>
    <w:rsid w:val="00535AED"/>
    <w:rsid w:val="0054633D"/>
    <w:rsid w:val="0054659C"/>
    <w:rsid w:val="00552F98"/>
    <w:rsid w:val="00555531"/>
    <w:rsid w:val="00556FA0"/>
    <w:rsid w:val="005611F1"/>
    <w:rsid w:val="00566F3A"/>
    <w:rsid w:val="0057198E"/>
    <w:rsid w:val="00573B8C"/>
    <w:rsid w:val="005814A7"/>
    <w:rsid w:val="005823B1"/>
    <w:rsid w:val="00583087"/>
    <w:rsid w:val="00583803"/>
    <w:rsid w:val="00583A20"/>
    <w:rsid w:val="00584CA7"/>
    <w:rsid w:val="005954EC"/>
    <w:rsid w:val="005A1DD9"/>
    <w:rsid w:val="005A33F1"/>
    <w:rsid w:val="005A5FA1"/>
    <w:rsid w:val="005B18D7"/>
    <w:rsid w:val="005B1AD1"/>
    <w:rsid w:val="005B2FFD"/>
    <w:rsid w:val="005C15F8"/>
    <w:rsid w:val="005C5051"/>
    <w:rsid w:val="005D0FCE"/>
    <w:rsid w:val="005D3CDE"/>
    <w:rsid w:val="005D6958"/>
    <w:rsid w:val="005E20C2"/>
    <w:rsid w:val="005E4574"/>
    <w:rsid w:val="005E5049"/>
    <w:rsid w:val="005E6B2C"/>
    <w:rsid w:val="005E706D"/>
    <w:rsid w:val="005F1700"/>
    <w:rsid w:val="005F6F94"/>
    <w:rsid w:val="00601950"/>
    <w:rsid w:val="00601CB6"/>
    <w:rsid w:val="00604AE7"/>
    <w:rsid w:val="006136D6"/>
    <w:rsid w:val="00613FA0"/>
    <w:rsid w:val="00622F7B"/>
    <w:rsid w:val="006242B3"/>
    <w:rsid w:val="00631AF4"/>
    <w:rsid w:val="00633E5A"/>
    <w:rsid w:val="006426C0"/>
    <w:rsid w:val="00644165"/>
    <w:rsid w:val="00644DD6"/>
    <w:rsid w:val="006450CD"/>
    <w:rsid w:val="00652CB1"/>
    <w:rsid w:val="00652F18"/>
    <w:rsid w:val="0065372F"/>
    <w:rsid w:val="006539CE"/>
    <w:rsid w:val="00653FA4"/>
    <w:rsid w:val="006628F2"/>
    <w:rsid w:val="00663B28"/>
    <w:rsid w:val="00666BE6"/>
    <w:rsid w:val="006717E6"/>
    <w:rsid w:val="00671DBF"/>
    <w:rsid w:val="006739CB"/>
    <w:rsid w:val="00676FD3"/>
    <w:rsid w:val="00681219"/>
    <w:rsid w:val="00684E29"/>
    <w:rsid w:val="00695300"/>
    <w:rsid w:val="00697255"/>
    <w:rsid w:val="006B39B5"/>
    <w:rsid w:val="006B620B"/>
    <w:rsid w:val="006B6944"/>
    <w:rsid w:val="006C0B52"/>
    <w:rsid w:val="006C0CAF"/>
    <w:rsid w:val="006C2C3C"/>
    <w:rsid w:val="006C50B5"/>
    <w:rsid w:val="006C6DFF"/>
    <w:rsid w:val="006C7397"/>
    <w:rsid w:val="006D2750"/>
    <w:rsid w:val="006D67F9"/>
    <w:rsid w:val="006E5822"/>
    <w:rsid w:val="006E7649"/>
    <w:rsid w:val="006F32D9"/>
    <w:rsid w:val="006F3E0D"/>
    <w:rsid w:val="006F5EEE"/>
    <w:rsid w:val="006F5FB1"/>
    <w:rsid w:val="006F7D08"/>
    <w:rsid w:val="00703A4B"/>
    <w:rsid w:val="00717A85"/>
    <w:rsid w:val="00724479"/>
    <w:rsid w:val="00730A1D"/>
    <w:rsid w:val="00734273"/>
    <w:rsid w:val="00736BB5"/>
    <w:rsid w:val="0074324C"/>
    <w:rsid w:val="00745ABD"/>
    <w:rsid w:val="00745C6C"/>
    <w:rsid w:val="0075233E"/>
    <w:rsid w:val="00755492"/>
    <w:rsid w:val="00773423"/>
    <w:rsid w:val="00773DB6"/>
    <w:rsid w:val="00776778"/>
    <w:rsid w:val="00782D02"/>
    <w:rsid w:val="00784161"/>
    <w:rsid w:val="0079159F"/>
    <w:rsid w:val="007919B0"/>
    <w:rsid w:val="007971EF"/>
    <w:rsid w:val="007A18C8"/>
    <w:rsid w:val="007A7373"/>
    <w:rsid w:val="007B1226"/>
    <w:rsid w:val="007B14FD"/>
    <w:rsid w:val="007B45CC"/>
    <w:rsid w:val="007B5721"/>
    <w:rsid w:val="007B5C40"/>
    <w:rsid w:val="007B788F"/>
    <w:rsid w:val="007C1DF0"/>
    <w:rsid w:val="007C2F28"/>
    <w:rsid w:val="007C4E3B"/>
    <w:rsid w:val="007C518A"/>
    <w:rsid w:val="007C799A"/>
    <w:rsid w:val="007D1D8C"/>
    <w:rsid w:val="007D2BEE"/>
    <w:rsid w:val="007D3C1D"/>
    <w:rsid w:val="007E2447"/>
    <w:rsid w:val="007E3FC6"/>
    <w:rsid w:val="007E5F1D"/>
    <w:rsid w:val="007E716F"/>
    <w:rsid w:val="007F1AE6"/>
    <w:rsid w:val="007F79F8"/>
    <w:rsid w:val="00801847"/>
    <w:rsid w:val="00805F1F"/>
    <w:rsid w:val="008131F4"/>
    <w:rsid w:val="0081574D"/>
    <w:rsid w:val="0082095D"/>
    <w:rsid w:val="0082292F"/>
    <w:rsid w:val="00823782"/>
    <w:rsid w:val="00824200"/>
    <w:rsid w:val="00824321"/>
    <w:rsid w:val="00827204"/>
    <w:rsid w:val="0083311C"/>
    <w:rsid w:val="00834CD5"/>
    <w:rsid w:val="00836C7D"/>
    <w:rsid w:val="00841250"/>
    <w:rsid w:val="00846FB4"/>
    <w:rsid w:val="008529CE"/>
    <w:rsid w:val="00853C2B"/>
    <w:rsid w:val="008571A1"/>
    <w:rsid w:val="00857895"/>
    <w:rsid w:val="00857B88"/>
    <w:rsid w:val="00857FF6"/>
    <w:rsid w:val="008603F7"/>
    <w:rsid w:val="00862EE2"/>
    <w:rsid w:val="00864522"/>
    <w:rsid w:val="008710F6"/>
    <w:rsid w:val="00872D0B"/>
    <w:rsid w:val="00873908"/>
    <w:rsid w:val="0088444E"/>
    <w:rsid w:val="00884644"/>
    <w:rsid w:val="00893915"/>
    <w:rsid w:val="008A2893"/>
    <w:rsid w:val="008A2E74"/>
    <w:rsid w:val="008A53D2"/>
    <w:rsid w:val="008B05A6"/>
    <w:rsid w:val="008B54B0"/>
    <w:rsid w:val="008B7A80"/>
    <w:rsid w:val="008C4B2F"/>
    <w:rsid w:val="008D277D"/>
    <w:rsid w:val="008D4D26"/>
    <w:rsid w:val="008D5262"/>
    <w:rsid w:val="008D61D4"/>
    <w:rsid w:val="008E283F"/>
    <w:rsid w:val="008E6BCD"/>
    <w:rsid w:val="008F1E33"/>
    <w:rsid w:val="008F4098"/>
    <w:rsid w:val="008F7227"/>
    <w:rsid w:val="008F7D55"/>
    <w:rsid w:val="0090074B"/>
    <w:rsid w:val="00904A0E"/>
    <w:rsid w:val="009050C7"/>
    <w:rsid w:val="00907596"/>
    <w:rsid w:val="0091066B"/>
    <w:rsid w:val="009242FA"/>
    <w:rsid w:val="00932974"/>
    <w:rsid w:val="009344B6"/>
    <w:rsid w:val="0093587C"/>
    <w:rsid w:val="00935E4A"/>
    <w:rsid w:val="00945C7B"/>
    <w:rsid w:val="00945D21"/>
    <w:rsid w:val="00946B76"/>
    <w:rsid w:val="00950BF4"/>
    <w:rsid w:val="00952B69"/>
    <w:rsid w:val="00961338"/>
    <w:rsid w:val="00961773"/>
    <w:rsid w:val="00974C42"/>
    <w:rsid w:val="00976168"/>
    <w:rsid w:val="009769BD"/>
    <w:rsid w:val="00976FC6"/>
    <w:rsid w:val="00980DB2"/>
    <w:rsid w:val="00984A83"/>
    <w:rsid w:val="009870E4"/>
    <w:rsid w:val="00990D43"/>
    <w:rsid w:val="00991DED"/>
    <w:rsid w:val="009945F3"/>
    <w:rsid w:val="009970BB"/>
    <w:rsid w:val="009A0B20"/>
    <w:rsid w:val="009A2CFB"/>
    <w:rsid w:val="009A36FF"/>
    <w:rsid w:val="009A3D7E"/>
    <w:rsid w:val="009A65CF"/>
    <w:rsid w:val="009B2B51"/>
    <w:rsid w:val="009B3D4E"/>
    <w:rsid w:val="009B7901"/>
    <w:rsid w:val="009C0FE4"/>
    <w:rsid w:val="009C1C6B"/>
    <w:rsid w:val="009C41C0"/>
    <w:rsid w:val="009D10EE"/>
    <w:rsid w:val="009D3027"/>
    <w:rsid w:val="009D34AB"/>
    <w:rsid w:val="009D45EE"/>
    <w:rsid w:val="009D53E7"/>
    <w:rsid w:val="009D7F2B"/>
    <w:rsid w:val="009E0E3B"/>
    <w:rsid w:val="009E1B3F"/>
    <w:rsid w:val="009F5F2E"/>
    <w:rsid w:val="009F6F61"/>
    <w:rsid w:val="009F7253"/>
    <w:rsid w:val="00A03B87"/>
    <w:rsid w:val="00A10F4A"/>
    <w:rsid w:val="00A14B15"/>
    <w:rsid w:val="00A23752"/>
    <w:rsid w:val="00A27199"/>
    <w:rsid w:val="00A321D4"/>
    <w:rsid w:val="00A35D56"/>
    <w:rsid w:val="00A36757"/>
    <w:rsid w:val="00A419AA"/>
    <w:rsid w:val="00A43CC3"/>
    <w:rsid w:val="00A44C16"/>
    <w:rsid w:val="00A45E47"/>
    <w:rsid w:val="00A524DB"/>
    <w:rsid w:val="00A53F33"/>
    <w:rsid w:val="00A60F7B"/>
    <w:rsid w:val="00A67DF7"/>
    <w:rsid w:val="00A72214"/>
    <w:rsid w:val="00A7443C"/>
    <w:rsid w:val="00A75725"/>
    <w:rsid w:val="00A76116"/>
    <w:rsid w:val="00A86066"/>
    <w:rsid w:val="00A86390"/>
    <w:rsid w:val="00A94B62"/>
    <w:rsid w:val="00AA6531"/>
    <w:rsid w:val="00AB0521"/>
    <w:rsid w:val="00AB1A50"/>
    <w:rsid w:val="00AB5D48"/>
    <w:rsid w:val="00AB7EEC"/>
    <w:rsid w:val="00AC239A"/>
    <w:rsid w:val="00AC5CA6"/>
    <w:rsid w:val="00AC75AA"/>
    <w:rsid w:val="00AD16F7"/>
    <w:rsid w:val="00AD1A5B"/>
    <w:rsid w:val="00AD738C"/>
    <w:rsid w:val="00AE0BAE"/>
    <w:rsid w:val="00AE0F4C"/>
    <w:rsid w:val="00AE354F"/>
    <w:rsid w:val="00AF2E2A"/>
    <w:rsid w:val="00AF2F9D"/>
    <w:rsid w:val="00AF3F46"/>
    <w:rsid w:val="00B01FDB"/>
    <w:rsid w:val="00B05059"/>
    <w:rsid w:val="00B13B74"/>
    <w:rsid w:val="00B145C3"/>
    <w:rsid w:val="00B14642"/>
    <w:rsid w:val="00B16506"/>
    <w:rsid w:val="00B2433F"/>
    <w:rsid w:val="00B2794E"/>
    <w:rsid w:val="00B3019B"/>
    <w:rsid w:val="00B302E6"/>
    <w:rsid w:val="00B32754"/>
    <w:rsid w:val="00B3740F"/>
    <w:rsid w:val="00B42D23"/>
    <w:rsid w:val="00B44C2E"/>
    <w:rsid w:val="00B47F6C"/>
    <w:rsid w:val="00B5123E"/>
    <w:rsid w:val="00B57E4B"/>
    <w:rsid w:val="00B708C3"/>
    <w:rsid w:val="00B728CB"/>
    <w:rsid w:val="00B73E5B"/>
    <w:rsid w:val="00B75537"/>
    <w:rsid w:val="00B75C0A"/>
    <w:rsid w:val="00B80AEA"/>
    <w:rsid w:val="00B81459"/>
    <w:rsid w:val="00B901E2"/>
    <w:rsid w:val="00B91670"/>
    <w:rsid w:val="00B92173"/>
    <w:rsid w:val="00B9331C"/>
    <w:rsid w:val="00B94FA8"/>
    <w:rsid w:val="00B95B82"/>
    <w:rsid w:val="00B9649D"/>
    <w:rsid w:val="00BA1AD4"/>
    <w:rsid w:val="00BA3241"/>
    <w:rsid w:val="00BA70FD"/>
    <w:rsid w:val="00BB173D"/>
    <w:rsid w:val="00BB2C7A"/>
    <w:rsid w:val="00BB2C82"/>
    <w:rsid w:val="00BB2E00"/>
    <w:rsid w:val="00BB60FC"/>
    <w:rsid w:val="00BB7178"/>
    <w:rsid w:val="00BB776A"/>
    <w:rsid w:val="00BC779C"/>
    <w:rsid w:val="00BD1DC7"/>
    <w:rsid w:val="00BD4E1A"/>
    <w:rsid w:val="00BD5267"/>
    <w:rsid w:val="00BD6581"/>
    <w:rsid w:val="00BE06F4"/>
    <w:rsid w:val="00BE2F10"/>
    <w:rsid w:val="00BE4A50"/>
    <w:rsid w:val="00BE76C8"/>
    <w:rsid w:val="00BF2ED1"/>
    <w:rsid w:val="00BF3793"/>
    <w:rsid w:val="00C01566"/>
    <w:rsid w:val="00C02115"/>
    <w:rsid w:val="00C03211"/>
    <w:rsid w:val="00C043DA"/>
    <w:rsid w:val="00C05770"/>
    <w:rsid w:val="00C05D55"/>
    <w:rsid w:val="00C20544"/>
    <w:rsid w:val="00C217C0"/>
    <w:rsid w:val="00C22407"/>
    <w:rsid w:val="00C22692"/>
    <w:rsid w:val="00C34048"/>
    <w:rsid w:val="00C37F35"/>
    <w:rsid w:val="00C4415F"/>
    <w:rsid w:val="00C627A4"/>
    <w:rsid w:val="00C648DE"/>
    <w:rsid w:val="00C65524"/>
    <w:rsid w:val="00C71CD7"/>
    <w:rsid w:val="00C72E4A"/>
    <w:rsid w:val="00C75ED4"/>
    <w:rsid w:val="00C92C53"/>
    <w:rsid w:val="00C93DBF"/>
    <w:rsid w:val="00CB1684"/>
    <w:rsid w:val="00CB4257"/>
    <w:rsid w:val="00CB447C"/>
    <w:rsid w:val="00CC77B5"/>
    <w:rsid w:val="00CC78C4"/>
    <w:rsid w:val="00CD1BDD"/>
    <w:rsid w:val="00CD4B50"/>
    <w:rsid w:val="00CD6042"/>
    <w:rsid w:val="00CD638A"/>
    <w:rsid w:val="00CD7F7E"/>
    <w:rsid w:val="00CE318F"/>
    <w:rsid w:val="00CE35BD"/>
    <w:rsid w:val="00CE3692"/>
    <w:rsid w:val="00CE474E"/>
    <w:rsid w:val="00CE53F7"/>
    <w:rsid w:val="00CF2966"/>
    <w:rsid w:val="00CF4A39"/>
    <w:rsid w:val="00D01BD7"/>
    <w:rsid w:val="00D02CF7"/>
    <w:rsid w:val="00D03261"/>
    <w:rsid w:val="00D03F85"/>
    <w:rsid w:val="00D1119B"/>
    <w:rsid w:val="00D11D41"/>
    <w:rsid w:val="00D16A43"/>
    <w:rsid w:val="00D206DA"/>
    <w:rsid w:val="00D21062"/>
    <w:rsid w:val="00D318B1"/>
    <w:rsid w:val="00D40BFB"/>
    <w:rsid w:val="00D44979"/>
    <w:rsid w:val="00D517B8"/>
    <w:rsid w:val="00D51F8D"/>
    <w:rsid w:val="00D54C99"/>
    <w:rsid w:val="00D609CF"/>
    <w:rsid w:val="00D62801"/>
    <w:rsid w:val="00D6684E"/>
    <w:rsid w:val="00D73BBF"/>
    <w:rsid w:val="00D744D7"/>
    <w:rsid w:val="00D824B8"/>
    <w:rsid w:val="00D8282D"/>
    <w:rsid w:val="00D82F40"/>
    <w:rsid w:val="00D857F2"/>
    <w:rsid w:val="00D94D26"/>
    <w:rsid w:val="00D961D6"/>
    <w:rsid w:val="00D96202"/>
    <w:rsid w:val="00DB25DC"/>
    <w:rsid w:val="00DB378E"/>
    <w:rsid w:val="00DB75E7"/>
    <w:rsid w:val="00DB78CA"/>
    <w:rsid w:val="00DC3A3B"/>
    <w:rsid w:val="00DC3CCA"/>
    <w:rsid w:val="00DC6C3D"/>
    <w:rsid w:val="00DD0F70"/>
    <w:rsid w:val="00DD1497"/>
    <w:rsid w:val="00DD44B4"/>
    <w:rsid w:val="00DD5303"/>
    <w:rsid w:val="00DD6C27"/>
    <w:rsid w:val="00DD735A"/>
    <w:rsid w:val="00DE04D6"/>
    <w:rsid w:val="00DE43EC"/>
    <w:rsid w:val="00DE544E"/>
    <w:rsid w:val="00DF1BAC"/>
    <w:rsid w:val="00DF7A5E"/>
    <w:rsid w:val="00E01C6B"/>
    <w:rsid w:val="00E05105"/>
    <w:rsid w:val="00E0550B"/>
    <w:rsid w:val="00E06EC2"/>
    <w:rsid w:val="00E12FB6"/>
    <w:rsid w:val="00E14811"/>
    <w:rsid w:val="00E15673"/>
    <w:rsid w:val="00E22A18"/>
    <w:rsid w:val="00E23F2F"/>
    <w:rsid w:val="00E32B91"/>
    <w:rsid w:val="00E36F42"/>
    <w:rsid w:val="00E37676"/>
    <w:rsid w:val="00E4236D"/>
    <w:rsid w:val="00E43A40"/>
    <w:rsid w:val="00E4768D"/>
    <w:rsid w:val="00E47AD3"/>
    <w:rsid w:val="00E50521"/>
    <w:rsid w:val="00E509EE"/>
    <w:rsid w:val="00E53A5B"/>
    <w:rsid w:val="00E54442"/>
    <w:rsid w:val="00E570AC"/>
    <w:rsid w:val="00E62D72"/>
    <w:rsid w:val="00E6346B"/>
    <w:rsid w:val="00E643BD"/>
    <w:rsid w:val="00E70D09"/>
    <w:rsid w:val="00E73A07"/>
    <w:rsid w:val="00E745CF"/>
    <w:rsid w:val="00E757CA"/>
    <w:rsid w:val="00E772DE"/>
    <w:rsid w:val="00E8085D"/>
    <w:rsid w:val="00E85473"/>
    <w:rsid w:val="00E939F3"/>
    <w:rsid w:val="00E9541F"/>
    <w:rsid w:val="00E955D3"/>
    <w:rsid w:val="00E97362"/>
    <w:rsid w:val="00EA0B23"/>
    <w:rsid w:val="00EA1EE7"/>
    <w:rsid w:val="00EA1FBB"/>
    <w:rsid w:val="00EA2CBF"/>
    <w:rsid w:val="00EA2E45"/>
    <w:rsid w:val="00EA460B"/>
    <w:rsid w:val="00EB0858"/>
    <w:rsid w:val="00EB2CE9"/>
    <w:rsid w:val="00EB5253"/>
    <w:rsid w:val="00EB5EBC"/>
    <w:rsid w:val="00EB6C68"/>
    <w:rsid w:val="00EC2131"/>
    <w:rsid w:val="00EC4562"/>
    <w:rsid w:val="00ED0E2F"/>
    <w:rsid w:val="00ED41E6"/>
    <w:rsid w:val="00ED5D17"/>
    <w:rsid w:val="00ED7845"/>
    <w:rsid w:val="00EE10E5"/>
    <w:rsid w:val="00EE4B3C"/>
    <w:rsid w:val="00EF08D1"/>
    <w:rsid w:val="00EF2B1E"/>
    <w:rsid w:val="00EF6CF4"/>
    <w:rsid w:val="00F01CB6"/>
    <w:rsid w:val="00F06111"/>
    <w:rsid w:val="00F06449"/>
    <w:rsid w:val="00F07C13"/>
    <w:rsid w:val="00F10D18"/>
    <w:rsid w:val="00F1757B"/>
    <w:rsid w:val="00F24CA7"/>
    <w:rsid w:val="00F25F78"/>
    <w:rsid w:val="00F27D25"/>
    <w:rsid w:val="00F325A0"/>
    <w:rsid w:val="00F3447C"/>
    <w:rsid w:val="00F36979"/>
    <w:rsid w:val="00F37067"/>
    <w:rsid w:val="00F37287"/>
    <w:rsid w:val="00F37439"/>
    <w:rsid w:val="00F44A9B"/>
    <w:rsid w:val="00F47146"/>
    <w:rsid w:val="00F474E8"/>
    <w:rsid w:val="00F52B14"/>
    <w:rsid w:val="00F54AD7"/>
    <w:rsid w:val="00F559E9"/>
    <w:rsid w:val="00F613DB"/>
    <w:rsid w:val="00F61616"/>
    <w:rsid w:val="00F62E07"/>
    <w:rsid w:val="00F63F10"/>
    <w:rsid w:val="00F664A0"/>
    <w:rsid w:val="00F726B8"/>
    <w:rsid w:val="00F72BC9"/>
    <w:rsid w:val="00F7652D"/>
    <w:rsid w:val="00F829B2"/>
    <w:rsid w:val="00F8500B"/>
    <w:rsid w:val="00F86BCA"/>
    <w:rsid w:val="00F97C97"/>
    <w:rsid w:val="00FB0A6F"/>
    <w:rsid w:val="00FB5BC1"/>
    <w:rsid w:val="00FB658F"/>
    <w:rsid w:val="00FB7172"/>
    <w:rsid w:val="00FC0098"/>
    <w:rsid w:val="00FC23D6"/>
    <w:rsid w:val="00FD4198"/>
    <w:rsid w:val="00FD45F0"/>
    <w:rsid w:val="00FD46C0"/>
    <w:rsid w:val="00FD4F50"/>
    <w:rsid w:val="00FD659B"/>
    <w:rsid w:val="00FD6A67"/>
    <w:rsid w:val="00FF0E53"/>
    <w:rsid w:val="00FF382D"/>
    <w:rsid w:val="00FF53F0"/>
    <w:rsid w:val="00FF70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AC371F-AD61-4D5B-8302-4948DBA8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2">
    <w:name w:val="heading 2"/>
    <w:basedOn w:val="a"/>
    <w:next w:val="a"/>
    <w:link w:val="20"/>
    <w:uiPriority w:val="9"/>
    <w:semiHidden/>
    <w:unhideWhenUsed/>
    <w:qFormat/>
    <w:rsid w:val="00C92C53"/>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AB0521"/>
    <w:pPr>
      <w:keepNext/>
      <w:spacing w:before="180"/>
      <w:jc w:val="center"/>
      <w:outlineLvl w:val="2"/>
    </w:pPr>
    <w:rPr>
      <w:b/>
      <w:sz w:val="26"/>
      <w:szCs w:val="20"/>
      <w:lang w:val="ru-RU" w:eastAsia="ru-RU"/>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C92C53"/>
    <w:rPr>
      <w:rFonts w:ascii="Calibri Light" w:hAnsi="Calibri Light"/>
      <w:b/>
      <w:i/>
      <w:sz w:val="28"/>
    </w:rPr>
  </w:style>
  <w:style w:type="character" w:customStyle="1" w:styleId="30">
    <w:name w:val="Заголовок 3 Знак"/>
    <w:link w:val="3"/>
    <w:uiPriority w:val="9"/>
    <w:semiHidden/>
    <w:rPr>
      <w:rFonts w:ascii="Calibri Light" w:eastAsia="Times New Roman" w:hAnsi="Calibri Light" w:cs="Times New Roman"/>
      <w:b/>
      <w:bCs/>
      <w:sz w:val="26"/>
      <w:szCs w:val="26"/>
      <w:lang w:val="uk-UA" w:eastAsia="uk-UA"/>
    </w:rPr>
  </w:style>
  <w:style w:type="paragraph" w:styleId="a3">
    <w:name w:val="Document Map"/>
    <w:basedOn w:val="a"/>
    <w:link w:val="a4"/>
    <w:uiPriority w:val="99"/>
    <w:semiHidden/>
    <w:rsid w:val="00DB78CA"/>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Segoe UI" w:hAnsi="Segoe UI" w:cs="Segoe UI"/>
      <w:sz w:val="16"/>
      <w:szCs w:val="16"/>
      <w:lang w:val="uk-UA" w:eastAsia="uk-UA"/>
    </w:rPr>
  </w:style>
  <w:style w:type="table" w:styleId="a5">
    <w:name w:val="Table Grid"/>
    <w:basedOn w:val="a1"/>
    <w:uiPriority w:val="39"/>
    <w:rsid w:val="00DB78CA"/>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0F311E"/>
    <w:pPr>
      <w:spacing w:before="100" w:beforeAutospacing="1" w:after="100" w:afterAutospacing="1"/>
    </w:pPr>
  </w:style>
  <w:style w:type="paragraph" w:styleId="a7">
    <w:name w:val="Balloon Text"/>
    <w:basedOn w:val="a"/>
    <w:link w:val="a8"/>
    <w:uiPriority w:val="99"/>
    <w:semiHidden/>
    <w:rsid w:val="00E570AC"/>
    <w:rPr>
      <w:rFonts w:ascii="Tahoma" w:hAnsi="Tahoma" w:cs="Tahoma"/>
      <w:sz w:val="16"/>
      <w:szCs w:val="16"/>
    </w:rPr>
  </w:style>
  <w:style w:type="character" w:customStyle="1" w:styleId="a8">
    <w:name w:val="Текст выноски Знак"/>
    <w:link w:val="a7"/>
    <w:uiPriority w:val="99"/>
    <w:semiHidden/>
    <w:rPr>
      <w:rFonts w:ascii="Segoe UI" w:hAnsi="Segoe UI" w:cs="Segoe UI"/>
      <w:sz w:val="18"/>
      <w:szCs w:val="18"/>
      <w:lang w:val="uk-UA" w:eastAsia="uk-UA"/>
    </w:rPr>
  </w:style>
  <w:style w:type="paragraph" w:styleId="a9">
    <w:name w:val="footer"/>
    <w:basedOn w:val="a"/>
    <w:link w:val="aa"/>
    <w:uiPriority w:val="99"/>
    <w:rsid w:val="00717A85"/>
    <w:pPr>
      <w:tabs>
        <w:tab w:val="center" w:pos="4819"/>
        <w:tab w:val="right" w:pos="9639"/>
      </w:tabs>
    </w:pPr>
  </w:style>
  <w:style w:type="character" w:customStyle="1" w:styleId="aa">
    <w:name w:val="Нижний колонтитул Знак"/>
    <w:link w:val="a9"/>
    <w:uiPriority w:val="99"/>
    <w:semiHidden/>
    <w:rPr>
      <w:sz w:val="24"/>
      <w:szCs w:val="24"/>
      <w:lang w:val="uk-UA" w:eastAsia="uk-UA"/>
    </w:rPr>
  </w:style>
  <w:style w:type="character" w:styleId="ab">
    <w:name w:val="page number"/>
    <w:uiPriority w:val="99"/>
    <w:rsid w:val="00717A85"/>
    <w:rPr>
      <w:rFonts w:cs="Times New Roman"/>
    </w:rPr>
  </w:style>
  <w:style w:type="character" w:customStyle="1" w:styleId="rvts15">
    <w:name w:val="rvts15"/>
    <w:rsid w:val="004C19C9"/>
    <w:rPr>
      <w:rFonts w:cs="Times New Roman"/>
    </w:rPr>
  </w:style>
  <w:style w:type="paragraph" w:customStyle="1" w:styleId="rvps7">
    <w:name w:val="rvps7"/>
    <w:basedOn w:val="a"/>
    <w:rsid w:val="004C19C9"/>
    <w:pPr>
      <w:spacing w:before="100" w:beforeAutospacing="1" w:after="100" w:afterAutospacing="1"/>
    </w:pPr>
  </w:style>
  <w:style w:type="paragraph" w:customStyle="1" w:styleId="rvps2">
    <w:name w:val="rvps2"/>
    <w:basedOn w:val="a"/>
    <w:rsid w:val="00E4236D"/>
    <w:pPr>
      <w:spacing w:before="100" w:beforeAutospacing="1" w:after="100" w:afterAutospacing="1"/>
    </w:pPr>
  </w:style>
  <w:style w:type="character" w:styleId="ac">
    <w:name w:val="Strong"/>
    <w:uiPriority w:val="22"/>
    <w:qFormat/>
    <w:rsid w:val="00E4236D"/>
    <w:rPr>
      <w:b/>
    </w:rPr>
  </w:style>
  <w:style w:type="character" w:styleId="HTML">
    <w:name w:val="HTML Typewriter"/>
    <w:uiPriority w:val="99"/>
    <w:rsid w:val="00C92C53"/>
    <w:rPr>
      <w:sz w:val="20"/>
    </w:rPr>
  </w:style>
  <w:style w:type="paragraph" w:customStyle="1" w:styleId="Style9">
    <w:name w:val="Style9"/>
    <w:basedOn w:val="a"/>
    <w:rsid w:val="00A60F7B"/>
    <w:pPr>
      <w:widowControl w:val="0"/>
      <w:autoSpaceDE w:val="0"/>
      <w:autoSpaceDN w:val="0"/>
      <w:adjustRightInd w:val="0"/>
      <w:spacing w:line="277" w:lineRule="exact"/>
      <w:jc w:val="both"/>
    </w:pPr>
  </w:style>
  <w:style w:type="paragraph" w:styleId="ad">
    <w:name w:val="No Spacing"/>
    <w:uiPriority w:val="1"/>
    <w:qFormat/>
    <w:rsid w:val="00A60F7B"/>
    <w:rPr>
      <w:sz w:val="24"/>
      <w:szCs w:val="24"/>
      <w:lang w:val="uk-UA" w:eastAsia="uk-UA"/>
    </w:rPr>
  </w:style>
  <w:style w:type="character" w:styleId="ae">
    <w:name w:val="Hyperlink"/>
    <w:uiPriority w:val="99"/>
    <w:unhideWhenUsed/>
    <w:rsid w:val="00B73E5B"/>
    <w:rPr>
      <w:color w:val="0000FF"/>
      <w:u w:val="single"/>
    </w:rPr>
  </w:style>
  <w:style w:type="paragraph" w:styleId="af">
    <w:name w:val="Body Text"/>
    <w:basedOn w:val="a"/>
    <w:link w:val="af0"/>
    <w:uiPriority w:val="99"/>
    <w:rsid w:val="00055C01"/>
    <w:pPr>
      <w:tabs>
        <w:tab w:val="left" w:pos="709"/>
      </w:tabs>
      <w:jc w:val="both"/>
    </w:pPr>
    <w:rPr>
      <w:sz w:val="28"/>
      <w:szCs w:val="20"/>
      <w:lang w:eastAsia="ru-RU"/>
    </w:rPr>
  </w:style>
  <w:style w:type="character" w:customStyle="1" w:styleId="rvts23">
    <w:name w:val="rvts23"/>
    <w:rsid w:val="00F44A9B"/>
  </w:style>
  <w:style w:type="character" w:customStyle="1" w:styleId="af0">
    <w:name w:val="Основной текст Знак"/>
    <w:link w:val="af"/>
    <w:locked/>
    <w:rsid w:val="00055C01"/>
    <w:rPr>
      <w:sz w:val="28"/>
      <w:lang w:val="x-none" w:eastAsia="ru-RU"/>
    </w:rPr>
  </w:style>
  <w:style w:type="paragraph" w:styleId="af1">
    <w:name w:val="header"/>
    <w:basedOn w:val="a"/>
    <w:link w:val="af2"/>
    <w:uiPriority w:val="99"/>
    <w:rsid w:val="003C77F1"/>
    <w:pPr>
      <w:tabs>
        <w:tab w:val="center" w:pos="4677"/>
        <w:tab w:val="right" w:pos="9355"/>
      </w:tabs>
    </w:pPr>
  </w:style>
  <w:style w:type="character" w:customStyle="1" w:styleId="af2">
    <w:name w:val="Верхний колонтитул Знак"/>
    <w:link w:val="af1"/>
    <w:locked/>
    <w:rsid w:val="003C77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6DDC7-0CB2-4E1E-8C0C-A96C8F08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3114</Words>
  <Characters>17755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Інформація про результати розгляду зауважень та пропозицій, наданих до проекту Змін до Положення щодо пруденційних нормативів професійної діяльності на фондовому ринку та вимог до системи управління ризиками</vt:lpstr>
    </vt:vector>
  </TitlesOfParts>
  <Company>SSMSC</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результати розгляду зауважень та пропозицій, наданих до проекту Змін до Положення щодо пруденційних нормативів професійної діяльності на фондовому ринку та вимог до системи управління ризиками</dc:title>
  <dc:subject/>
  <dc:creator>lyudmila.onoprienko</dc:creator>
  <cp:keywords/>
  <dc:description/>
  <cp:lastModifiedBy>Руслан Кисляк</cp:lastModifiedBy>
  <cp:revision>2</cp:revision>
  <cp:lastPrinted>2019-10-02T11:33:00Z</cp:lastPrinted>
  <dcterms:created xsi:type="dcterms:W3CDTF">2019-10-18T13:53:00Z</dcterms:created>
  <dcterms:modified xsi:type="dcterms:W3CDTF">2019-10-18T13:53:00Z</dcterms:modified>
</cp:coreProperties>
</file>