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E56" w:rsidRPr="004038C4" w:rsidRDefault="00B73E56" w:rsidP="00C73B73">
      <w:pPr>
        <w:pStyle w:val="a3"/>
        <w:tabs>
          <w:tab w:val="left" w:pos="3240"/>
          <w:tab w:val="left" w:pos="4320"/>
        </w:tabs>
        <w:ind w:left="-540" w:right="-874" w:firstLine="720"/>
      </w:pPr>
      <w:r w:rsidRPr="004038C4">
        <w:t>ПОВІДОМЛЕННЯ</w:t>
      </w:r>
    </w:p>
    <w:p w:rsidR="00B236AD" w:rsidRPr="00374A91" w:rsidRDefault="00B73E56" w:rsidP="00D824F5">
      <w:pPr>
        <w:ind w:left="-540" w:right="-874" w:firstLine="720"/>
        <w:jc w:val="center"/>
        <w:rPr>
          <w:b/>
          <w:sz w:val="28"/>
          <w:szCs w:val="28"/>
          <w:lang w:val="uk-UA"/>
        </w:rPr>
      </w:pPr>
      <w:r w:rsidRPr="004038C4">
        <w:rPr>
          <w:b/>
          <w:sz w:val="28"/>
          <w:szCs w:val="28"/>
          <w:lang w:val="uk-UA"/>
        </w:rPr>
        <w:t>про оприлюднення</w:t>
      </w:r>
      <w:r w:rsidRPr="004038C4">
        <w:rPr>
          <w:b/>
          <w:lang w:val="uk-UA"/>
        </w:rPr>
        <w:t xml:space="preserve"> </w:t>
      </w:r>
      <w:r w:rsidRPr="004038C4">
        <w:rPr>
          <w:b/>
          <w:sz w:val="28"/>
          <w:szCs w:val="28"/>
          <w:lang w:val="uk-UA"/>
        </w:rPr>
        <w:t xml:space="preserve">проекту </w:t>
      </w:r>
      <w:r w:rsidR="00866507">
        <w:rPr>
          <w:b/>
          <w:sz w:val="28"/>
          <w:szCs w:val="28"/>
          <w:lang w:val="uk-UA"/>
        </w:rPr>
        <w:t>нормативно</w:t>
      </w:r>
      <w:r w:rsidR="006B4916">
        <w:rPr>
          <w:b/>
          <w:sz w:val="28"/>
          <w:szCs w:val="28"/>
          <w:lang w:val="uk-UA"/>
        </w:rPr>
        <w:t>-правового</w:t>
      </w:r>
      <w:r w:rsidR="004860B1">
        <w:rPr>
          <w:b/>
          <w:sz w:val="28"/>
          <w:szCs w:val="28"/>
          <w:lang w:val="uk-UA"/>
        </w:rPr>
        <w:t xml:space="preserve"> </w:t>
      </w:r>
      <w:proofErr w:type="spellStart"/>
      <w:r w:rsidR="004860B1">
        <w:rPr>
          <w:b/>
          <w:sz w:val="28"/>
          <w:szCs w:val="28"/>
          <w:lang w:val="uk-UA"/>
        </w:rPr>
        <w:t>акт</w:t>
      </w:r>
      <w:r w:rsidR="00DC17E9">
        <w:rPr>
          <w:b/>
          <w:sz w:val="28"/>
          <w:szCs w:val="28"/>
          <w:lang w:val="uk-UA"/>
        </w:rPr>
        <w:t>а</w:t>
      </w:r>
      <w:proofErr w:type="spellEnd"/>
    </w:p>
    <w:p w:rsidR="00B1208B" w:rsidRDefault="00B1208B" w:rsidP="007F02EC">
      <w:pPr>
        <w:pStyle w:val="a7"/>
        <w:tabs>
          <w:tab w:val="clear" w:pos="9355"/>
          <w:tab w:val="right" w:pos="9180"/>
        </w:tabs>
        <w:overflowPunct w:val="0"/>
        <w:autoSpaceDE w:val="0"/>
        <w:autoSpaceDN w:val="0"/>
        <w:adjustRightInd w:val="0"/>
        <w:ind w:left="-540" w:right="-874" w:firstLine="720"/>
        <w:jc w:val="center"/>
        <w:rPr>
          <w:b/>
          <w:sz w:val="28"/>
          <w:szCs w:val="28"/>
          <w:lang w:val="uk-UA"/>
        </w:rPr>
      </w:pPr>
    </w:p>
    <w:p w:rsidR="006B4916" w:rsidRPr="006B4916" w:rsidRDefault="00A70705" w:rsidP="006B4916">
      <w:pPr>
        <w:ind w:left="-567" w:right="-766" w:firstLine="710"/>
        <w:jc w:val="both"/>
        <w:rPr>
          <w:sz w:val="28"/>
          <w:szCs w:val="28"/>
          <w:lang w:val="uk-UA"/>
        </w:rPr>
      </w:pPr>
      <w:r w:rsidRPr="007F02EC">
        <w:rPr>
          <w:sz w:val="28"/>
          <w:szCs w:val="28"/>
          <w:lang w:val="uk-UA"/>
        </w:rPr>
        <w:t xml:space="preserve">Проект рішення Національної комісії з цінних паперів та фондового ринку </w:t>
      </w:r>
      <w:r w:rsidR="006B4916" w:rsidRPr="006B4916">
        <w:rPr>
          <w:sz w:val="28"/>
          <w:szCs w:val="28"/>
          <w:lang w:val="uk-UA"/>
        </w:rPr>
        <w:t xml:space="preserve">«Про внесення змін до деяких нормативно-правових актів Національної комісії з цінних паперів та фондового ринку щодо взаємодії учасників депозитарної системи України» (далі – Проект) розроблено відповідно до пункту 13 статті 8 Закону України «Про державне регулювання ринку цінних паперів в Україні», частини сьомої статті 5 Закону України «Про депозитарну систему України», Закону України від 20 вересня 2019 року № 122 – ІХ «Про внесення змін до деяких законодавчих актів України щодо захисту прав споживачів фінансових послуг», з метою дотримання учасниками депозитарної системи України вимог актів законодавства. </w:t>
      </w:r>
    </w:p>
    <w:p w:rsidR="006B4916" w:rsidRPr="006B4916" w:rsidRDefault="006B4916" w:rsidP="006B4916">
      <w:pPr>
        <w:ind w:left="-567" w:right="-766" w:firstLine="710"/>
        <w:jc w:val="both"/>
        <w:rPr>
          <w:sz w:val="28"/>
          <w:szCs w:val="28"/>
          <w:lang w:val="uk-UA"/>
        </w:rPr>
      </w:pPr>
      <w:r w:rsidRPr="006B4916">
        <w:rPr>
          <w:sz w:val="28"/>
          <w:szCs w:val="28"/>
          <w:lang w:val="uk-UA"/>
        </w:rPr>
        <w:t>Законом України від 20 вересня 2019 року № 122 – ІХ «Про внесення змін до деяких законодавчих актів України щодо захисту прав споживачів фінансових послуг» внесен</w:t>
      </w:r>
      <w:r>
        <w:rPr>
          <w:sz w:val="28"/>
          <w:szCs w:val="28"/>
          <w:lang w:val="uk-UA"/>
        </w:rPr>
        <w:t>і</w:t>
      </w:r>
      <w:r w:rsidRPr="006B4916">
        <w:rPr>
          <w:sz w:val="28"/>
          <w:szCs w:val="28"/>
          <w:lang w:val="uk-UA"/>
        </w:rPr>
        <w:t xml:space="preserve"> зміни</w:t>
      </w:r>
      <w:r>
        <w:rPr>
          <w:sz w:val="28"/>
          <w:szCs w:val="28"/>
          <w:lang w:val="uk-UA"/>
        </w:rPr>
        <w:t>, зокрема,</w:t>
      </w:r>
      <w:r w:rsidRPr="006B4916">
        <w:rPr>
          <w:sz w:val="28"/>
          <w:szCs w:val="28"/>
          <w:lang w:val="uk-UA"/>
        </w:rPr>
        <w:t xml:space="preserve"> до Закону України «Про фінансові послуги та державне регулювання ринків фінансових пос</w:t>
      </w:r>
      <w:r>
        <w:rPr>
          <w:sz w:val="28"/>
          <w:szCs w:val="28"/>
          <w:lang w:val="uk-UA"/>
        </w:rPr>
        <w:t>луг», відповідно до яких</w:t>
      </w:r>
      <w:r w:rsidRPr="006B4916">
        <w:rPr>
          <w:sz w:val="28"/>
          <w:szCs w:val="28"/>
          <w:lang w:val="uk-UA"/>
        </w:rPr>
        <w:t xml:space="preserve"> визначені поняття «споживач фінансових послуг» та «клієнт», уточнені порядок та умови укладення договору про надання фінансових послуг, а також вимоги щодо розкриття фінансовою установою клієнтам визначеної законодавством інформації про умови та порядок діяльності</w:t>
      </w:r>
      <w:r>
        <w:rPr>
          <w:sz w:val="28"/>
          <w:szCs w:val="28"/>
          <w:lang w:val="uk-UA"/>
        </w:rPr>
        <w:t xml:space="preserve"> такої фінансової установи</w:t>
      </w:r>
      <w:r w:rsidRPr="006B4916">
        <w:rPr>
          <w:sz w:val="28"/>
          <w:szCs w:val="28"/>
          <w:lang w:val="uk-UA"/>
        </w:rPr>
        <w:t>.</w:t>
      </w:r>
    </w:p>
    <w:p w:rsidR="006B4916" w:rsidRDefault="005E22D8" w:rsidP="006B4916">
      <w:pPr>
        <w:ind w:left="-567" w:right="-766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зазначене,</w:t>
      </w:r>
      <w:r w:rsidR="006B4916" w:rsidRPr="006B4916">
        <w:rPr>
          <w:sz w:val="28"/>
          <w:szCs w:val="28"/>
          <w:lang w:val="uk-UA"/>
        </w:rPr>
        <w:t xml:space="preserve"> </w:t>
      </w:r>
      <w:r w:rsidRPr="007F02EC">
        <w:rPr>
          <w:sz w:val="28"/>
          <w:szCs w:val="28"/>
          <w:lang w:val="uk-UA"/>
        </w:rPr>
        <w:t xml:space="preserve">Проект передбачає внесення </w:t>
      </w:r>
      <w:r>
        <w:rPr>
          <w:sz w:val="28"/>
          <w:szCs w:val="28"/>
          <w:lang w:val="uk-UA"/>
        </w:rPr>
        <w:t xml:space="preserve">відповідних </w:t>
      </w:r>
      <w:r w:rsidRPr="007F02EC">
        <w:rPr>
          <w:sz w:val="28"/>
          <w:szCs w:val="28"/>
          <w:lang w:val="uk-UA"/>
        </w:rPr>
        <w:t>змін до</w:t>
      </w:r>
      <w:r w:rsidRPr="006B491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таких</w:t>
      </w:r>
      <w:r w:rsidR="006B4916" w:rsidRPr="006B4916">
        <w:rPr>
          <w:sz w:val="28"/>
          <w:szCs w:val="28"/>
          <w:lang w:val="uk-UA"/>
        </w:rPr>
        <w:t xml:space="preserve"> нормативно-правових актів </w:t>
      </w:r>
      <w:r w:rsidR="007767E9" w:rsidRPr="006B4916">
        <w:rPr>
          <w:sz w:val="28"/>
          <w:szCs w:val="28"/>
          <w:lang w:val="uk-UA"/>
        </w:rPr>
        <w:t>Національної комісії з цінних паперів та фондового ринку</w:t>
      </w:r>
      <w:r w:rsidR="006B4916">
        <w:rPr>
          <w:sz w:val="28"/>
          <w:szCs w:val="28"/>
          <w:lang w:val="uk-UA"/>
        </w:rPr>
        <w:t>:</w:t>
      </w:r>
    </w:p>
    <w:p w:rsidR="006B4916" w:rsidRPr="006B4916" w:rsidRDefault="006B4916" w:rsidP="006B4916">
      <w:pPr>
        <w:ind w:left="-567" w:right="-766" w:firstLine="710"/>
        <w:jc w:val="both"/>
        <w:rPr>
          <w:sz w:val="28"/>
          <w:szCs w:val="28"/>
          <w:lang w:val="uk-UA"/>
        </w:rPr>
      </w:pPr>
      <w:r w:rsidRPr="006B4916">
        <w:rPr>
          <w:sz w:val="28"/>
          <w:szCs w:val="28"/>
          <w:lang w:val="uk-UA"/>
        </w:rPr>
        <w:t>Вимог до договору про обслуговування рахунку в цінних паперах, затверджених рішенням Національної комісії з цінних паперів та фондового ринку від 06 серпня 2013 року № 1412, зареєстрованих в Міністерстві юстиції України 02 вересня 2013 року за № 1502/24034;</w:t>
      </w:r>
    </w:p>
    <w:p w:rsidR="006B4916" w:rsidRPr="006B4916" w:rsidRDefault="006B4916" w:rsidP="006B4916">
      <w:pPr>
        <w:ind w:left="-567" w:right="-766" w:firstLine="710"/>
        <w:jc w:val="both"/>
        <w:rPr>
          <w:sz w:val="28"/>
          <w:szCs w:val="28"/>
          <w:lang w:val="uk-UA"/>
        </w:rPr>
      </w:pPr>
      <w:r w:rsidRPr="006B4916">
        <w:rPr>
          <w:sz w:val="28"/>
          <w:szCs w:val="28"/>
          <w:lang w:val="uk-UA"/>
        </w:rPr>
        <w:t>Вимог до договору про надання послуг з обслуговування рахунку в цінних паперах номінального утримувача, затверджених рішенням Національної комісії з цінних паперів та фондового ринку від 13 грудня 2018</w:t>
      </w:r>
      <w:r w:rsidR="00C84D24">
        <w:rPr>
          <w:sz w:val="28"/>
          <w:szCs w:val="28"/>
          <w:lang w:val="uk-UA"/>
        </w:rPr>
        <w:t> </w:t>
      </w:r>
      <w:r w:rsidRPr="006B4916">
        <w:rPr>
          <w:sz w:val="28"/>
          <w:szCs w:val="28"/>
          <w:lang w:val="uk-UA"/>
        </w:rPr>
        <w:t>року № 866, зареєстрованих у Міністерстві юстиції України 22 лютого 2019 року за № 185/33156;</w:t>
      </w:r>
    </w:p>
    <w:p w:rsidR="006B4916" w:rsidRPr="006B4916" w:rsidRDefault="006B4916" w:rsidP="006B4916">
      <w:pPr>
        <w:ind w:left="-567" w:right="-766" w:firstLine="710"/>
        <w:jc w:val="both"/>
        <w:rPr>
          <w:sz w:val="28"/>
          <w:szCs w:val="28"/>
          <w:lang w:val="uk-UA"/>
        </w:rPr>
      </w:pPr>
      <w:r w:rsidRPr="006B4916">
        <w:rPr>
          <w:sz w:val="28"/>
          <w:szCs w:val="28"/>
          <w:lang w:val="uk-UA"/>
        </w:rPr>
        <w:t>Вимог до договору про обслуговування випусків цінних паперів між емітентом і Центральним депозитарієм, затверджених рішенням Національної комісії з цінних паперів та фондового ринку від 06 серпня 2013 року № 1413, зареєстрованих у Міністерстві юстиції України 02 вересня 2013 року за № 1500/24032;</w:t>
      </w:r>
    </w:p>
    <w:p w:rsidR="006B4916" w:rsidRPr="006B4916" w:rsidRDefault="006B4916" w:rsidP="006B4916">
      <w:pPr>
        <w:ind w:left="-567" w:right="-766" w:firstLine="710"/>
        <w:jc w:val="both"/>
        <w:rPr>
          <w:sz w:val="28"/>
          <w:szCs w:val="28"/>
          <w:lang w:val="uk-UA"/>
        </w:rPr>
      </w:pPr>
      <w:r w:rsidRPr="006B4916">
        <w:rPr>
          <w:sz w:val="28"/>
          <w:szCs w:val="28"/>
          <w:lang w:val="uk-UA"/>
        </w:rPr>
        <w:t>Вимог до депозитарного договору між депозитарною установою і Центральним депозитарієм цінних паперів, затверджених рішенням Національної комісії з цінних паперів та фондового ринку від 06 серпня 2013</w:t>
      </w:r>
      <w:r w:rsidR="00C84D24">
        <w:rPr>
          <w:sz w:val="28"/>
          <w:szCs w:val="28"/>
          <w:lang w:val="uk-UA"/>
        </w:rPr>
        <w:t> </w:t>
      </w:r>
      <w:r w:rsidRPr="006B4916">
        <w:rPr>
          <w:sz w:val="28"/>
          <w:szCs w:val="28"/>
          <w:lang w:val="uk-UA"/>
        </w:rPr>
        <w:t>року № 1410, зареєстрованих у Міністерстві юстиції України 30 серпня 2013 року за № 1498/24030;</w:t>
      </w:r>
    </w:p>
    <w:p w:rsidR="006B4916" w:rsidRPr="006B4916" w:rsidRDefault="006B4916" w:rsidP="006B4916">
      <w:pPr>
        <w:ind w:left="-567" w:right="-766" w:firstLine="710"/>
        <w:jc w:val="both"/>
        <w:rPr>
          <w:sz w:val="28"/>
          <w:szCs w:val="28"/>
          <w:lang w:val="uk-UA"/>
        </w:rPr>
      </w:pPr>
      <w:r w:rsidRPr="006B4916">
        <w:rPr>
          <w:sz w:val="28"/>
          <w:szCs w:val="28"/>
          <w:lang w:val="uk-UA"/>
        </w:rPr>
        <w:lastRenderedPageBreak/>
        <w:t xml:space="preserve">Вимог до договору про надання реєстру власників іменних цінних паперів, затверджених рішенням Національної комісії з цінних паперів та фондового </w:t>
      </w:r>
      <w:r w:rsidR="00EA43B6">
        <w:rPr>
          <w:sz w:val="28"/>
          <w:szCs w:val="28"/>
          <w:lang w:val="uk-UA"/>
        </w:rPr>
        <w:t>ринку від 15 серпня 2013 року № </w:t>
      </w:r>
      <w:r w:rsidRPr="006B4916">
        <w:rPr>
          <w:sz w:val="28"/>
          <w:szCs w:val="28"/>
          <w:lang w:val="uk-UA"/>
        </w:rPr>
        <w:t>1518, зареєстрованих у Міністерстві юстиції України 09 вересня 2013 року за № 1550/24082;</w:t>
      </w:r>
    </w:p>
    <w:p w:rsidR="006B4916" w:rsidRPr="006B4916" w:rsidRDefault="006B4916" w:rsidP="006B4916">
      <w:pPr>
        <w:ind w:left="-567" w:right="-766" w:firstLine="710"/>
        <w:jc w:val="both"/>
        <w:rPr>
          <w:sz w:val="28"/>
          <w:szCs w:val="28"/>
          <w:lang w:val="uk-UA"/>
        </w:rPr>
      </w:pPr>
      <w:r w:rsidRPr="006B4916">
        <w:rPr>
          <w:sz w:val="28"/>
          <w:szCs w:val="28"/>
          <w:lang w:val="uk-UA"/>
        </w:rPr>
        <w:t xml:space="preserve">Вимог до договору про проведення розрахунків у цінних паперах за результатами клірингу, затверджених рішенням Національної комісії з цінних паперів та фондового </w:t>
      </w:r>
      <w:r w:rsidR="009E24DF">
        <w:rPr>
          <w:sz w:val="28"/>
          <w:szCs w:val="28"/>
          <w:lang w:val="uk-UA"/>
        </w:rPr>
        <w:t>ринку від 20 серпня 2013 року № </w:t>
      </w:r>
      <w:r w:rsidRPr="006B4916">
        <w:rPr>
          <w:sz w:val="28"/>
          <w:szCs w:val="28"/>
          <w:lang w:val="uk-UA"/>
        </w:rPr>
        <w:t>1524, зареєстрованих у Міністерстві юстиції України 11 вересня 2013 року за № 1566/24098;</w:t>
      </w:r>
    </w:p>
    <w:p w:rsidR="006B4916" w:rsidRPr="006B4916" w:rsidRDefault="006B4916" w:rsidP="006B4916">
      <w:pPr>
        <w:ind w:left="-567" w:right="-766" w:firstLine="710"/>
        <w:jc w:val="both"/>
        <w:rPr>
          <w:sz w:val="28"/>
          <w:szCs w:val="28"/>
          <w:lang w:val="uk-UA"/>
        </w:rPr>
      </w:pPr>
      <w:r w:rsidRPr="006B4916">
        <w:rPr>
          <w:sz w:val="28"/>
          <w:szCs w:val="28"/>
          <w:lang w:val="uk-UA"/>
        </w:rPr>
        <w:t xml:space="preserve">Вимог до договору про проведення грошових розрахунків за результатами клірингу, затверджених рішенням Національної комісії з цінних паперів та фондового </w:t>
      </w:r>
      <w:r w:rsidR="009E24DF">
        <w:rPr>
          <w:sz w:val="28"/>
          <w:szCs w:val="28"/>
          <w:lang w:val="uk-UA"/>
        </w:rPr>
        <w:t>ринку від 20 серпня 2013 року № </w:t>
      </w:r>
      <w:r w:rsidRPr="006B4916">
        <w:rPr>
          <w:sz w:val="28"/>
          <w:szCs w:val="28"/>
          <w:lang w:val="uk-UA"/>
        </w:rPr>
        <w:t>1525, зареєстрованих у Міністерстві юстиції України 11 вересня 2013 року за № 1565/24097;</w:t>
      </w:r>
    </w:p>
    <w:p w:rsidR="006B4916" w:rsidRPr="006B4916" w:rsidRDefault="006B4916" w:rsidP="006B4916">
      <w:pPr>
        <w:ind w:left="-567" w:right="-766" w:firstLine="710"/>
        <w:jc w:val="both"/>
        <w:rPr>
          <w:sz w:val="28"/>
          <w:szCs w:val="28"/>
          <w:lang w:val="uk-UA"/>
        </w:rPr>
      </w:pPr>
      <w:r w:rsidRPr="006B4916">
        <w:rPr>
          <w:sz w:val="28"/>
          <w:szCs w:val="28"/>
          <w:lang w:val="uk-UA"/>
        </w:rPr>
        <w:t>Вимог</w:t>
      </w:r>
      <w:hyperlink r:id="rId4" w:anchor="n17" w:history="1">
        <w:r w:rsidRPr="006B4916">
          <w:rPr>
            <w:sz w:val="28"/>
            <w:szCs w:val="28"/>
            <w:lang w:val="uk-UA"/>
          </w:rPr>
          <w:t xml:space="preserve"> до договору про обслуговування клірингової установи та договору про обслуговування Розрахункового центру</w:t>
        </w:r>
      </w:hyperlink>
      <w:r w:rsidRPr="006B4916">
        <w:rPr>
          <w:sz w:val="28"/>
          <w:szCs w:val="28"/>
          <w:lang w:val="uk-UA"/>
        </w:rPr>
        <w:t>, затверджених рішенням Національної комісії з цінних паперів та фондового ри</w:t>
      </w:r>
      <w:r w:rsidR="00C84D24">
        <w:rPr>
          <w:sz w:val="28"/>
          <w:szCs w:val="28"/>
          <w:lang w:val="uk-UA"/>
        </w:rPr>
        <w:t>нку від 20 серпня 2013 року № </w:t>
      </w:r>
      <w:r w:rsidRPr="006B4916">
        <w:rPr>
          <w:sz w:val="28"/>
          <w:szCs w:val="28"/>
          <w:lang w:val="uk-UA"/>
        </w:rPr>
        <w:t>1526, зареєстрованих в Міністерстві юстиції України 11 вересня 2013 року за № 1569/24101;</w:t>
      </w:r>
    </w:p>
    <w:p w:rsidR="006B4916" w:rsidRPr="006B4916" w:rsidRDefault="006B4916" w:rsidP="006B4916">
      <w:pPr>
        <w:ind w:left="-567" w:right="-766" w:firstLine="710"/>
        <w:jc w:val="both"/>
        <w:rPr>
          <w:sz w:val="28"/>
          <w:szCs w:val="28"/>
          <w:lang w:val="uk-UA"/>
        </w:rPr>
      </w:pPr>
      <w:r w:rsidRPr="006B4916">
        <w:rPr>
          <w:sz w:val="28"/>
          <w:szCs w:val="28"/>
          <w:lang w:val="uk-UA"/>
        </w:rPr>
        <w:t xml:space="preserve">Вимог до договору про кліринг та розрахунки за правочинами щодо цінних паперів (про надання клірингових послуг), затверджених рішенням Національної комісії з цінних паперів та фондового ринку від </w:t>
      </w:r>
      <w:r w:rsidR="00C84D24" w:rsidRPr="006B4916">
        <w:rPr>
          <w:sz w:val="28"/>
          <w:szCs w:val="28"/>
          <w:lang w:val="uk-UA"/>
        </w:rPr>
        <w:t>20 серпня 2013</w:t>
      </w:r>
      <w:r w:rsidR="00C84D24">
        <w:rPr>
          <w:sz w:val="28"/>
          <w:szCs w:val="28"/>
          <w:lang w:val="uk-UA"/>
        </w:rPr>
        <w:t> </w:t>
      </w:r>
      <w:r w:rsidR="00C84D24" w:rsidRPr="006B4916">
        <w:rPr>
          <w:sz w:val="28"/>
          <w:szCs w:val="28"/>
          <w:lang w:val="uk-UA"/>
        </w:rPr>
        <w:t xml:space="preserve">року </w:t>
      </w:r>
      <w:r w:rsidRPr="006B4916">
        <w:rPr>
          <w:sz w:val="28"/>
          <w:szCs w:val="28"/>
          <w:lang w:val="uk-UA"/>
        </w:rPr>
        <w:t xml:space="preserve">№ 1527, зареєстрованих у Міністерстві юстиції України </w:t>
      </w:r>
      <w:r w:rsidR="00C84D24" w:rsidRPr="006B4916">
        <w:rPr>
          <w:sz w:val="28"/>
          <w:szCs w:val="28"/>
          <w:lang w:val="uk-UA"/>
        </w:rPr>
        <w:t xml:space="preserve">11 вересня 2013 року </w:t>
      </w:r>
      <w:r w:rsidRPr="006B4916">
        <w:rPr>
          <w:sz w:val="28"/>
          <w:szCs w:val="28"/>
          <w:lang w:val="uk-UA"/>
        </w:rPr>
        <w:t>за № 1570/24102.</w:t>
      </w:r>
    </w:p>
    <w:p w:rsidR="00377208" w:rsidRPr="00377208" w:rsidRDefault="0079158C" w:rsidP="00377208">
      <w:pPr>
        <w:ind w:left="-567" w:right="-766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спрямований на забезпечення </w:t>
      </w:r>
      <w:r w:rsidR="00377208" w:rsidRPr="00377208">
        <w:rPr>
          <w:sz w:val="28"/>
          <w:szCs w:val="28"/>
          <w:lang w:val="uk-UA"/>
        </w:rPr>
        <w:t xml:space="preserve">приведення </w:t>
      </w:r>
      <w:r w:rsidR="00377208">
        <w:rPr>
          <w:sz w:val="28"/>
          <w:szCs w:val="28"/>
          <w:lang w:val="uk-UA"/>
        </w:rPr>
        <w:t>зазначених</w:t>
      </w:r>
      <w:r w:rsidR="00377208" w:rsidRPr="00377208">
        <w:rPr>
          <w:sz w:val="28"/>
          <w:szCs w:val="28"/>
          <w:lang w:val="uk-UA"/>
        </w:rPr>
        <w:t xml:space="preserve"> нормативно-правових актів </w:t>
      </w:r>
      <w:r w:rsidR="00074B18" w:rsidRPr="006B4916">
        <w:rPr>
          <w:sz w:val="28"/>
          <w:szCs w:val="28"/>
          <w:lang w:val="uk-UA"/>
        </w:rPr>
        <w:t>Національної комісії з цінних паперів та фондового ринку</w:t>
      </w:r>
      <w:r w:rsidR="00074B18" w:rsidRPr="00377208">
        <w:rPr>
          <w:sz w:val="28"/>
          <w:szCs w:val="28"/>
          <w:lang w:val="uk-UA"/>
        </w:rPr>
        <w:t xml:space="preserve"> </w:t>
      </w:r>
      <w:r w:rsidR="00377208" w:rsidRPr="00377208">
        <w:rPr>
          <w:sz w:val="28"/>
          <w:szCs w:val="28"/>
          <w:lang w:val="uk-UA"/>
        </w:rPr>
        <w:t>у відповідність до вимог Закону України від 20 вересня 2019 року № 122 – ІХ «Про внесення змін до деяких законодавчих актів України щодо захисту прав споживачів фінансових послуг».</w:t>
      </w:r>
    </w:p>
    <w:p w:rsidR="00C041CB" w:rsidRPr="00A70705" w:rsidRDefault="00C041CB" w:rsidP="00377208">
      <w:pPr>
        <w:ind w:left="-567" w:right="-766" w:firstLine="710"/>
        <w:jc w:val="both"/>
        <w:rPr>
          <w:sz w:val="28"/>
          <w:szCs w:val="28"/>
          <w:lang w:val="uk-UA"/>
        </w:rPr>
      </w:pPr>
      <w:r w:rsidRPr="0079158C">
        <w:rPr>
          <w:sz w:val="28"/>
          <w:szCs w:val="28"/>
          <w:lang w:val="uk-UA"/>
        </w:rPr>
        <w:t xml:space="preserve">Пропозиції та зауваження до </w:t>
      </w:r>
      <w:r w:rsidR="00857E19" w:rsidRPr="0079158C">
        <w:rPr>
          <w:sz w:val="28"/>
          <w:szCs w:val="28"/>
          <w:lang w:val="uk-UA"/>
        </w:rPr>
        <w:t>П</w:t>
      </w:r>
      <w:r w:rsidRPr="0079158C">
        <w:rPr>
          <w:sz w:val="28"/>
          <w:szCs w:val="28"/>
          <w:lang w:val="uk-UA"/>
        </w:rPr>
        <w:t xml:space="preserve">роекту просимо надсилати поштою на адресу Національної комісії з цінних паперів та фондового ринку: </w:t>
      </w:r>
      <w:smartTag w:uri="urn:schemas-microsoft-com:office:smarttags" w:element="metricconverter">
        <w:smartTagPr>
          <w:attr w:name="ProductID" w:val="01010, м"/>
        </w:smartTagPr>
        <w:r w:rsidRPr="0079158C">
          <w:rPr>
            <w:sz w:val="28"/>
            <w:szCs w:val="28"/>
            <w:lang w:val="uk-UA"/>
          </w:rPr>
          <w:t>01010, м</w:t>
        </w:r>
      </w:smartTag>
      <w:r w:rsidRPr="0079158C">
        <w:rPr>
          <w:sz w:val="28"/>
          <w:szCs w:val="28"/>
          <w:lang w:val="uk-UA"/>
        </w:rPr>
        <w:t xml:space="preserve">. Київ, вул. Московська, 8, </w:t>
      </w:r>
      <w:proofErr w:type="spellStart"/>
      <w:r w:rsidRPr="0079158C">
        <w:rPr>
          <w:sz w:val="28"/>
          <w:szCs w:val="28"/>
          <w:lang w:val="uk-UA"/>
        </w:rPr>
        <w:t>корп</w:t>
      </w:r>
      <w:proofErr w:type="spellEnd"/>
      <w:r w:rsidRPr="0079158C">
        <w:rPr>
          <w:sz w:val="28"/>
          <w:szCs w:val="28"/>
          <w:lang w:val="uk-UA"/>
        </w:rPr>
        <w:t xml:space="preserve">. 30 (департамент </w:t>
      </w:r>
      <w:r w:rsidR="009751A0" w:rsidRPr="0079158C">
        <w:rPr>
          <w:sz w:val="28"/>
          <w:szCs w:val="28"/>
          <w:lang w:val="uk-UA"/>
        </w:rPr>
        <w:t xml:space="preserve">методології </w:t>
      </w:r>
      <w:r w:rsidRPr="0079158C">
        <w:rPr>
          <w:sz w:val="28"/>
          <w:szCs w:val="28"/>
          <w:lang w:val="uk-UA"/>
        </w:rPr>
        <w:t xml:space="preserve">регулювання </w:t>
      </w:r>
      <w:r w:rsidR="009751A0" w:rsidRPr="0079158C">
        <w:rPr>
          <w:sz w:val="28"/>
          <w:szCs w:val="28"/>
          <w:lang w:val="uk-UA"/>
        </w:rPr>
        <w:t>професійних учасників ринку цінних паперів)</w:t>
      </w:r>
      <w:r w:rsidRPr="00A70705">
        <w:rPr>
          <w:sz w:val="28"/>
          <w:szCs w:val="28"/>
          <w:lang w:val="uk-UA"/>
        </w:rPr>
        <w:t>.</w:t>
      </w:r>
    </w:p>
    <w:p w:rsidR="00C041CB" w:rsidRPr="00A70705" w:rsidRDefault="00C041CB" w:rsidP="004B06AD">
      <w:pPr>
        <w:tabs>
          <w:tab w:val="left" w:pos="-1260"/>
        </w:tabs>
        <w:ind w:left="-567" w:right="-766" w:firstLine="720"/>
        <w:jc w:val="both"/>
        <w:rPr>
          <w:sz w:val="28"/>
          <w:szCs w:val="28"/>
          <w:lang w:val="uk-UA"/>
        </w:rPr>
      </w:pPr>
      <w:r w:rsidRPr="00A70705">
        <w:rPr>
          <w:sz w:val="28"/>
          <w:szCs w:val="28"/>
          <w:lang w:val="uk-UA"/>
        </w:rPr>
        <w:t xml:space="preserve">Проект оприлюднюється на офіційному </w:t>
      </w:r>
      <w:proofErr w:type="spellStart"/>
      <w:r w:rsidR="00EA43B6">
        <w:rPr>
          <w:sz w:val="28"/>
          <w:szCs w:val="28"/>
          <w:lang w:val="uk-UA"/>
        </w:rPr>
        <w:t>веб</w:t>
      </w:r>
      <w:r w:rsidRPr="00A70705">
        <w:rPr>
          <w:sz w:val="28"/>
          <w:szCs w:val="28"/>
          <w:lang w:val="uk-UA"/>
        </w:rPr>
        <w:t>сайті</w:t>
      </w:r>
      <w:proofErr w:type="spellEnd"/>
      <w:r w:rsidRPr="00A70705">
        <w:rPr>
          <w:sz w:val="28"/>
          <w:szCs w:val="28"/>
          <w:lang w:val="uk-UA"/>
        </w:rPr>
        <w:t xml:space="preserve"> Національної комісії з цінних паперів та фондового ринку </w:t>
      </w:r>
      <w:r w:rsidR="00290C14" w:rsidRPr="004139FC">
        <w:rPr>
          <w:lang w:val="uk-UA"/>
        </w:rPr>
        <w:t>–</w:t>
      </w:r>
      <w:r w:rsidR="00290C14" w:rsidRPr="004139FC">
        <w:rPr>
          <w:rStyle w:val="ab"/>
          <w:sz w:val="28"/>
          <w:szCs w:val="28"/>
        </w:rPr>
        <w:t xml:space="preserve"> </w:t>
      </w:r>
      <w:r w:rsidRPr="004139FC">
        <w:rPr>
          <w:rStyle w:val="ab"/>
          <w:sz w:val="28"/>
          <w:szCs w:val="28"/>
        </w:rPr>
        <w:t>http://www.nssmc.gov.ua/</w:t>
      </w:r>
      <w:r w:rsidRPr="00A70705">
        <w:rPr>
          <w:sz w:val="28"/>
          <w:szCs w:val="28"/>
          <w:lang w:val="uk-UA"/>
        </w:rPr>
        <w:t>.</w:t>
      </w:r>
    </w:p>
    <w:p w:rsidR="00C041CB" w:rsidRPr="002A20EF" w:rsidRDefault="00C041CB" w:rsidP="00BE7337">
      <w:pPr>
        <w:tabs>
          <w:tab w:val="left" w:pos="-1260"/>
        </w:tabs>
        <w:spacing w:before="120" w:after="120"/>
        <w:ind w:left="-567" w:right="-765" w:firstLine="720"/>
        <w:jc w:val="both"/>
        <w:rPr>
          <w:sz w:val="28"/>
          <w:lang w:val="uk-UA"/>
        </w:rPr>
      </w:pPr>
      <w:r w:rsidRPr="002A20EF">
        <w:rPr>
          <w:sz w:val="28"/>
          <w:szCs w:val="28"/>
          <w:lang w:val="uk-UA"/>
        </w:rPr>
        <w:t xml:space="preserve">Строк, протягом якого приймаються зауваження та пропозиції від фізичних та юридичних осіб, їх об'єднань, становить 10 робочих днів з </w:t>
      </w:r>
      <w:bookmarkStart w:id="0" w:name="_GoBack"/>
      <w:bookmarkEnd w:id="0"/>
      <w:r w:rsidRPr="002A20EF">
        <w:rPr>
          <w:sz w:val="28"/>
          <w:szCs w:val="28"/>
          <w:lang w:val="uk-UA"/>
        </w:rPr>
        <w:t xml:space="preserve">дати оприлюднення </w:t>
      </w:r>
      <w:r w:rsidR="00073222" w:rsidRPr="002A20EF">
        <w:rPr>
          <w:sz w:val="28"/>
          <w:szCs w:val="28"/>
          <w:lang w:val="uk-UA"/>
        </w:rPr>
        <w:t>Проекту</w:t>
      </w:r>
      <w:r w:rsidRPr="002A20EF">
        <w:rPr>
          <w:sz w:val="28"/>
          <w:lang w:val="uk-UA"/>
        </w:rPr>
        <w:t>.</w:t>
      </w:r>
    </w:p>
    <w:p w:rsidR="00466360" w:rsidRDefault="00466360" w:rsidP="004A16A7">
      <w:pPr>
        <w:tabs>
          <w:tab w:val="left" w:pos="-540"/>
        </w:tabs>
        <w:ind w:left="-567" w:right="-766" w:firstLine="720"/>
        <w:rPr>
          <w:sz w:val="28"/>
          <w:lang w:val="uk-UA"/>
        </w:rPr>
      </w:pPr>
    </w:p>
    <w:p w:rsidR="001F6AAF" w:rsidRDefault="001F6AAF" w:rsidP="004A16A7">
      <w:pPr>
        <w:tabs>
          <w:tab w:val="left" w:pos="-540"/>
        </w:tabs>
        <w:ind w:left="-567" w:right="-766" w:firstLine="720"/>
        <w:rPr>
          <w:sz w:val="28"/>
          <w:lang w:val="uk-UA"/>
        </w:rPr>
      </w:pPr>
    </w:p>
    <w:p w:rsidR="001F6AAF" w:rsidRDefault="001F6AAF" w:rsidP="004A16A7">
      <w:pPr>
        <w:tabs>
          <w:tab w:val="left" w:pos="-540"/>
        </w:tabs>
        <w:ind w:left="-567" w:right="-766" w:firstLine="720"/>
        <w:rPr>
          <w:sz w:val="28"/>
          <w:lang w:val="uk-UA"/>
        </w:rPr>
      </w:pPr>
    </w:p>
    <w:p w:rsidR="00D824F5" w:rsidRPr="005B6079" w:rsidRDefault="00B73E56" w:rsidP="00BE7337">
      <w:pPr>
        <w:tabs>
          <w:tab w:val="left" w:pos="-540"/>
        </w:tabs>
        <w:ind w:left="-540" w:right="-874" w:firstLine="720"/>
        <w:rPr>
          <w:lang w:val="uk-UA"/>
        </w:rPr>
      </w:pPr>
      <w:r w:rsidRPr="004038C4">
        <w:rPr>
          <w:b/>
          <w:sz w:val="28"/>
          <w:lang w:val="uk-UA"/>
        </w:rPr>
        <w:t>Голов</w:t>
      </w:r>
      <w:r w:rsidR="00EA43B6">
        <w:rPr>
          <w:b/>
          <w:sz w:val="28"/>
          <w:lang w:val="uk-UA"/>
        </w:rPr>
        <w:t>а</w:t>
      </w:r>
      <w:r w:rsidRPr="004038C4">
        <w:rPr>
          <w:b/>
          <w:sz w:val="28"/>
          <w:lang w:val="uk-UA"/>
        </w:rPr>
        <w:t xml:space="preserve"> Комісії</w:t>
      </w:r>
      <w:r w:rsidRPr="004038C4">
        <w:rPr>
          <w:b/>
          <w:sz w:val="28"/>
          <w:lang w:val="uk-UA"/>
        </w:rPr>
        <w:tab/>
      </w:r>
      <w:r w:rsidRPr="004038C4">
        <w:rPr>
          <w:b/>
          <w:sz w:val="28"/>
          <w:lang w:val="uk-UA"/>
        </w:rPr>
        <w:tab/>
      </w:r>
      <w:r w:rsidRPr="004038C4">
        <w:rPr>
          <w:b/>
          <w:sz w:val="28"/>
          <w:lang w:val="uk-UA"/>
        </w:rPr>
        <w:tab/>
      </w:r>
      <w:r w:rsidRPr="004038C4">
        <w:rPr>
          <w:b/>
          <w:sz w:val="28"/>
          <w:lang w:val="uk-UA"/>
        </w:rPr>
        <w:tab/>
      </w:r>
      <w:r w:rsidR="00CA4914" w:rsidRPr="004038C4">
        <w:rPr>
          <w:b/>
          <w:sz w:val="28"/>
          <w:lang w:val="uk-UA"/>
        </w:rPr>
        <w:t xml:space="preserve">               </w:t>
      </w:r>
      <w:r w:rsidR="00F15623">
        <w:rPr>
          <w:b/>
          <w:sz w:val="28"/>
          <w:lang w:val="uk-UA"/>
        </w:rPr>
        <w:t xml:space="preserve">                  </w:t>
      </w:r>
      <w:r w:rsidR="00EA43B6">
        <w:rPr>
          <w:b/>
          <w:sz w:val="28"/>
          <w:lang w:val="uk-UA"/>
        </w:rPr>
        <w:t xml:space="preserve">Т. </w:t>
      </w:r>
      <w:proofErr w:type="spellStart"/>
      <w:r w:rsidR="00EA43B6">
        <w:rPr>
          <w:b/>
          <w:sz w:val="28"/>
          <w:lang w:val="uk-UA"/>
        </w:rPr>
        <w:t>Хромаєв</w:t>
      </w:r>
      <w:proofErr w:type="spellEnd"/>
    </w:p>
    <w:sectPr w:rsidR="00D824F5" w:rsidRPr="005B6079" w:rsidSect="007767E9">
      <w:pgSz w:w="11906" w:h="16838"/>
      <w:pgMar w:top="1134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E56"/>
    <w:rsid w:val="000032F8"/>
    <w:rsid w:val="00004BCF"/>
    <w:rsid w:val="00011953"/>
    <w:rsid w:val="0001315A"/>
    <w:rsid w:val="000207ED"/>
    <w:rsid w:val="000249F9"/>
    <w:rsid w:val="00026178"/>
    <w:rsid w:val="00031437"/>
    <w:rsid w:val="00036C52"/>
    <w:rsid w:val="00044594"/>
    <w:rsid w:val="000552FA"/>
    <w:rsid w:val="00067ED8"/>
    <w:rsid w:val="00073222"/>
    <w:rsid w:val="00074B18"/>
    <w:rsid w:val="000F4392"/>
    <w:rsid w:val="000F7022"/>
    <w:rsid w:val="00100452"/>
    <w:rsid w:val="00106D78"/>
    <w:rsid w:val="00120BBA"/>
    <w:rsid w:val="001226DC"/>
    <w:rsid w:val="0014093E"/>
    <w:rsid w:val="00141772"/>
    <w:rsid w:val="00154B87"/>
    <w:rsid w:val="00184A1E"/>
    <w:rsid w:val="001863ED"/>
    <w:rsid w:val="00187267"/>
    <w:rsid w:val="001874C5"/>
    <w:rsid w:val="001D3FDA"/>
    <w:rsid w:val="001D6DAE"/>
    <w:rsid w:val="001E1A51"/>
    <w:rsid w:val="001E7863"/>
    <w:rsid w:val="001F1705"/>
    <w:rsid w:val="001F1739"/>
    <w:rsid w:val="001F6AAF"/>
    <w:rsid w:val="00204378"/>
    <w:rsid w:val="00222976"/>
    <w:rsid w:val="00224F76"/>
    <w:rsid w:val="002415F7"/>
    <w:rsid w:val="00251A22"/>
    <w:rsid w:val="00263997"/>
    <w:rsid w:val="00290C14"/>
    <w:rsid w:val="002A20EF"/>
    <w:rsid w:val="002A71D8"/>
    <w:rsid w:val="002E3B1D"/>
    <w:rsid w:val="00323F7D"/>
    <w:rsid w:val="003423A0"/>
    <w:rsid w:val="00374A91"/>
    <w:rsid w:val="00377208"/>
    <w:rsid w:val="00387DC0"/>
    <w:rsid w:val="003B34B1"/>
    <w:rsid w:val="003D3D6E"/>
    <w:rsid w:val="003D5F81"/>
    <w:rsid w:val="003E18AA"/>
    <w:rsid w:val="003F0E3C"/>
    <w:rsid w:val="004038C4"/>
    <w:rsid w:val="004139FC"/>
    <w:rsid w:val="00417E93"/>
    <w:rsid w:val="004203A9"/>
    <w:rsid w:val="0042315D"/>
    <w:rsid w:val="004322F5"/>
    <w:rsid w:val="00445A1F"/>
    <w:rsid w:val="00460384"/>
    <w:rsid w:val="0046132C"/>
    <w:rsid w:val="00466360"/>
    <w:rsid w:val="0047003F"/>
    <w:rsid w:val="00470DD8"/>
    <w:rsid w:val="00471EBE"/>
    <w:rsid w:val="004860B1"/>
    <w:rsid w:val="00495FE5"/>
    <w:rsid w:val="004A16A7"/>
    <w:rsid w:val="004A44E3"/>
    <w:rsid w:val="004B06AD"/>
    <w:rsid w:val="004E32D8"/>
    <w:rsid w:val="00521E83"/>
    <w:rsid w:val="0053552A"/>
    <w:rsid w:val="0055282A"/>
    <w:rsid w:val="0056100E"/>
    <w:rsid w:val="00573A5D"/>
    <w:rsid w:val="00593CCD"/>
    <w:rsid w:val="005A5080"/>
    <w:rsid w:val="005B0B3F"/>
    <w:rsid w:val="005B1C96"/>
    <w:rsid w:val="005B6079"/>
    <w:rsid w:val="005C0D2A"/>
    <w:rsid w:val="005D49E2"/>
    <w:rsid w:val="005E22D8"/>
    <w:rsid w:val="005F670E"/>
    <w:rsid w:val="006222D2"/>
    <w:rsid w:val="00626BA3"/>
    <w:rsid w:val="00630CB0"/>
    <w:rsid w:val="006335B1"/>
    <w:rsid w:val="00643F05"/>
    <w:rsid w:val="00644A55"/>
    <w:rsid w:val="00650F25"/>
    <w:rsid w:val="006555FB"/>
    <w:rsid w:val="006568BA"/>
    <w:rsid w:val="00662134"/>
    <w:rsid w:val="0068488A"/>
    <w:rsid w:val="00695F2F"/>
    <w:rsid w:val="006A05FF"/>
    <w:rsid w:val="006A52BC"/>
    <w:rsid w:val="006B4916"/>
    <w:rsid w:val="006B6DDA"/>
    <w:rsid w:val="006C179A"/>
    <w:rsid w:val="006F18EA"/>
    <w:rsid w:val="007118FF"/>
    <w:rsid w:val="0072420A"/>
    <w:rsid w:val="00742C50"/>
    <w:rsid w:val="007477E3"/>
    <w:rsid w:val="00764120"/>
    <w:rsid w:val="007767E9"/>
    <w:rsid w:val="00785580"/>
    <w:rsid w:val="00790726"/>
    <w:rsid w:val="0079158C"/>
    <w:rsid w:val="007A4C33"/>
    <w:rsid w:val="007B202A"/>
    <w:rsid w:val="007B5068"/>
    <w:rsid w:val="007C16B1"/>
    <w:rsid w:val="007C221E"/>
    <w:rsid w:val="007C2260"/>
    <w:rsid w:val="007C41C7"/>
    <w:rsid w:val="007D2649"/>
    <w:rsid w:val="007E0767"/>
    <w:rsid w:val="007F02EC"/>
    <w:rsid w:val="007F0F3A"/>
    <w:rsid w:val="0081178E"/>
    <w:rsid w:val="00821855"/>
    <w:rsid w:val="00830E87"/>
    <w:rsid w:val="00836E55"/>
    <w:rsid w:val="00836ED6"/>
    <w:rsid w:val="00843386"/>
    <w:rsid w:val="00847A39"/>
    <w:rsid w:val="00857E19"/>
    <w:rsid w:val="00866507"/>
    <w:rsid w:val="008C436C"/>
    <w:rsid w:val="008D1487"/>
    <w:rsid w:val="00904171"/>
    <w:rsid w:val="00921566"/>
    <w:rsid w:val="00923DBD"/>
    <w:rsid w:val="009347E9"/>
    <w:rsid w:val="00960BC9"/>
    <w:rsid w:val="00961E37"/>
    <w:rsid w:val="009717DC"/>
    <w:rsid w:val="009751A0"/>
    <w:rsid w:val="00984BFD"/>
    <w:rsid w:val="00995CF0"/>
    <w:rsid w:val="009A0B0E"/>
    <w:rsid w:val="009A22CC"/>
    <w:rsid w:val="009E24DF"/>
    <w:rsid w:val="009E2C64"/>
    <w:rsid w:val="009E5E6D"/>
    <w:rsid w:val="009F0178"/>
    <w:rsid w:val="009F75F5"/>
    <w:rsid w:val="00A06B5D"/>
    <w:rsid w:val="00A30574"/>
    <w:rsid w:val="00A32B37"/>
    <w:rsid w:val="00A33431"/>
    <w:rsid w:val="00A33AEE"/>
    <w:rsid w:val="00A55A7B"/>
    <w:rsid w:val="00A55AD6"/>
    <w:rsid w:val="00A70705"/>
    <w:rsid w:val="00A73B76"/>
    <w:rsid w:val="00A84040"/>
    <w:rsid w:val="00A84ADC"/>
    <w:rsid w:val="00A9288A"/>
    <w:rsid w:val="00A92A42"/>
    <w:rsid w:val="00AA35C5"/>
    <w:rsid w:val="00AB33D4"/>
    <w:rsid w:val="00AC553E"/>
    <w:rsid w:val="00AD0F1C"/>
    <w:rsid w:val="00AD1E49"/>
    <w:rsid w:val="00AD73B1"/>
    <w:rsid w:val="00AF150C"/>
    <w:rsid w:val="00AF21E2"/>
    <w:rsid w:val="00B02C79"/>
    <w:rsid w:val="00B06B7A"/>
    <w:rsid w:val="00B1208B"/>
    <w:rsid w:val="00B236AD"/>
    <w:rsid w:val="00B33CE9"/>
    <w:rsid w:val="00B52E96"/>
    <w:rsid w:val="00B534F0"/>
    <w:rsid w:val="00B66BA6"/>
    <w:rsid w:val="00B701F2"/>
    <w:rsid w:val="00B73E56"/>
    <w:rsid w:val="00B74F7C"/>
    <w:rsid w:val="00B81DCE"/>
    <w:rsid w:val="00B822E2"/>
    <w:rsid w:val="00B82D38"/>
    <w:rsid w:val="00B85C84"/>
    <w:rsid w:val="00BE0279"/>
    <w:rsid w:val="00BE7337"/>
    <w:rsid w:val="00BF525B"/>
    <w:rsid w:val="00BF53F1"/>
    <w:rsid w:val="00C0240E"/>
    <w:rsid w:val="00C041CB"/>
    <w:rsid w:val="00C06EFF"/>
    <w:rsid w:val="00C10536"/>
    <w:rsid w:val="00C140C0"/>
    <w:rsid w:val="00C160D1"/>
    <w:rsid w:val="00C73B73"/>
    <w:rsid w:val="00C8388C"/>
    <w:rsid w:val="00C84D24"/>
    <w:rsid w:val="00C96E5C"/>
    <w:rsid w:val="00CA4914"/>
    <w:rsid w:val="00CB4191"/>
    <w:rsid w:val="00CC0828"/>
    <w:rsid w:val="00CF17EA"/>
    <w:rsid w:val="00D21578"/>
    <w:rsid w:val="00D258FA"/>
    <w:rsid w:val="00D25A9B"/>
    <w:rsid w:val="00D32F2A"/>
    <w:rsid w:val="00D41BD4"/>
    <w:rsid w:val="00D543AD"/>
    <w:rsid w:val="00D54434"/>
    <w:rsid w:val="00D56761"/>
    <w:rsid w:val="00D824F5"/>
    <w:rsid w:val="00DA02F3"/>
    <w:rsid w:val="00DA404A"/>
    <w:rsid w:val="00DA486A"/>
    <w:rsid w:val="00DB125D"/>
    <w:rsid w:val="00DB1996"/>
    <w:rsid w:val="00DB4B81"/>
    <w:rsid w:val="00DC17E9"/>
    <w:rsid w:val="00DC4CB8"/>
    <w:rsid w:val="00DC6A1B"/>
    <w:rsid w:val="00DC78E8"/>
    <w:rsid w:val="00DD35C5"/>
    <w:rsid w:val="00DF250F"/>
    <w:rsid w:val="00DF5C33"/>
    <w:rsid w:val="00E06031"/>
    <w:rsid w:val="00E230E0"/>
    <w:rsid w:val="00E337C6"/>
    <w:rsid w:val="00E5220C"/>
    <w:rsid w:val="00E67374"/>
    <w:rsid w:val="00E74D44"/>
    <w:rsid w:val="00E7625B"/>
    <w:rsid w:val="00E765CD"/>
    <w:rsid w:val="00E940D9"/>
    <w:rsid w:val="00EA43B6"/>
    <w:rsid w:val="00EB4225"/>
    <w:rsid w:val="00EC2B5A"/>
    <w:rsid w:val="00ED35A9"/>
    <w:rsid w:val="00ED47F6"/>
    <w:rsid w:val="00EF468D"/>
    <w:rsid w:val="00F03FAA"/>
    <w:rsid w:val="00F05AE1"/>
    <w:rsid w:val="00F06FA8"/>
    <w:rsid w:val="00F15623"/>
    <w:rsid w:val="00F81E27"/>
    <w:rsid w:val="00F87CBC"/>
    <w:rsid w:val="00FB3E9C"/>
    <w:rsid w:val="00FC4476"/>
    <w:rsid w:val="00FC5CFF"/>
    <w:rsid w:val="00FD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39DAF-8837-4A46-BD9D-0B400B40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E56"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73E56"/>
    <w:pPr>
      <w:jc w:val="center"/>
    </w:pPr>
    <w:rPr>
      <w:b/>
      <w:sz w:val="28"/>
      <w:lang w:val="uk-UA" w:eastAsia="uk-UA"/>
    </w:rPr>
  </w:style>
  <w:style w:type="paragraph" w:customStyle="1" w:styleId="a4">
    <w:name w:val="Знак Знак Знак Знак Знак Знак Знак Знак Знак Знак Знак Знак"/>
    <w:basedOn w:val="a"/>
    <w:rsid w:val="00B73E56"/>
    <w:rPr>
      <w:rFonts w:ascii="Verdana" w:hAnsi="Verdana" w:cs="Verdana"/>
      <w:lang w:val="en-US" w:eastAsia="en-US"/>
    </w:rPr>
  </w:style>
  <w:style w:type="paragraph" w:styleId="a5">
    <w:name w:val="Body Text"/>
    <w:basedOn w:val="a"/>
    <w:rsid w:val="00B73E56"/>
    <w:pPr>
      <w:spacing w:after="120"/>
    </w:pPr>
    <w:rPr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1F1739"/>
    <w:rPr>
      <w:rFonts w:ascii="Verdana" w:hAnsi="Verdana" w:cs="Verdana"/>
      <w:lang w:val="en-US" w:eastAsia="en-US"/>
    </w:rPr>
  </w:style>
  <w:style w:type="paragraph" w:styleId="a6">
    <w:name w:val="Normal (Web)"/>
    <w:basedOn w:val="a"/>
    <w:rsid w:val="00DF250F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B1208B"/>
    <w:pPr>
      <w:tabs>
        <w:tab w:val="center" w:pos="4677"/>
        <w:tab w:val="right" w:pos="9355"/>
      </w:tabs>
    </w:pPr>
  </w:style>
  <w:style w:type="paragraph" w:customStyle="1" w:styleId="a9">
    <w:name w:val="Стиль Знак Знак"/>
    <w:basedOn w:val="a"/>
    <w:link w:val="a0"/>
    <w:rsid w:val="003B34B1"/>
    <w:rPr>
      <w:rFonts w:ascii="Verdana" w:hAnsi="Verdana" w:cs="Verdana"/>
      <w:lang w:val="en-US" w:eastAsia="en-US"/>
    </w:rPr>
  </w:style>
  <w:style w:type="paragraph" w:styleId="aa">
    <w:name w:val="Body Text Indent"/>
    <w:basedOn w:val="a"/>
    <w:rsid w:val="007B5068"/>
    <w:pPr>
      <w:spacing w:after="120"/>
      <w:ind w:left="283"/>
    </w:pPr>
  </w:style>
  <w:style w:type="character" w:customStyle="1" w:styleId="a8">
    <w:name w:val="Верхний колонтитул Знак"/>
    <w:link w:val="a7"/>
    <w:semiHidden/>
    <w:rsid w:val="00CC0828"/>
    <w:rPr>
      <w:lang w:val="ru-RU" w:eastAsia="ru-RU" w:bidi="ar-SA"/>
    </w:rPr>
  </w:style>
  <w:style w:type="character" w:styleId="ab">
    <w:name w:val="Hyperlink"/>
    <w:rsid w:val="00B33CE9"/>
    <w:rPr>
      <w:color w:val="0000FF"/>
      <w:u w:val="single"/>
    </w:rPr>
  </w:style>
  <w:style w:type="character" w:customStyle="1" w:styleId="rvts0">
    <w:name w:val="rvts0"/>
    <w:basedOn w:val="a0"/>
    <w:rsid w:val="00445A1F"/>
  </w:style>
  <w:style w:type="character" w:customStyle="1" w:styleId="st24">
    <w:name w:val="st24"/>
    <w:rsid w:val="00D258FA"/>
    <w:rPr>
      <w:rFonts w:ascii="Times New Roman" w:hAnsi="Times New Roman"/>
      <w:b/>
      <w:bCs/>
      <w:color w:val="000000"/>
      <w:sz w:val="32"/>
      <w:szCs w:val="32"/>
    </w:rPr>
  </w:style>
  <w:style w:type="paragraph" w:styleId="ac">
    <w:name w:val="Balloon Text"/>
    <w:basedOn w:val="a"/>
    <w:link w:val="ad"/>
    <w:rsid w:val="00C140C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C140C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1569-13/print1490085393898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/>
  <LinksUpToDate>false</LinksUpToDate>
  <CharactersWithSpaces>5099</CharactersWithSpaces>
  <SharedDoc>false</SharedDoc>
  <HLinks>
    <vt:vector size="6" baseType="variant"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http://zakon3.rada.gov.ua/laws/show/z1569-13/print1490085393898980</vt:lpwstr>
      </vt:variant>
      <vt:variant>
        <vt:lpwstr>n17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karina</dc:creator>
  <cp:keywords/>
  <dc:description/>
  <cp:lastModifiedBy>Руслан Кисляк</cp:lastModifiedBy>
  <cp:revision>2</cp:revision>
  <cp:lastPrinted>2019-04-11T09:13:00Z</cp:lastPrinted>
  <dcterms:created xsi:type="dcterms:W3CDTF">2019-12-26T13:34:00Z</dcterms:created>
  <dcterms:modified xsi:type="dcterms:W3CDTF">2019-12-26T13:34:00Z</dcterms:modified>
</cp:coreProperties>
</file>