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9755" w14:textId="77777777" w:rsidR="000F6CBD" w:rsidRPr="000F6CBD" w:rsidRDefault="000F6CBD" w:rsidP="000F6CBD">
      <w:pPr>
        <w:jc w:val="center"/>
        <w:rPr>
          <w:rFonts w:ascii="Times New Roman" w:hAnsi="Times New Roman" w:cs="Times New Roman"/>
          <w:b/>
          <w:bCs/>
          <w:sz w:val="32"/>
          <w:szCs w:val="32"/>
        </w:rPr>
      </w:pPr>
      <w:bookmarkStart w:id="0" w:name="_GoBack"/>
      <w:bookmarkEnd w:id="0"/>
      <w:r w:rsidRPr="000F6CBD">
        <w:rPr>
          <w:rFonts w:ascii="Times New Roman" w:hAnsi="Times New Roman" w:cs="Times New Roman"/>
          <w:b/>
          <w:bCs/>
          <w:sz w:val="32"/>
          <w:szCs w:val="32"/>
        </w:rPr>
        <w:t>ПОРІВНЯЛЬНА ТАБЛИЦЯ</w:t>
      </w:r>
    </w:p>
    <w:tbl>
      <w:tblPr>
        <w:tblStyle w:val="a3"/>
        <w:tblW w:w="0" w:type="auto"/>
        <w:tblLook w:val="04A0" w:firstRow="1" w:lastRow="0" w:firstColumn="1" w:lastColumn="0" w:noHBand="0" w:noVBand="1"/>
      </w:tblPr>
      <w:tblGrid>
        <w:gridCol w:w="7563"/>
        <w:gridCol w:w="7563"/>
      </w:tblGrid>
      <w:tr w:rsidR="000F6CBD" w14:paraId="39B5A9B4" w14:textId="77777777" w:rsidTr="00CE3A7D">
        <w:tc>
          <w:tcPr>
            <w:tcW w:w="7563" w:type="dxa"/>
          </w:tcPr>
          <w:p w14:paraId="632CBF6E" w14:textId="4486D20A" w:rsidR="000F6CBD" w:rsidRPr="000F6CBD" w:rsidRDefault="000F6CBD" w:rsidP="000F6CBD">
            <w:pPr>
              <w:jc w:val="center"/>
              <w:rPr>
                <w:rFonts w:ascii="Times New Roman" w:hAnsi="Times New Roman" w:cs="Times New Roman"/>
              </w:rPr>
            </w:pPr>
            <w:r w:rsidRPr="000F6CBD">
              <w:rPr>
                <w:rFonts w:ascii="Times New Roman" w:hAnsi="Times New Roman" w:cs="Times New Roman"/>
              </w:rPr>
              <w:t xml:space="preserve">Зміст чинного нормативно-правового акта </w:t>
            </w:r>
          </w:p>
        </w:tc>
        <w:tc>
          <w:tcPr>
            <w:tcW w:w="7563" w:type="dxa"/>
          </w:tcPr>
          <w:p w14:paraId="46B8C6F6" w14:textId="146F4DB8" w:rsidR="000F6CBD" w:rsidRPr="000F6CBD" w:rsidRDefault="000F6CBD" w:rsidP="000F6CBD">
            <w:pPr>
              <w:jc w:val="center"/>
              <w:rPr>
                <w:rFonts w:ascii="Times New Roman" w:hAnsi="Times New Roman" w:cs="Times New Roman"/>
              </w:rPr>
            </w:pPr>
            <w:r w:rsidRPr="000F6CBD">
              <w:rPr>
                <w:rFonts w:ascii="Times New Roman" w:hAnsi="Times New Roman" w:cs="Times New Roman"/>
              </w:rPr>
              <w:t>Зміст (нова редакція) відповідного нормативно-правового акта</w:t>
            </w:r>
          </w:p>
        </w:tc>
      </w:tr>
      <w:tr w:rsidR="000F6CBD" w:rsidRPr="00C4545A" w14:paraId="1A277BB9" w14:textId="77777777" w:rsidTr="000F6CBD">
        <w:tc>
          <w:tcPr>
            <w:tcW w:w="7563" w:type="dxa"/>
          </w:tcPr>
          <w:p w14:paraId="00EF0CC5" w14:textId="7E3F2F36" w:rsidR="000F6CBD" w:rsidRPr="000F6CBD" w:rsidRDefault="000F6CBD" w:rsidP="000F6CBD">
            <w:pPr>
              <w:shd w:val="clear" w:color="auto" w:fill="FFFFFF"/>
              <w:jc w:val="center"/>
              <w:rPr>
                <w:rFonts w:ascii="Times New Roman" w:eastAsia="Times New Roman" w:hAnsi="Times New Roman" w:cs="Times New Roman"/>
                <w:b/>
                <w:bCs/>
                <w:iCs/>
                <w:sz w:val="24"/>
                <w:szCs w:val="24"/>
                <w:lang w:eastAsia="uk-UA"/>
              </w:rPr>
            </w:pPr>
            <w:r w:rsidRPr="000F6CBD">
              <w:rPr>
                <w:rFonts w:ascii="Times New Roman" w:eastAsia="Times New Roman" w:hAnsi="Times New Roman" w:cs="Times New Roman"/>
                <w:b/>
                <w:bCs/>
                <w:iCs/>
                <w:sz w:val="24"/>
                <w:szCs w:val="24"/>
                <w:lang w:eastAsia="uk-UA"/>
              </w:rPr>
              <w:t>Положення про здійснення фінансового моніторингу</w:t>
            </w:r>
          </w:p>
          <w:p w14:paraId="4E569C30" w14:textId="43F06AA8" w:rsidR="000F6CBD" w:rsidRPr="000F6CBD" w:rsidRDefault="000F6CBD" w:rsidP="000F6CBD">
            <w:pPr>
              <w:shd w:val="clear" w:color="auto" w:fill="FFFFFF"/>
              <w:jc w:val="center"/>
              <w:rPr>
                <w:rFonts w:ascii="Times New Roman" w:eastAsia="Times New Roman" w:hAnsi="Times New Roman" w:cs="Times New Roman"/>
                <w:b/>
                <w:bCs/>
                <w:iCs/>
                <w:sz w:val="24"/>
                <w:szCs w:val="24"/>
                <w:lang w:eastAsia="uk-UA"/>
              </w:rPr>
            </w:pPr>
            <w:r w:rsidRPr="000F6CBD">
              <w:rPr>
                <w:rFonts w:ascii="Times New Roman" w:eastAsia="Times New Roman" w:hAnsi="Times New Roman" w:cs="Times New Roman"/>
                <w:b/>
                <w:bCs/>
                <w:iCs/>
                <w:sz w:val="24"/>
                <w:szCs w:val="24"/>
                <w:lang w:eastAsia="uk-UA"/>
              </w:rPr>
              <w:t>професійними учасниками ринку цінних паперів</w:t>
            </w:r>
            <w:r>
              <w:rPr>
                <w:rFonts w:ascii="Times New Roman" w:eastAsia="Times New Roman" w:hAnsi="Times New Roman" w:cs="Times New Roman"/>
                <w:b/>
                <w:bCs/>
                <w:iCs/>
                <w:sz w:val="24"/>
                <w:szCs w:val="24"/>
                <w:lang w:eastAsia="uk-UA"/>
              </w:rPr>
              <w:t xml:space="preserve">, </w:t>
            </w:r>
            <w:r w:rsidRPr="000F6CBD">
              <w:rPr>
                <w:rFonts w:ascii="Times New Roman" w:eastAsia="Times New Roman" w:hAnsi="Times New Roman" w:cs="Times New Roman"/>
                <w:b/>
                <w:bCs/>
                <w:iCs/>
                <w:sz w:val="24"/>
                <w:szCs w:val="24"/>
                <w:lang w:eastAsia="uk-UA"/>
              </w:rPr>
              <w:t>затверджен</w:t>
            </w:r>
            <w:r>
              <w:rPr>
                <w:rFonts w:ascii="Times New Roman" w:eastAsia="Times New Roman" w:hAnsi="Times New Roman" w:cs="Times New Roman"/>
                <w:b/>
                <w:bCs/>
                <w:iCs/>
                <w:sz w:val="24"/>
                <w:szCs w:val="24"/>
                <w:lang w:eastAsia="uk-UA"/>
              </w:rPr>
              <w:t>е</w:t>
            </w:r>
            <w:r w:rsidRPr="000F6CBD">
              <w:rPr>
                <w:rFonts w:ascii="Times New Roman" w:eastAsia="Times New Roman" w:hAnsi="Times New Roman" w:cs="Times New Roman"/>
                <w:b/>
                <w:bCs/>
                <w:iCs/>
                <w:sz w:val="24"/>
                <w:szCs w:val="24"/>
                <w:lang w:eastAsia="uk-UA"/>
              </w:rPr>
              <w:t xml:space="preserve"> рішенням НКЦПФР від 17.03.2016 № 309</w:t>
            </w:r>
          </w:p>
        </w:tc>
        <w:tc>
          <w:tcPr>
            <w:tcW w:w="7563" w:type="dxa"/>
            <w:vAlign w:val="center"/>
          </w:tcPr>
          <w:p w14:paraId="6DCADA59" w14:textId="36B0DE05" w:rsidR="000F6CBD" w:rsidRPr="000F6CBD" w:rsidRDefault="000F6CBD" w:rsidP="000F6CBD">
            <w:pPr>
              <w:jc w:val="center"/>
              <w:rPr>
                <w:rFonts w:ascii="Times New Roman" w:eastAsia="Times New Roman" w:hAnsi="Times New Roman" w:cs="Times New Roman"/>
                <w:b/>
                <w:bCs/>
                <w:iCs/>
                <w:sz w:val="24"/>
                <w:szCs w:val="24"/>
                <w:lang w:eastAsia="uk-UA"/>
              </w:rPr>
            </w:pPr>
            <w:r w:rsidRPr="000F6CBD">
              <w:rPr>
                <w:rFonts w:ascii="Times New Roman" w:eastAsia="Times New Roman" w:hAnsi="Times New Roman" w:cs="Times New Roman"/>
                <w:b/>
                <w:bCs/>
                <w:iCs/>
                <w:sz w:val="24"/>
                <w:szCs w:val="24"/>
                <w:lang w:eastAsia="uk-UA"/>
              </w:rPr>
              <w:t>Зміни</w:t>
            </w:r>
          </w:p>
        </w:tc>
      </w:tr>
      <w:tr w:rsidR="00C4545A" w14:paraId="4C5CA9CD" w14:textId="77777777" w:rsidTr="00C62EF2">
        <w:tc>
          <w:tcPr>
            <w:tcW w:w="15126" w:type="dxa"/>
            <w:gridSpan w:val="2"/>
          </w:tcPr>
          <w:p w14:paraId="093C2C2B" w14:textId="77777777" w:rsidR="00C4545A" w:rsidRPr="000F6CBD" w:rsidRDefault="00C4545A" w:rsidP="00FE6D34">
            <w:pPr>
              <w:shd w:val="clear" w:color="auto" w:fill="FFFFFF"/>
              <w:jc w:val="center"/>
              <w:outlineLvl w:val="2"/>
              <w:rPr>
                <w:rFonts w:ascii="Times New Roman" w:eastAsia="Times New Roman" w:hAnsi="Times New Roman" w:cs="Times New Roman"/>
                <w:b/>
                <w:color w:val="2A2928"/>
                <w:sz w:val="24"/>
                <w:szCs w:val="24"/>
                <w:lang w:eastAsia="uk-UA"/>
              </w:rPr>
            </w:pPr>
            <w:r w:rsidRPr="000F6CBD">
              <w:rPr>
                <w:rFonts w:ascii="Times New Roman" w:eastAsia="Times New Roman" w:hAnsi="Times New Roman" w:cs="Times New Roman"/>
                <w:b/>
                <w:color w:val="2A2928"/>
                <w:sz w:val="24"/>
                <w:szCs w:val="24"/>
                <w:lang w:eastAsia="uk-UA"/>
              </w:rPr>
              <w:t>I. Загальні положення</w:t>
            </w:r>
          </w:p>
          <w:p w14:paraId="647735ED" w14:textId="77777777" w:rsidR="00C4545A" w:rsidRDefault="00C4545A" w:rsidP="00FE6D34"/>
        </w:tc>
      </w:tr>
      <w:tr w:rsidR="004F3B50" w:rsidRPr="00C4545A" w14:paraId="5D32708D" w14:textId="77777777" w:rsidTr="00CE3A7D">
        <w:tc>
          <w:tcPr>
            <w:tcW w:w="7563" w:type="dxa"/>
          </w:tcPr>
          <w:p w14:paraId="19EAFC1C" w14:textId="77777777" w:rsidR="004F3B50" w:rsidRPr="00C4545A" w:rsidRDefault="004F3B50" w:rsidP="00FE6D34">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1. Цим Положенням встановлюються загальні вимоги НКЦПФР щодо організації та проведення первинного фінансового моніторингу професійними учасниками фондового ринку (ринку цінних паперів) (далі - суб'єкти первинного фінансового моніторингу).</w:t>
            </w:r>
          </w:p>
          <w:p w14:paraId="66D68175" w14:textId="77777777" w:rsidR="004F3B50" w:rsidRPr="00C4545A" w:rsidRDefault="004F3B50" w:rsidP="00FE6D34">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Дія цього Положення поширюється на суб'єктів первинного фінансового моніторингу професійних учасників фондового ринку (ринку цінних паперів) та їх відокремлені підрозділи.</w:t>
            </w:r>
          </w:p>
          <w:p w14:paraId="4E3143B0" w14:textId="77777777" w:rsidR="004F3B50" w:rsidRPr="00C4545A" w:rsidRDefault="004F3B50" w:rsidP="00FE6D34">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Дія цього Положення не поширюється на банки / філії іноземних банків, які здійснюють професійну діяльність на ринку цінних паперів (фондового ринку).</w:t>
            </w:r>
          </w:p>
          <w:p w14:paraId="52FE9D24" w14:textId="77777777" w:rsidR="004F3B50" w:rsidRDefault="004F3B50" w:rsidP="00FE6D34">
            <w:pPr>
              <w:shd w:val="clear" w:color="auto" w:fill="FFFFFF"/>
              <w:jc w:val="both"/>
              <w:rPr>
                <w:rFonts w:ascii="Times New Roman" w:hAnsi="Times New Roman" w:cs="Times New Roman"/>
                <w:sz w:val="18"/>
                <w:szCs w:val="18"/>
              </w:rPr>
            </w:pPr>
          </w:p>
          <w:p w14:paraId="0CDF3EA1" w14:textId="77777777" w:rsidR="00AF4986" w:rsidRPr="00567B24" w:rsidRDefault="00AF4986" w:rsidP="00FE6D34">
            <w:pPr>
              <w:shd w:val="clear" w:color="auto" w:fill="FFFFFF"/>
              <w:jc w:val="both"/>
              <w:rPr>
                <w:rFonts w:ascii="Times New Roman" w:hAnsi="Times New Roman" w:cs="Times New Roman"/>
                <w:b/>
                <w:i/>
                <w:sz w:val="18"/>
                <w:szCs w:val="18"/>
                <w:u w:val="single"/>
              </w:rPr>
            </w:pPr>
            <w:r w:rsidRPr="00567B24">
              <w:rPr>
                <w:rFonts w:ascii="Times New Roman" w:hAnsi="Times New Roman" w:cs="Times New Roman"/>
                <w:b/>
                <w:i/>
                <w:sz w:val="18"/>
                <w:szCs w:val="18"/>
                <w:u w:val="single"/>
              </w:rPr>
              <w:t>Не існувало</w:t>
            </w:r>
          </w:p>
          <w:p w14:paraId="5E663B3E" w14:textId="77777777" w:rsidR="00AF4986" w:rsidRPr="00C4545A" w:rsidRDefault="00AF4986" w:rsidP="00D371A4">
            <w:pPr>
              <w:shd w:val="clear" w:color="auto" w:fill="FFFFFF"/>
              <w:jc w:val="both"/>
              <w:rPr>
                <w:rFonts w:ascii="Times New Roman" w:hAnsi="Times New Roman" w:cs="Times New Roman"/>
                <w:sz w:val="18"/>
                <w:szCs w:val="18"/>
              </w:rPr>
            </w:pPr>
          </w:p>
        </w:tc>
        <w:tc>
          <w:tcPr>
            <w:tcW w:w="7563" w:type="dxa"/>
          </w:tcPr>
          <w:p w14:paraId="12FBAD97" w14:textId="77777777" w:rsidR="00621625" w:rsidRPr="00C4545A" w:rsidRDefault="00621625" w:rsidP="00FE6D34">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1. Цим Положенням встановлюються загальні вимоги НКЦПФР щодо організації та проведення первинного фінансового моніторингу професійними учасниками фондового ринку (ринку цінних паперів) (далі - суб'єкти первинного фінансового моніторингу).</w:t>
            </w:r>
          </w:p>
          <w:p w14:paraId="5C3F3B31" w14:textId="77777777" w:rsidR="00621625" w:rsidRPr="00C4545A" w:rsidRDefault="00621625" w:rsidP="00FE6D34">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Дія цього Положення поширюється на суб'єктів первинного фінансового моніторингу професійних учасників фондового ринку (ринку цінних паперів) та їх відокремлені підрозділи.</w:t>
            </w:r>
          </w:p>
          <w:p w14:paraId="00CEAFA1" w14:textId="77777777" w:rsidR="00621625" w:rsidRDefault="00621625" w:rsidP="00FE6D34">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Дія цього Положення не поширюється на банки / філії іноземних банків, які здійснюють професійну діяльність на ринку цінних паперів (фондового ринку).</w:t>
            </w:r>
          </w:p>
          <w:p w14:paraId="6188EE7F" w14:textId="0FB1B652" w:rsidR="004F3B50" w:rsidRPr="00296F49" w:rsidRDefault="00072BC4" w:rsidP="004A3E72">
            <w:pPr>
              <w:shd w:val="clear" w:color="auto" w:fill="FFFFFF"/>
              <w:jc w:val="both"/>
              <w:rPr>
                <w:rFonts w:ascii="Times New Roman" w:hAnsi="Times New Roman" w:cs="Times New Roman"/>
                <w:sz w:val="20"/>
                <w:szCs w:val="20"/>
              </w:rPr>
            </w:pPr>
            <w:r w:rsidRPr="00296F49">
              <w:rPr>
                <w:rFonts w:ascii="Times New Roman" w:eastAsia="Times New Roman" w:hAnsi="Times New Roman" w:cs="Times New Roman"/>
                <w:b/>
                <w:i/>
                <w:sz w:val="20"/>
                <w:szCs w:val="20"/>
                <w:lang w:eastAsia="uk-UA"/>
              </w:rPr>
              <w:t>Віддалене встановлення ділових відносин/віддалене відкриття рахунку в цінних паперах – це встановлення ділових відносин/відкриття рахунку в цінних паперах з використанням системи BankID Національного банку України (далі - Система BankID)</w:t>
            </w:r>
            <w:r w:rsidR="005542F7" w:rsidRPr="00296F49">
              <w:rPr>
                <w:rFonts w:ascii="Times New Roman" w:eastAsia="Times New Roman" w:hAnsi="Times New Roman" w:cs="Times New Roman"/>
                <w:b/>
                <w:i/>
                <w:sz w:val="20"/>
                <w:szCs w:val="20"/>
                <w:lang w:eastAsia="uk-UA"/>
              </w:rPr>
              <w:t>.</w:t>
            </w:r>
          </w:p>
        </w:tc>
      </w:tr>
      <w:tr w:rsidR="004F3B50" w:rsidRPr="00C4545A" w14:paraId="3CE7901C" w14:textId="77777777" w:rsidTr="00CE3A7D">
        <w:tc>
          <w:tcPr>
            <w:tcW w:w="7563" w:type="dxa"/>
          </w:tcPr>
          <w:p w14:paraId="3E468C49" w14:textId="77777777" w:rsidR="004F3B50" w:rsidRPr="00C4545A" w:rsidRDefault="004F3B50" w:rsidP="00FE6D34">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3. Терміни, що вживаються у цьому Положенні, застосовуються у значеннях, визначених </w:t>
            </w:r>
            <w:hyperlink r:id="rId8" w:tgtFrame="_top" w:history="1">
              <w:r w:rsidRPr="00206471">
                <w:rPr>
                  <w:rFonts w:ascii="Times New Roman" w:eastAsia="Times New Roman" w:hAnsi="Times New Roman" w:cs="Times New Roman"/>
                  <w:color w:val="2A2928"/>
                  <w:sz w:val="18"/>
                  <w:szCs w:val="18"/>
                  <w:lang w:eastAsia="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Pr="00C4545A">
              <w:rPr>
                <w:rFonts w:ascii="Times New Roman" w:eastAsia="Times New Roman" w:hAnsi="Times New Roman" w:cs="Times New Roman"/>
                <w:color w:val="2A2928"/>
                <w:sz w:val="18"/>
                <w:szCs w:val="18"/>
                <w:lang w:eastAsia="uk-UA"/>
              </w:rPr>
              <w:t> (далі - Закон).</w:t>
            </w:r>
          </w:p>
          <w:p w14:paraId="365F6C3C" w14:textId="77777777" w:rsidR="00072BC4" w:rsidRDefault="00072BC4" w:rsidP="00072BC4">
            <w:pPr>
              <w:shd w:val="clear" w:color="auto" w:fill="FFFFFF"/>
              <w:jc w:val="both"/>
              <w:rPr>
                <w:rFonts w:ascii="Times New Roman" w:hAnsi="Times New Roman" w:cs="Times New Roman"/>
                <w:b/>
                <w:i/>
                <w:sz w:val="18"/>
                <w:szCs w:val="18"/>
                <w:u w:val="single"/>
              </w:rPr>
            </w:pPr>
          </w:p>
          <w:p w14:paraId="2C4580CF" w14:textId="71AA893A" w:rsidR="00072BC4" w:rsidRDefault="00072BC4" w:rsidP="00072BC4">
            <w:pPr>
              <w:shd w:val="clear" w:color="auto" w:fill="FFFFFF"/>
              <w:jc w:val="both"/>
              <w:rPr>
                <w:rFonts w:ascii="Times New Roman" w:hAnsi="Times New Roman" w:cs="Times New Roman"/>
                <w:b/>
                <w:i/>
                <w:sz w:val="18"/>
                <w:szCs w:val="18"/>
                <w:u w:val="single"/>
              </w:rPr>
            </w:pPr>
            <w:r w:rsidRPr="00567B24">
              <w:rPr>
                <w:rFonts w:ascii="Times New Roman" w:hAnsi="Times New Roman" w:cs="Times New Roman"/>
                <w:b/>
                <w:i/>
                <w:sz w:val="18"/>
                <w:szCs w:val="18"/>
                <w:u w:val="single"/>
              </w:rPr>
              <w:t>Не існувало</w:t>
            </w:r>
          </w:p>
          <w:p w14:paraId="2B4C418B" w14:textId="7E795E5F" w:rsidR="00072BC4" w:rsidRDefault="00072BC4" w:rsidP="00072BC4">
            <w:pPr>
              <w:shd w:val="clear" w:color="auto" w:fill="FFFFFF"/>
              <w:jc w:val="both"/>
              <w:rPr>
                <w:rFonts w:ascii="Times New Roman" w:hAnsi="Times New Roman" w:cs="Times New Roman"/>
                <w:b/>
                <w:i/>
                <w:sz w:val="18"/>
                <w:szCs w:val="18"/>
                <w:u w:val="single"/>
              </w:rPr>
            </w:pPr>
          </w:p>
          <w:p w14:paraId="432DA346" w14:textId="77777777" w:rsidR="00072BC4" w:rsidRPr="00567B24" w:rsidRDefault="00072BC4" w:rsidP="00072BC4">
            <w:pPr>
              <w:shd w:val="clear" w:color="auto" w:fill="FFFFFF"/>
              <w:jc w:val="both"/>
              <w:rPr>
                <w:rFonts w:ascii="Times New Roman" w:hAnsi="Times New Roman" w:cs="Times New Roman"/>
                <w:b/>
                <w:i/>
                <w:sz w:val="18"/>
                <w:szCs w:val="18"/>
                <w:u w:val="single"/>
              </w:rPr>
            </w:pPr>
            <w:r w:rsidRPr="00567B24">
              <w:rPr>
                <w:rFonts w:ascii="Times New Roman" w:hAnsi="Times New Roman" w:cs="Times New Roman"/>
                <w:b/>
                <w:i/>
                <w:sz w:val="18"/>
                <w:szCs w:val="18"/>
                <w:u w:val="single"/>
              </w:rPr>
              <w:t>Не існувало</w:t>
            </w:r>
          </w:p>
          <w:p w14:paraId="11266E1B" w14:textId="77777777" w:rsidR="00072BC4" w:rsidRPr="00567B24" w:rsidRDefault="00072BC4" w:rsidP="00072BC4">
            <w:pPr>
              <w:shd w:val="clear" w:color="auto" w:fill="FFFFFF"/>
              <w:jc w:val="both"/>
              <w:rPr>
                <w:rFonts w:ascii="Times New Roman" w:hAnsi="Times New Roman" w:cs="Times New Roman"/>
                <w:b/>
                <w:i/>
                <w:sz w:val="18"/>
                <w:szCs w:val="18"/>
                <w:u w:val="single"/>
              </w:rPr>
            </w:pPr>
          </w:p>
          <w:p w14:paraId="3380AB28" w14:textId="77777777" w:rsidR="004F3B50" w:rsidRPr="00C4545A" w:rsidRDefault="004F3B50" w:rsidP="00FE6D34">
            <w:pPr>
              <w:shd w:val="clear" w:color="auto" w:fill="FFFFFF"/>
              <w:jc w:val="both"/>
              <w:rPr>
                <w:rFonts w:ascii="Times New Roman" w:hAnsi="Times New Roman" w:cs="Times New Roman"/>
                <w:sz w:val="18"/>
                <w:szCs w:val="18"/>
              </w:rPr>
            </w:pPr>
          </w:p>
        </w:tc>
        <w:tc>
          <w:tcPr>
            <w:tcW w:w="7563" w:type="dxa"/>
          </w:tcPr>
          <w:p w14:paraId="74FCD970" w14:textId="77777777" w:rsidR="004F3B50" w:rsidRDefault="00621625" w:rsidP="00072BC4">
            <w:pPr>
              <w:shd w:val="clear" w:color="auto" w:fill="FFFFFF"/>
              <w:jc w:val="both"/>
              <w:rPr>
                <w:rFonts w:ascii="Times New Roman" w:hAnsi="Times New Roman" w:cs="Times New Roman"/>
                <w:b/>
                <w:bCs/>
                <w:i/>
                <w:sz w:val="18"/>
                <w:szCs w:val="18"/>
                <w:shd w:val="clear" w:color="auto" w:fill="FFFFFF"/>
              </w:rPr>
            </w:pPr>
            <w:r w:rsidRPr="00C4545A">
              <w:rPr>
                <w:rFonts w:ascii="Times New Roman" w:eastAsia="Times New Roman" w:hAnsi="Times New Roman" w:cs="Times New Roman"/>
                <w:color w:val="2A2928"/>
                <w:sz w:val="18"/>
                <w:szCs w:val="18"/>
                <w:lang w:eastAsia="uk-UA"/>
              </w:rPr>
              <w:t>3. Терміни, що вживаються у цьому Положенні, застосовуються у значеннях, визначених </w:t>
            </w:r>
            <w:hyperlink r:id="rId9" w:tgtFrame="_top" w:history="1">
              <w:r w:rsidRPr="00206471">
                <w:rPr>
                  <w:rFonts w:ascii="Times New Roman" w:eastAsia="Times New Roman" w:hAnsi="Times New Roman" w:cs="Times New Roman"/>
                  <w:color w:val="2A2928"/>
                  <w:sz w:val="18"/>
                  <w:szCs w:val="18"/>
                  <w:lang w:eastAsia="uk-UA"/>
                </w:rPr>
                <w:t xml:space="preserve">Законом України </w:t>
              </w:r>
              <w:r w:rsidR="00D371A4" w:rsidRPr="00206471">
                <w:rPr>
                  <w:rFonts w:ascii="Times New Roman" w:eastAsia="Times New Roman" w:hAnsi="Times New Roman" w:cs="Times New Roman"/>
                  <w:color w:val="2A2928"/>
                  <w:sz w:val="18"/>
                  <w:szCs w:val="18"/>
                  <w:lang w:eastAsia="uk-UA"/>
                </w:rPr>
                <w:t>«</w:t>
              </w:r>
              <w:r w:rsidRPr="00206471">
                <w:rPr>
                  <w:rFonts w:ascii="Times New Roman" w:eastAsia="Times New Roman" w:hAnsi="Times New Roman" w:cs="Times New Roman"/>
                  <w:color w:val="2A2928"/>
                  <w:sz w:val="18"/>
                  <w:szCs w:val="18"/>
                  <w:lang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D371A4" w:rsidRPr="00206471">
                <w:rPr>
                  <w:rFonts w:ascii="Times New Roman" w:eastAsia="Times New Roman" w:hAnsi="Times New Roman" w:cs="Times New Roman"/>
                  <w:color w:val="2A2928"/>
                  <w:sz w:val="18"/>
                  <w:szCs w:val="18"/>
                  <w:lang w:eastAsia="uk-UA"/>
                </w:rPr>
                <w:t>»</w:t>
              </w:r>
            </w:hyperlink>
            <w:r w:rsidRPr="00C4545A">
              <w:rPr>
                <w:rFonts w:ascii="Times New Roman" w:eastAsia="Times New Roman" w:hAnsi="Times New Roman" w:cs="Times New Roman"/>
                <w:color w:val="2A2928"/>
                <w:sz w:val="18"/>
                <w:szCs w:val="18"/>
                <w:lang w:eastAsia="uk-UA"/>
              </w:rPr>
              <w:t> (далі - Закон</w:t>
            </w:r>
            <w:r w:rsidRPr="00206471">
              <w:rPr>
                <w:rFonts w:ascii="Times New Roman" w:eastAsia="Times New Roman" w:hAnsi="Times New Roman" w:cs="Times New Roman"/>
                <w:sz w:val="18"/>
                <w:szCs w:val="18"/>
                <w:lang w:eastAsia="uk-UA"/>
              </w:rPr>
              <w:t>)</w:t>
            </w:r>
            <w:r w:rsidR="00F535F1" w:rsidRPr="00206471">
              <w:rPr>
                <w:rFonts w:ascii="Times New Roman" w:hAnsi="Times New Roman" w:cs="Times New Roman"/>
                <w:b/>
                <w:bCs/>
                <w:i/>
                <w:sz w:val="18"/>
                <w:szCs w:val="18"/>
                <w:shd w:val="clear" w:color="auto" w:fill="FFFFFF"/>
              </w:rPr>
              <w:t>.</w:t>
            </w:r>
          </w:p>
          <w:p w14:paraId="02F26005" w14:textId="77777777" w:rsidR="00072BC4" w:rsidRPr="00296F49" w:rsidRDefault="00072BC4" w:rsidP="00072BC4">
            <w:pPr>
              <w:shd w:val="clear" w:color="auto" w:fill="FFFFFF"/>
              <w:jc w:val="both"/>
              <w:rPr>
                <w:rFonts w:ascii="Times New Roman" w:eastAsia="Times New Roman" w:hAnsi="Times New Roman" w:cs="Times New Roman"/>
                <w:b/>
                <w:i/>
                <w:sz w:val="20"/>
                <w:szCs w:val="20"/>
                <w:lang w:eastAsia="uk-UA"/>
              </w:rPr>
            </w:pPr>
            <w:r w:rsidRPr="00296F49">
              <w:rPr>
                <w:rFonts w:ascii="Times New Roman" w:eastAsia="Times New Roman" w:hAnsi="Times New Roman" w:cs="Times New Roman"/>
                <w:b/>
                <w:i/>
                <w:sz w:val="20"/>
                <w:szCs w:val="20"/>
                <w:lang w:eastAsia="uk-UA"/>
              </w:rPr>
              <w:t>Терміни Система BankID, дистанційна ідентифікація, абонент-ідентифікатор, вживаються у значенні відповідно до термінів, визначених у </w:t>
            </w:r>
            <w:hyperlink r:id="rId10" w:anchor="n10" w:tgtFrame="_blank" w:history="1">
              <w:r w:rsidRPr="00296F49">
                <w:rPr>
                  <w:rFonts w:ascii="Times New Roman" w:eastAsia="Times New Roman" w:hAnsi="Times New Roman" w:cs="Times New Roman"/>
                  <w:b/>
                  <w:i/>
                  <w:sz w:val="20"/>
                  <w:szCs w:val="20"/>
                  <w:lang w:eastAsia="uk-UA"/>
                </w:rPr>
                <w:t>Положенні про систему BankID Національного банку України</w:t>
              </w:r>
            </w:hyperlink>
            <w:r w:rsidRPr="00296F49">
              <w:rPr>
                <w:rFonts w:ascii="Times New Roman" w:eastAsia="Times New Roman" w:hAnsi="Times New Roman" w:cs="Times New Roman"/>
                <w:b/>
                <w:i/>
                <w:sz w:val="20"/>
                <w:szCs w:val="20"/>
                <w:lang w:eastAsia="uk-UA"/>
              </w:rPr>
              <w:t>, затвердженого постановою Правління Національного банку України від 30 серпня 2016 року № 378 (зі змінами).</w:t>
            </w:r>
          </w:p>
          <w:p w14:paraId="6A32E0D1" w14:textId="275A4DD3" w:rsidR="00072BC4" w:rsidRPr="00FE6D34" w:rsidRDefault="00072BC4" w:rsidP="00072BC4">
            <w:pPr>
              <w:shd w:val="clear" w:color="auto" w:fill="FFFFFF"/>
              <w:jc w:val="both"/>
              <w:rPr>
                <w:rFonts w:ascii="Times New Roman" w:eastAsia="Times New Roman" w:hAnsi="Times New Roman" w:cs="Times New Roman"/>
                <w:color w:val="2A2928"/>
                <w:sz w:val="18"/>
                <w:szCs w:val="18"/>
                <w:lang w:eastAsia="uk-UA"/>
              </w:rPr>
            </w:pPr>
            <w:r w:rsidRPr="00296F49">
              <w:rPr>
                <w:rFonts w:ascii="Times New Roman" w:eastAsia="Times New Roman" w:hAnsi="Times New Roman" w:cs="Times New Roman"/>
                <w:b/>
                <w:i/>
                <w:sz w:val="20"/>
                <w:szCs w:val="20"/>
                <w:lang w:eastAsia="uk-UA"/>
              </w:rPr>
              <w:t>Термін інформаційна система вживається у значенні відповідно до терміну, визначеного у  Законі України «Про захист інформації в інформаційно-телекомунікаційних системах».</w:t>
            </w:r>
          </w:p>
        </w:tc>
      </w:tr>
      <w:tr w:rsidR="007C2419" w:rsidRPr="00C4545A" w14:paraId="55FB3C72" w14:textId="77777777" w:rsidTr="00C62EF2">
        <w:tc>
          <w:tcPr>
            <w:tcW w:w="15126" w:type="dxa"/>
            <w:gridSpan w:val="2"/>
          </w:tcPr>
          <w:p w14:paraId="6084EEDE" w14:textId="77777777" w:rsidR="007C2419" w:rsidRDefault="007C2419" w:rsidP="00FE6D34">
            <w:pPr>
              <w:shd w:val="clear" w:color="auto" w:fill="FFFFFF"/>
              <w:jc w:val="center"/>
              <w:outlineLvl w:val="2"/>
              <w:rPr>
                <w:rFonts w:ascii="Times New Roman" w:eastAsia="Times New Roman" w:hAnsi="Times New Roman" w:cs="Times New Roman"/>
                <w:b/>
                <w:color w:val="2A2928"/>
                <w:sz w:val="24"/>
                <w:szCs w:val="24"/>
                <w:lang w:eastAsia="uk-UA"/>
              </w:rPr>
            </w:pPr>
            <w:r w:rsidRPr="00C4545A">
              <w:rPr>
                <w:rFonts w:ascii="Times New Roman" w:eastAsia="Times New Roman" w:hAnsi="Times New Roman" w:cs="Times New Roman"/>
                <w:b/>
                <w:color w:val="2A2928"/>
                <w:sz w:val="24"/>
                <w:szCs w:val="24"/>
                <w:lang w:eastAsia="uk-UA"/>
              </w:rPr>
              <w:t>III. Встановлення Правил фінансового моніторингу і Програми здійснення фінансового моніторингу</w:t>
            </w:r>
          </w:p>
          <w:p w14:paraId="66CCB2FB" w14:textId="77777777" w:rsidR="00FE6D34" w:rsidRPr="00FE6D34" w:rsidRDefault="00FE6D34" w:rsidP="00FE6D34">
            <w:pPr>
              <w:shd w:val="clear" w:color="auto" w:fill="FFFFFF"/>
              <w:jc w:val="center"/>
              <w:outlineLvl w:val="2"/>
              <w:rPr>
                <w:rFonts w:ascii="Times New Roman" w:eastAsia="Times New Roman" w:hAnsi="Times New Roman" w:cs="Times New Roman"/>
                <w:b/>
                <w:color w:val="2A2928"/>
                <w:sz w:val="24"/>
                <w:szCs w:val="24"/>
                <w:lang w:eastAsia="uk-UA"/>
              </w:rPr>
            </w:pPr>
          </w:p>
        </w:tc>
      </w:tr>
      <w:tr w:rsidR="00037093" w:rsidRPr="00C4545A" w14:paraId="7FCE3DE9" w14:textId="77777777" w:rsidTr="001B0CF3">
        <w:tc>
          <w:tcPr>
            <w:tcW w:w="7563" w:type="dxa"/>
          </w:tcPr>
          <w:p w14:paraId="617618E0" w14:textId="77777777" w:rsidR="00037093" w:rsidRPr="00FE6D34" w:rsidRDefault="00037093" w:rsidP="001B0CF3">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8. Правила містять такі окремі розділи, зміст яких відповідає їх назві:</w:t>
            </w:r>
          </w:p>
        </w:tc>
        <w:tc>
          <w:tcPr>
            <w:tcW w:w="7563" w:type="dxa"/>
          </w:tcPr>
          <w:p w14:paraId="0AA53AD2" w14:textId="77777777" w:rsidR="00037093" w:rsidRPr="00FE6D34" w:rsidRDefault="00037093" w:rsidP="001B0CF3">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 xml:space="preserve">8. Правила містять такі окремі розділи, </w:t>
            </w:r>
            <w:r>
              <w:rPr>
                <w:rFonts w:ascii="Times New Roman" w:eastAsia="Times New Roman" w:hAnsi="Times New Roman" w:cs="Times New Roman"/>
                <w:color w:val="2A2928"/>
                <w:sz w:val="18"/>
                <w:szCs w:val="18"/>
                <w:lang w:eastAsia="uk-UA"/>
              </w:rPr>
              <w:t>зміст яких відповідає їх назві:</w:t>
            </w:r>
          </w:p>
        </w:tc>
      </w:tr>
      <w:tr w:rsidR="00FB13C2" w:rsidRPr="00C4545A" w14:paraId="1BFC120E" w14:textId="77777777" w:rsidTr="00CE3A7D">
        <w:tc>
          <w:tcPr>
            <w:tcW w:w="7563" w:type="dxa"/>
          </w:tcPr>
          <w:p w14:paraId="2C0529D6" w14:textId="77777777" w:rsidR="00FB13C2" w:rsidRPr="00FE6D34" w:rsidRDefault="00FB13C2" w:rsidP="00FE6D34">
            <w:pPr>
              <w:shd w:val="clear" w:color="auto" w:fill="FFFFFF"/>
              <w:jc w:val="both"/>
              <w:rPr>
                <w:rFonts w:ascii="Times New Roman" w:eastAsia="Times New Roman" w:hAnsi="Times New Roman" w:cs="Times New Roman"/>
                <w:color w:val="2A2928"/>
                <w:sz w:val="18"/>
                <w:szCs w:val="18"/>
                <w:lang w:eastAsia="uk-UA"/>
              </w:rPr>
            </w:pPr>
            <w:r w:rsidRPr="00C4545A">
              <w:rPr>
                <w:rFonts w:ascii="Times New Roman" w:eastAsia="Times New Roman" w:hAnsi="Times New Roman" w:cs="Times New Roman"/>
                <w:color w:val="2A2928"/>
                <w:sz w:val="18"/>
                <w:szCs w:val="18"/>
                <w:lang w:eastAsia="uk-UA"/>
              </w:rPr>
              <w:t>17) порядок проведення внутрішніх перевірок діяльності суб'єкта первинного фінансового моніторингу на предмет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563" w:type="dxa"/>
          </w:tcPr>
          <w:p w14:paraId="5D22D2C1" w14:textId="77777777" w:rsidR="00FB13C2" w:rsidRPr="00206471" w:rsidRDefault="00FB13C2" w:rsidP="00FE6D34">
            <w:pPr>
              <w:shd w:val="clear" w:color="auto" w:fill="FFFFFF"/>
              <w:jc w:val="both"/>
              <w:rPr>
                <w:rFonts w:ascii="Times New Roman" w:eastAsia="Times New Roman" w:hAnsi="Times New Roman" w:cs="Times New Roman"/>
                <w:sz w:val="18"/>
                <w:szCs w:val="18"/>
                <w:lang w:eastAsia="uk-UA"/>
              </w:rPr>
            </w:pPr>
            <w:r w:rsidRPr="00206471">
              <w:rPr>
                <w:rFonts w:ascii="Times New Roman" w:eastAsia="Times New Roman" w:hAnsi="Times New Roman" w:cs="Times New Roman"/>
                <w:sz w:val="18"/>
                <w:szCs w:val="18"/>
                <w:lang w:eastAsia="uk-UA"/>
              </w:rPr>
              <w:t>17) порядок проведення внутрішніх перевірок діяльності суб'єкта первинного фінансового моніторингу на предмет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901BBB" w:rsidRPr="00206471">
              <w:rPr>
                <w:rFonts w:ascii="Times New Roman" w:eastAsia="Times New Roman" w:hAnsi="Times New Roman" w:cs="Times New Roman"/>
                <w:b/>
                <w:sz w:val="18"/>
                <w:szCs w:val="18"/>
                <w:lang w:eastAsia="uk-UA"/>
              </w:rPr>
              <w:t>;</w:t>
            </w:r>
          </w:p>
        </w:tc>
      </w:tr>
      <w:tr w:rsidR="00901BBB" w:rsidRPr="00C4545A" w14:paraId="75A00F3B" w14:textId="77777777" w:rsidTr="00CE3A7D">
        <w:tc>
          <w:tcPr>
            <w:tcW w:w="7563" w:type="dxa"/>
          </w:tcPr>
          <w:p w14:paraId="304D51B1" w14:textId="77777777" w:rsidR="00901BBB" w:rsidRPr="00567B24" w:rsidRDefault="00901BBB" w:rsidP="00FE6D34">
            <w:pPr>
              <w:shd w:val="clear" w:color="auto" w:fill="FFFFFF"/>
              <w:jc w:val="both"/>
              <w:rPr>
                <w:rFonts w:ascii="Times New Roman" w:hAnsi="Times New Roman" w:cs="Times New Roman"/>
                <w:b/>
                <w:i/>
                <w:sz w:val="18"/>
                <w:szCs w:val="18"/>
                <w:u w:val="single"/>
              </w:rPr>
            </w:pPr>
            <w:r w:rsidRPr="00567B24">
              <w:rPr>
                <w:rFonts w:ascii="Times New Roman" w:hAnsi="Times New Roman" w:cs="Times New Roman"/>
                <w:b/>
                <w:i/>
                <w:sz w:val="18"/>
                <w:szCs w:val="18"/>
                <w:u w:val="single"/>
              </w:rPr>
              <w:t>Не існувало</w:t>
            </w:r>
          </w:p>
          <w:p w14:paraId="2C7DB751" w14:textId="2BD058F0" w:rsidR="00901BBB" w:rsidRDefault="00901BBB" w:rsidP="00FE6D34">
            <w:pPr>
              <w:shd w:val="clear" w:color="auto" w:fill="FFFFFF"/>
              <w:jc w:val="both"/>
              <w:rPr>
                <w:rFonts w:ascii="Times New Roman" w:eastAsia="Times New Roman" w:hAnsi="Times New Roman" w:cs="Times New Roman"/>
                <w:b/>
                <w:i/>
                <w:color w:val="2A2928"/>
                <w:sz w:val="18"/>
                <w:szCs w:val="18"/>
                <w:u w:val="single"/>
                <w:lang w:eastAsia="uk-UA"/>
              </w:rPr>
            </w:pPr>
          </w:p>
          <w:p w14:paraId="72F0B29F" w14:textId="464848F9" w:rsidR="00072BC4" w:rsidRDefault="00072BC4" w:rsidP="00FE6D34">
            <w:pPr>
              <w:shd w:val="clear" w:color="auto" w:fill="FFFFFF"/>
              <w:jc w:val="both"/>
              <w:rPr>
                <w:rFonts w:ascii="Times New Roman" w:eastAsia="Times New Roman" w:hAnsi="Times New Roman" w:cs="Times New Roman"/>
                <w:b/>
                <w:i/>
                <w:color w:val="2A2928"/>
                <w:sz w:val="18"/>
                <w:szCs w:val="18"/>
                <w:u w:val="single"/>
                <w:lang w:eastAsia="uk-UA"/>
              </w:rPr>
            </w:pPr>
          </w:p>
          <w:p w14:paraId="5E244183" w14:textId="77777777" w:rsidR="00296F49" w:rsidRDefault="00296F49" w:rsidP="00FE6D34">
            <w:pPr>
              <w:shd w:val="clear" w:color="auto" w:fill="FFFFFF"/>
              <w:jc w:val="both"/>
              <w:rPr>
                <w:rFonts w:ascii="Times New Roman" w:eastAsia="Times New Roman" w:hAnsi="Times New Roman" w:cs="Times New Roman"/>
                <w:b/>
                <w:i/>
                <w:color w:val="2A2928"/>
                <w:sz w:val="18"/>
                <w:szCs w:val="18"/>
                <w:u w:val="single"/>
                <w:lang w:eastAsia="uk-UA"/>
              </w:rPr>
            </w:pPr>
          </w:p>
          <w:p w14:paraId="2C989C46" w14:textId="77777777" w:rsidR="00182A52" w:rsidRPr="00567B24" w:rsidRDefault="00182A52" w:rsidP="00182A52">
            <w:pPr>
              <w:shd w:val="clear" w:color="auto" w:fill="FFFFFF"/>
              <w:jc w:val="both"/>
              <w:rPr>
                <w:rFonts w:ascii="Times New Roman" w:hAnsi="Times New Roman" w:cs="Times New Roman"/>
                <w:b/>
                <w:i/>
                <w:sz w:val="18"/>
                <w:szCs w:val="18"/>
                <w:u w:val="single"/>
              </w:rPr>
            </w:pPr>
            <w:r w:rsidRPr="00567B24">
              <w:rPr>
                <w:rFonts w:ascii="Times New Roman" w:hAnsi="Times New Roman" w:cs="Times New Roman"/>
                <w:b/>
                <w:i/>
                <w:sz w:val="18"/>
                <w:szCs w:val="18"/>
                <w:u w:val="single"/>
              </w:rPr>
              <w:lastRenderedPageBreak/>
              <w:t>Не існувало</w:t>
            </w:r>
          </w:p>
          <w:p w14:paraId="2143CC65" w14:textId="789CA548" w:rsidR="00182A52" w:rsidRPr="00567B24" w:rsidRDefault="00182A52" w:rsidP="00FE6D34">
            <w:pPr>
              <w:shd w:val="clear" w:color="auto" w:fill="FFFFFF"/>
              <w:jc w:val="both"/>
              <w:rPr>
                <w:rFonts w:ascii="Times New Roman" w:eastAsia="Times New Roman" w:hAnsi="Times New Roman" w:cs="Times New Roman"/>
                <w:b/>
                <w:i/>
                <w:color w:val="2A2928"/>
                <w:sz w:val="18"/>
                <w:szCs w:val="18"/>
                <w:u w:val="single"/>
                <w:lang w:eastAsia="uk-UA"/>
              </w:rPr>
            </w:pPr>
          </w:p>
        </w:tc>
        <w:tc>
          <w:tcPr>
            <w:tcW w:w="7563" w:type="dxa"/>
          </w:tcPr>
          <w:p w14:paraId="6103A4CF" w14:textId="77777777" w:rsidR="00072BC4" w:rsidRPr="00296F49" w:rsidRDefault="00072BC4" w:rsidP="00072BC4">
            <w:pPr>
              <w:shd w:val="clear" w:color="auto" w:fill="FFFFFF"/>
              <w:jc w:val="both"/>
              <w:rPr>
                <w:rFonts w:ascii="Times New Roman" w:eastAsia="Times New Roman" w:hAnsi="Times New Roman" w:cs="Times New Roman"/>
                <w:b/>
                <w:i/>
                <w:sz w:val="20"/>
                <w:szCs w:val="20"/>
                <w:lang w:eastAsia="uk-UA"/>
              </w:rPr>
            </w:pPr>
            <w:r w:rsidRPr="00296F49">
              <w:rPr>
                <w:rFonts w:ascii="Times New Roman" w:eastAsia="Times New Roman" w:hAnsi="Times New Roman" w:cs="Times New Roman"/>
                <w:b/>
                <w:i/>
                <w:sz w:val="20"/>
                <w:szCs w:val="20"/>
                <w:lang w:eastAsia="uk-UA"/>
              </w:rPr>
              <w:lastRenderedPageBreak/>
              <w:t>18) порядок віддаленого встановлення ділових відносин/віддаленого відкриття рахунку в цінних паперах (в разі застосування віддаленого встановлення ділових відносин/віддаленого відкриття рахунку в цінних паперах);</w:t>
            </w:r>
          </w:p>
          <w:p w14:paraId="4104F10B" w14:textId="63D69368" w:rsidR="00182A52" w:rsidRPr="00296F49" w:rsidRDefault="00072BC4" w:rsidP="00072BC4">
            <w:pPr>
              <w:shd w:val="clear" w:color="auto" w:fill="FFFFFF"/>
              <w:jc w:val="both"/>
              <w:rPr>
                <w:rFonts w:ascii="Times New Roman" w:eastAsia="Times New Roman" w:hAnsi="Times New Roman" w:cs="Times New Roman"/>
                <w:b/>
                <w:i/>
                <w:sz w:val="20"/>
                <w:szCs w:val="20"/>
                <w:lang w:eastAsia="uk-UA"/>
              </w:rPr>
            </w:pPr>
            <w:r w:rsidRPr="00296F49">
              <w:rPr>
                <w:rFonts w:ascii="Times New Roman" w:eastAsia="Times New Roman" w:hAnsi="Times New Roman" w:cs="Times New Roman"/>
                <w:b/>
                <w:i/>
                <w:sz w:val="20"/>
                <w:szCs w:val="20"/>
                <w:lang w:eastAsia="uk-UA"/>
              </w:rPr>
              <w:lastRenderedPageBreak/>
              <w:t>19) порядок отримання, використання, зберігання та передачі документів/інформації, отриманих за допомогою засобів Системи BankID щодо ідентифікації, верифікації, вивчення клієнта та уточнення інформації про клієнта (в разі використання Системи BankID).</w:t>
            </w:r>
          </w:p>
        </w:tc>
      </w:tr>
      <w:tr w:rsidR="005979CB" w:rsidRPr="00C4545A" w14:paraId="73D72B72" w14:textId="77777777" w:rsidTr="005979CB">
        <w:tc>
          <w:tcPr>
            <w:tcW w:w="15126" w:type="dxa"/>
            <w:gridSpan w:val="2"/>
          </w:tcPr>
          <w:p w14:paraId="284CECB7" w14:textId="77777777" w:rsidR="005979CB" w:rsidRPr="00037093" w:rsidRDefault="005979CB" w:rsidP="00FE6D34">
            <w:pPr>
              <w:shd w:val="clear" w:color="auto" w:fill="FFFFFF"/>
              <w:jc w:val="center"/>
              <w:outlineLvl w:val="2"/>
              <w:rPr>
                <w:rFonts w:ascii="Times New Roman" w:eastAsia="Times New Roman" w:hAnsi="Times New Roman" w:cs="Times New Roman"/>
                <w:b/>
                <w:color w:val="2A2928"/>
                <w:sz w:val="24"/>
                <w:szCs w:val="24"/>
                <w:lang w:eastAsia="uk-UA"/>
              </w:rPr>
            </w:pPr>
            <w:r w:rsidRPr="00037093">
              <w:rPr>
                <w:rFonts w:ascii="Times New Roman" w:eastAsia="Times New Roman" w:hAnsi="Times New Roman" w:cs="Times New Roman"/>
                <w:b/>
                <w:color w:val="2A2928"/>
                <w:sz w:val="24"/>
                <w:szCs w:val="24"/>
                <w:lang w:eastAsia="uk-UA"/>
              </w:rPr>
              <w:lastRenderedPageBreak/>
              <w:t>V. Здійснення ідентифікації, верифікації, вивчення та уточнення інформації про клієнта</w:t>
            </w:r>
          </w:p>
          <w:p w14:paraId="2A21F595" w14:textId="77777777" w:rsidR="005979CB" w:rsidRPr="00C4545A" w:rsidRDefault="005979CB" w:rsidP="00FE6D34">
            <w:pPr>
              <w:rPr>
                <w:rFonts w:ascii="Times New Roman" w:hAnsi="Times New Roman" w:cs="Times New Roman"/>
                <w:sz w:val="18"/>
                <w:szCs w:val="18"/>
              </w:rPr>
            </w:pPr>
          </w:p>
        </w:tc>
      </w:tr>
      <w:tr w:rsidR="00037093" w:rsidRPr="00037093" w14:paraId="1E6AE1C2" w14:textId="77777777" w:rsidTr="00CE3A7D">
        <w:tc>
          <w:tcPr>
            <w:tcW w:w="7563" w:type="dxa"/>
          </w:tcPr>
          <w:p w14:paraId="57866FB2" w14:textId="77777777" w:rsidR="00037093" w:rsidRPr="00037093" w:rsidRDefault="001F03B4" w:rsidP="00037093">
            <w:pPr>
              <w:shd w:val="clear" w:color="auto" w:fill="FFFFFF"/>
              <w:jc w:val="both"/>
              <w:rPr>
                <w:rFonts w:ascii="Times New Roman" w:eastAsia="Times New Roman" w:hAnsi="Times New Roman" w:cs="Times New Roman"/>
                <w:sz w:val="18"/>
                <w:szCs w:val="18"/>
                <w:lang w:eastAsia="uk-UA"/>
              </w:rPr>
            </w:pPr>
            <w:hyperlink r:id="rId11" w:tgtFrame="_top" w:history="1">
              <w:r w:rsidR="00037093" w:rsidRPr="00037093">
                <w:rPr>
                  <w:rFonts w:ascii="Times New Roman" w:eastAsia="Times New Roman" w:hAnsi="Times New Roman" w:cs="Times New Roman"/>
                  <w:sz w:val="18"/>
                  <w:szCs w:val="18"/>
                  <w:lang w:eastAsia="uk-UA"/>
                </w:rPr>
                <w:t>5. Верифікація клієнта (представника клієнта) здійснюється суб'єктом первинного фінансового моніторингу на підставі офіційних документів або засвідчених в установленому порядку (нотаріусом, посадовою особою, яка відповідно до закону має право на вчинення таких нотаріальних дій, або особою, яка видала оригінал такого документа) їх копій, які дають можливість встановити необхідні ідентифікаційні дані.</w:t>
              </w:r>
            </w:hyperlink>
          </w:p>
          <w:p w14:paraId="5B77EF61" w14:textId="77777777" w:rsidR="00037093" w:rsidRPr="00037093" w:rsidRDefault="001F03B4" w:rsidP="00037093">
            <w:pPr>
              <w:shd w:val="clear" w:color="auto" w:fill="FFFFFF"/>
              <w:jc w:val="right"/>
              <w:rPr>
                <w:rFonts w:ascii="Times New Roman" w:eastAsia="Times New Roman" w:hAnsi="Times New Roman" w:cs="Times New Roman"/>
                <w:i/>
                <w:sz w:val="18"/>
                <w:szCs w:val="18"/>
                <w:lang w:eastAsia="uk-UA"/>
              </w:rPr>
            </w:pPr>
            <w:hyperlink r:id="rId12" w:tgtFrame="_top" w:history="1">
              <w:r w:rsidR="00037093" w:rsidRPr="00037093">
                <w:rPr>
                  <w:rFonts w:ascii="Times New Roman" w:eastAsia="Times New Roman" w:hAnsi="Times New Roman" w:cs="Times New Roman"/>
                  <w:i/>
                  <w:sz w:val="18"/>
                  <w:szCs w:val="18"/>
                  <w:lang w:eastAsia="uk-UA"/>
                </w:rPr>
                <w:t>(абзац перший пункту 5 розділу V у редакції рішення від 04.06.2019 р. N 307)</w:t>
              </w:r>
            </w:hyperlink>
          </w:p>
          <w:p w14:paraId="232755C6" w14:textId="77777777" w:rsidR="00037093" w:rsidRPr="00037093" w:rsidRDefault="001F03B4" w:rsidP="00037093">
            <w:pPr>
              <w:shd w:val="clear" w:color="auto" w:fill="FFFFFF"/>
              <w:jc w:val="both"/>
              <w:rPr>
                <w:rFonts w:ascii="Times New Roman" w:eastAsia="Times New Roman" w:hAnsi="Times New Roman" w:cs="Times New Roman"/>
                <w:sz w:val="18"/>
                <w:szCs w:val="18"/>
                <w:lang w:eastAsia="uk-UA"/>
              </w:rPr>
            </w:pPr>
            <w:hyperlink r:id="rId13" w:tgtFrame="_top" w:history="1">
              <w:r w:rsidR="00037093" w:rsidRPr="00037093">
                <w:rPr>
                  <w:rFonts w:ascii="Times New Roman" w:eastAsia="Times New Roman" w:hAnsi="Times New Roman" w:cs="Times New Roman"/>
                  <w:sz w:val="18"/>
                  <w:szCs w:val="18"/>
                  <w:lang w:eastAsia="uk-UA"/>
                </w:rPr>
                <w:t>Офіційні документи або засвідчені в установленому порядку їх копії, які подавалися суб'єкту первинного фінансового моніторингу для здійснення верифікації клієнта (представника клієнта), повертаються клієнту (представнику клієнта) за його вимогою.</w:t>
              </w:r>
            </w:hyperlink>
          </w:p>
          <w:p w14:paraId="3712583C" w14:textId="77777777" w:rsidR="00037093" w:rsidRPr="00037093" w:rsidRDefault="001F03B4" w:rsidP="00037093">
            <w:pPr>
              <w:shd w:val="clear" w:color="auto" w:fill="FFFFFF"/>
              <w:jc w:val="right"/>
              <w:rPr>
                <w:rFonts w:ascii="Times New Roman" w:eastAsia="Times New Roman" w:hAnsi="Times New Roman" w:cs="Times New Roman"/>
                <w:i/>
                <w:sz w:val="18"/>
                <w:szCs w:val="18"/>
                <w:lang w:eastAsia="uk-UA"/>
              </w:rPr>
            </w:pPr>
            <w:hyperlink r:id="rId14" w:tgtFrame="_top" w:history="1">
              <w:r w:rsidR="00037093" w:rsidRPr="00037093">
                <w:rPr>
                  <w:rFonts w:ascii="Times New Roman" w:eastAsia="Times New Roman" w:hAnsi="Times New Roman" w:cs="Times New Roman"/>
                  <w:i/>
                  <w:sz w:val="18"/>
                  <w:szCs w:val="18"/>
                  <w:lang w:eastAsia="uk-UA"/>
                </w:rPr>
                <w:t>(абзац другий пункту 5 розділу V у редакції рішення від 04.06.2019 р. N 307)</w:t>
              </w:r>
            </w:hyperlink>
          </w:p>
          <w:p w14:paraId="55CFBE54" w14:textId="77777777" w:rsidR="00037093" w:rsidRPr="00037093" w:rsidRDefault="001F03B4" w:rsidP="00037093">
            <w:pPr>
              <w:shd w:val="clear" w:color="auto" w:fill="FFFFFF"/>
              <w:jc w:val="both"/>
              <w:rPr>
                <w:rFonts w:ascii="Times New Roman" w:eastAsia="Times New Roman" w:hAnsi="Times New Roman" w:cs="Times New Roman"/>
                <w:sz w:val="18"/>
                <w:szCs w:val="18"/>
                <w:lang w:eastAsia="uk-UA"/>
              </w:rPr>
            </w:pPr>
            <w:hyperlink r:id="rId15" w:tgtFrame="_top" w:history="1">
              <w:r w:rsidR="00037093" w:rsidRPr="00037093">
                <w:rPr>
                  <w:rFonts w:ascii="Times New Roman" w:eastAsia="Times New Roman" w:hAnsi="Times New Roman" w:cs="Times New Roman"/>
                  <w:sz w:val="18"/>
                  <w:szCs w:val="18"/>
                  <w:lang w:eastAsia="uk-UA"/>
                </w:rPr>
                <w:t>Особа, яка здійснює верифікацію клієнта (представника клієнта), створює паперові копії документів, які подавалися їй для здійснення верифікації, та засвідчує їх своїм підписом.</w:t>
              </w:r>
            </w:hyperlink>
          </w:p>
          <w:p w14:paraId="1DC56FC3" w14:textId="77777777" w:rsidR="00037093" w:rsidRPr="00037093" w:rsidRDefault="001F03B4" w:rsidP="00037093">
            <w:pPr>
              <w:shd w:val="clear" w:color="auto" w:fill="FFFFFF"/>
              <w:jc w:val="right"/>
              <w:rPr>
                <w:rFonts w:ascii="Times New Roman" w:eastAsia="Times New Roman" w:hAnsi="Times New Roman" w:cs="Times New Roman"/>
                <w:i/>
                <w:sz w:val="18"/>
                <w:szCs w:val="18"/>
                <w:lang w:eastAsia="uk-UA"/>
              </w:rPr>
            </w:pPr>
            <w:hyperlink r:id="rId16" w:tgtFrame="_top" w:history="1">
              <w:r w:rsidR="00037093" w:rsidRPr="00037093">
                <w:rPr>
                  <w:rFonts w:ascii="Times New Roman" w:eastAsia="Times New Roman" w:hAnsi="Times New Roman" w:cs="Times New Roman"/>
                  <w:i/>
                  <w:sz w:val="18"/>
                  <w:szCs w:val="18"/>
                  <w:lang w:eastAsia="uk-UA"/>
                </w:rPr>
                <w:t>(абзац третій пункту 5 розділу V у редакції рішення від 04.06.2019 р. N 307)</w:t>
              </w:r>
            </w:hyperlink>
          </w:p>
          <w:p w14:paraId="3A5D5E1D" w14:textId="77777777" w:rsidR="00037093" w:rsidRPr="00037093" w:rsidRDefault="00037093" w:rsidP="00037093">
            <w:pPr>
              <w:shd w:val="clear" w:color="auto" w:fill="FFFFFF"/>
              <w:jc w:val="both"/>
              <w:rPr>
                <w:rFonts w:ascii="Times New Roman" w:eastAsia="Times New Roman" w:hAnsi="Times New Roman" w:cs="Times New Roman"/>
                <w:sz w:val="18"/>
                <w:szCs w:val="18"/>
                <w:lang w:eastAsia="uk-UA"/>
              </w:rPr>
            </w:pPr>
            <w:r w:rsidRPr="00037093">
              <w:rPr>
                <w:rFonts w:ascii="Times New Roman" w:eastAsia="Times New Roman" w:hAnsi="Times New Roman" w:cs="Times New Roman"/>
                <w:sz w:val="18"/>
                <w:szCs w:val="18"/>
                <w:lang w:eastAsia="uk-UA"/>
              </w:rPr>
              <w:t>Створені таким чином копії документів залишаються у суб'єкта первинного фінансового моніторингу.</w:t>
            </w:r>
          </w:p>
          <w:p w14:paraId="2AF042F2" w14:textId="77777777" w:rsidR="00037093" w:rsidRPr="00037093" w:rsidRDefault="001F03B4" w:rsidP="00037093">
            <w:pPr>
              <w:shd w:val="clear" w:color="auto" w:fill="FFFFFF"/>
              <w:jc w:val="both"/>
              <w:rPr>
                <w:rFonts w:ascii="Times New Roman" w:eastAsia="Times New Roman" w:hAnsi="Times New Roman" w:cs="Times New Roman"/>
                <w:sz w:val="18"/>
                <w:szCs w:val="18"/>
                <w:lang w:eastAsia="uk-UA"/>
              </w:rPr>
            </w:pPr>
            <w:hyperlink r:id="rId17" w:tgtFrame="_top" w:history="1">
              <w:r w:rsidR="00037093" w:rsidRPr="00037093">
                <w:rPr>
                  <w:rFonts w:ascii="Times New Roman" w:eastAsia="Times New Roman" w:hAnsi="Times New Roman" w:cs="Times New Roman"/>
                  <w:sz w:val="18"/>
                  <w:szCs w:val="18"/>
                  <w:lang w:eastAsia="uk-UA"/>
                </w:rPr>
                <w:t>Суб'єкт первинного фінансового моніторингу, що застосовує у своїй діяльності електронний підпис, може під час здійснення верифікації клієнта (представника клієнта) створювати електронні копії документів, які подавалися йому для верифікації клієнта (представника клієнта), відповідно до законодавства про електронні документи та електронний документообіг.</w:t>
              </w:r>
            </w:hyperlink>
          </w:p>
          <w:p w14:paraId="5E451188" w14:textId="77777777" w:rsidR="00037093" w:rsidRPr="00037093" w:rsidRDefault="001F03B4" w:rsidP="00037093">
            <w:pPr>
              <w:shd w:val="clear" w:color="auto" w:fill="FFFFFF"/>
              <w:jc w:val="right"/>
              <w:rPr>
                <w:rFonts w:ascii="Times New Roman" w:eastAsia="Times New Roman" w:hAnsi="Times New Roman" w:cs="Times New Roman"/>
                <w:i/>
                <w:sz w:val="18"/>
                <w:szCs w:val="18"/>
                <w:lang w:eastAsia="uk-UA"/>
              </w:rPr>
            </w:pPr>
            <w:hyperlink r:id="rId18" w:tgtFrame="_top" w:history="1">
              <w:r w:rsidR="00037093" w:rsidRPr="00037093">
                <w:rPr>
                  <w:rFonts w:ascii="Times New Roman" w:eastAsia="Times New Roman" w:hAnsi="Times New Roman" w:cs="Times New Roman"/>
                  <w:i/>
                  <w:sz w:val="18"/>
                  <w:szCs w:val="18"/>
                  <w:lang w:eastAsia="uk-UA"/>
                </w:rPr>
                <w:t>(абзац п'ятий пункту 5 розділу V у редакції рішення від 04.06.2019 р. N 307)</w:t>
              </w:r>
            </w:hyperlink>
          </w:p>
          <w:p w14:paraId="1ABE8386"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p>
          <w:p w14:paraId="19C85B7D"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r w:rsidRPr="00037093">
              <w:rPr>
                <w:rFonts w:ascii="Times New Roman" w:eastAsia="Times New Roman" w:hAnsi="Times New Roman" w:cs="Times New Roman"/>
                <w:b/>
                <w:i/>
                <w:sz w:val="18"/>
                <w:szCs w:val="18"/>
                <w:lang w:eastAsia="uk-UA"/>
              </w:rPr>
              <w:t>Не існувало</w:t>
            </w:r>
          </w:p>
          <w:p w14:paraId="366A798A"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p>
          <w:p w14:paraId="2DC586A4" w14:textId="6F270784" w:rsidR="00037093" w:rsidRDefault="00037093" w:rsidP="00037093">
            <w:pPr>
              <w:shd w:val="clear" w:color="auto" w:fill="FFFFFF"/>
              <w:jc w:val="both"/>
              <w:rPr>
                <w:rFonts w:ascii="Times New Roman" w:eastAsia="Times New Roman" w:hAnsi="Times New Roman" w:cs="Times New Roman"/>
                <w:b/>
                <w:i/>
                <w:sz w:val="18"/>
                <w:szCs w:val="18"/>
                <w:lang w:eastAsia="uk-UA"/>
              </w:rPr>
            </w:pPr>
          </w:p>
          <w:p w14:paraId="47583DF3" w14:textId="3B9312C7" w:rsidR="00073FE8" w:rsidRDefault="00073FE8" w:rsidP="00037093">
            <w:pPr>
              <w:shd w:val="clear" w:color="auto" w:fill="FFFFFF"/>
              <w:jc w:val="both"/>
              <w:rPr>
                <w:rFonts w:ascii="Times New Roman" w:eastAsia="Times New Roman" w:hAnsi="Times New Roman" w:cs="Times New Roman"/>
                <w:b/>
                <w:i/>
                <w:sz w:val="18"/>
                <w:szCs w:val="18"/>
                <w:lang w:eastAsia="uk-UA"/>
              </w:rPr>
            </w:pPr>
          </w:p>
          <w:p w14:paraId="14443A2E" w14:textId="77777777" w:rsidR="00296F49" w:rsidRPr="00037093" w:rsidRDefault="00296F49" w:rsidP="00037093">
            <w:pPr>
              <w:shd w:val="clear" w:color="auto" w:fill="FFFFFF"/>
              <w:jc w:val="both"/>
              <w:rPr>
                <w:rFonts w:ascii="Times New Roman" w:eastAsia="Times New Roman" w:hAnsi="Times New Roman" w:cs="Times New Roman"/>
                <w:b/>
                <w:i/>
                <w:sz w:val="18"/>
                <w:szCs w:val="18"/>
                <w:lang w:eastAsia="uk-UA"/>
              </w:rPr>
            </w:pPr>
          </w:p>
          <w:p w14:paraId="0DCAFD73"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p>
          <w:p w14:paraId="3F69DD46"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r w:rsidRPr="00037093">
              <w:rPr>
                <w:rFonts w:ascii="Times New Roman" w:eastAsia="Times New Roman" w:hAnsi="Times New Roman" w:cs="Times New Roman"/>
                <w:b/>
                <w:i/>
                <w:sz w:val="18"/>
                <w:szCs w:val="18"/>
                <w:lang w:eastAsia="uk-UA"/>
              </w:rPr>
              <w:t>Не існувало</w:t>
            </w:r>
          </w:p>
          <w:p w14:paraId="5B5A9E9E"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p>
          <w:p w14:paraId="6ABD3A74" w14:textId="233FF05A" w:rsidR="00037093" w:rsidRDefault="00037093" w:rsidP="00037093">
            <w:pPr>
              <w:shd w:val="clear" w:color="auto" w:fill="FFFFFF"/>
              <w:jc w:val="both"/>
              <w:rPr>
                <w:rFonts w:ascii="Times New Roman" w:eastAsia="Times New Roman" w:hAnsi="Times New Roman" w:cs="Times New Roman"/>
                <w:b/>
                <w:i/>
                <w:sz w:val="18"/>
                <w:szCs w:val="18"/>
                <w:lang w:eastAsia="uk-UA"/>
              </w:rPr>
            </w:pPr>
          </w:p>
          <w:p w14:paraId="66F47287" w14:textId="07620020" w:rsidR="004B0193" w:rsidRDefault="004B0193" w:rsidP="00037093">
            <w:pPr>
              <w:shd w:val="clear" w:color="auto" w:fill="FFFFFF"/>
              <w:jc w:val="both"/>
              <w:rPr>
                <w:rFonts w:ascii="Times New Roman" w:eastAsia="Times New Roman" w:hAnsi="Times New Roman" w:cs="Times New Roman"/>
                <w:b/>
                <w:i/>
                <w:sz w:val="18"/>
                <w:szCs w:val="18"/>
                <w:lang w:eastAsia="uk-UA"/>
              </w:rPr>
            </w:pPr>
          </w:p>
          <w:p w14:paraId="55AB8BB0" w14:textId="77777777" w:rsidR="00296F49" w:rsidRPr="00037093" w:rsidRDefault="00296F49" w:rsidP="00037093">
            <w:pPr>
              <w:shd w:val="clear" w:color="auto" w:fill="FFFFFF"/>
              <w:jc w:val="both"/>
              <w:rPr>
                <w:rFonts w:ascii="Times New Roman" w:eastAsia="Times New Roman" w:hAnsi="Times New Roman" w:cs="Times New Roman"/>
                <w:b/>
                <w:i/>
                <w:sz w:val="18"/>
                <w:szCs w:val="18"/>
                <w:lang w:eastAsia="uk-UA"/>
              </w:rPr>
            </w:pPr>
          </w:p>
          <w:p w14:paraId="7878607C"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p>
          <w:p w14:paraId="3D1A67EA"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r w:rsidRPr="00037093">
              <w:rPr>
                <w:rFonts w:ascii="Times New Roman" w:eastAsia="Times New Roman" w:hAnsi="Times New Roman" w:cs="Times New Roman"/>
                <w:b/>
                <w:i/>
                <w:sz w:val="18"/>
                <w:szCs w:val="18"/>
                <w:lang w:eastAsia="uk-UA"/>
              </w:rPr>
              <w:t>Не існувало</w:t>
            </w:r>
          </w:p>
          <w:p w14:paraId="39114104"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p>
          <w:p w14:paraId="1398E93B" w14:textId="77777777" w:rsidR="00072BC4" w:rsidRDefault="00072BC4" w:rsidP="00037093">
            <w:pPr>
              <w:shd w:val="clear" w:color="auto" w:fill="FFFFFF"/>
              <w:jc w:val="both"/>
              <w:rPr>
                <w:rFonts w:ascii="Times New Roman" w:eastAsia="Times New Roman" w:hAnsi="Times New Roman" w:cs="Times New Roman"/>
                <w:b/>
                <w:i/>
                <w:sz w:val="18"/>
                <w:szCs w:val="18"/>
                <w:lang w:eastAsia="uk-UA"/>
              </w:rPr>
            </w:pPr>
          </w:p>
          <w:p w14:paraId="22698155" w14:textId="23D9E61C" w:rsidR="00072BC4" w:rsidRDefault="00072BC4" w:rsidP="00037093">
            <w:pPr>
              <w:shd w:val="clear" w:color="auto" w:fill="FFFFFF"/>
              <w:jc w:val="both"/>
              <w:rPr>
                <w:rFonts w:ascii="Times New Roman" w:eastAsia="Times New Roman" w:hAnsi="Times New Roman" w:cs="Times New Roman"/>
                <w:b/>
                <w:i/>
                <w:sz w:val="18"/>
                <w:szCs w:val="18"/>
                <w:lang w:eastAsia="uk-UA"/>
              </w:rPr>
            </w:pPr>
          </w:p>
          <w:p w14:paraId="795D839B" w14:textId="54224676" w:rsidR="00296F49" w:rsidRDefault="00296F49" w:rsidP="00037093">
            <w:pPr>
              <w:shd w:val="clear" w:color="auto" w:fill="FFFFFF"/>
              <w:jc w:val="both"/>
              <w:rPr>
                <w:rFonts w:ascii="Times New Roman" w:eastAsia="Times New Roman" w:hAnsi="Times New Roman" w:cs="Times New Roman"/>
                <w:b/>
                <w:i/>
                <w:sz w:val="18"/>
                <w:szCs w:val="18"/>
                <w:lang w:eastAsia="uk-UA"/>
              </w:rPr>
            </w:pPr>
          </w:p>
          <w:p w14:paraId="41F612A8" w14:textId="41ECB665" w:rsidR="00296F49" w:rsidRDefault="00296F49" w:rsidP="00037093">
            <w:pPr>
              <w:shd w:val="clear" w:color="auto" w:fill="FFFFFF"/>
              <w:jc w:val="both"/>
              <w:rPr>
                <w:rFonts w:ascii="Times New Roman" w:eastAsia="Times New Roman" w:hAnsi="Times New Roman" w:cs="Times New Roman"/>
                <w:b/>
                <w:i/>
                <w:sz w:val="18"/>
                <w:szCs w:val="18"/>
                <w:lang w:eastAsia="uk-UA"/>
              </w:rPr>
            </w:pPr>
          </w:p>
          <w:p w14:paraId="311E29AB" w14:textId="77777777" w:rsidR="00296F49" w:rsidRDefault="00296F49" w:rsidP="00037093">
            <w:pPr>
              <w:shd w:val="clear" w:color="auto" w:fill="FFFFFF"/>
              <w:jc w:val="both"/>
              <w:rPr>
                <w:rFonts w:ascii="Times New Roman" w:eastAsia="Times New Roman" w:hAnsi="Times New Roman" w:cs="Times New Roman"/>
                <w:b/>
                <w:i/>
                <w:sz w:val="18"/>
                <w:szCs w:val="18"/>
                <w:lang w:eastAsia="uk-UA"/>
              </w:rPr>
            </w:pPr>
          </w:p>
          <w:p w14:paraId="6C2B641A" w14:textId="77777777" w:rsidR="00072BC4" w:rsidRDefault="00072BC4" w:rsidP="00037093">
            <w:pPr>
              <w:shd w:val="clear" w:color="auto" w:fill="FFFFFF"/>
              <w:jc w:val="both"/>
              <w:rPr>
                <w:rFonts w:ascii="Times New Roman" w:eastAsia="Times New Roman" w:hAnsi="Times New Roman" w:cs="Times New Roman"/>
                <w:b/>
                <w:i/>
                <w:sz w:val="18"/>
                <w:szCs w:val="18"/>
                <w:lang w:eastAsia="uk-UA"/>
              </w:rPr>
            </w:pPr>
          </w:p>
          <w:p w14:paraId="788215DD" w14:textId="77777777" w:rsidR="00072BC4" w:rsidRPr="00037093" w:rsidRDefault="00072BC4" w:rsidP="00072BC4">
            <w:pPr>
              <w:shd w:val="clear" w:color="auto" w:fill="FFFFFF"/>
              <w:jc w:val="both"/>
              <w:rPr>
                <w:rFonts w:ascii="Times New Roman" w:eastAsia="Times New Roman" w:hAnsi="Times New Roman" w:cs="Times New Roman"/>
                <w:b/>
                <w:i/>
                <w:sz w:val="18"/>
                <w:szCs w:val="18"/>
                <w:lang w:eastAsia="uk-UA"/>
              </w:rPr>
            </w:pPr>
            <w:r w:rsidRPr="00037093">
              <w:rPr>
                <w:rFonts w:ascii="Times New Roman" w:eastAsia="Times New Roman" w:hAnsi="Times New Roman" w:cs="Times New Roman"/>
                <w:b/>
                <w:i/>
                <w:sz w:val="18"/>
                <w:szCs w:val="18"/>
                <w:lang w:eastAsia="uk-UA"/>
              </w:rPr>
              <w:t>Не існувало</w:t>
            </w:r>
          </w:p>
          <w:p w14:paraId="7791842C" w14:textId="77777777" w:rsidR="00072BC4" w:rsidRDefault="00072BC4" w:rsidP="00037093">
            <w:pPr>
              <w:shd w:val="clear" w:color="auto" w:fill="FFFFFF"/>
              <w:jc w:val="both"/>
              <w:rPr>
                <w:rFonts w:ascii="Times New Roman" w:eastAsia="Times New Roman" w:hAnsi="Times New Roman" w:cs="Times New Roman"/>
                <w:b/>
                <w:i/>
                <w:sz w:val="18"/>
                <w:szCs w:val="18"/>
                <w:lang w:eastAsia="uk-UA"/>
              </w:rPr>
            </w:pPr>
          </w:p>
          <w:p w14:paraId="36F8C308" w14:textId="1BAB72BD" w:rsidR="00072BC4" w:rsidRDefault="00072BC4" w:rsidP="00037093">
            <w:pPr>
              <w:shd w:val="clear" w:color="auto" w:fill="FFFFFF"/>
              <w:jc w:val="both"/>
              <w:rPr>
                <w:rFonts w:ascii="Times New Roman" w:eastAsia="Times New Roman" w:hAnsi="Times New Roman" w:cs="Times New Roman"/>
                <w:b/>
                <w:i/>
                <w:sz w:val="18"/>
                <w:szCs w:val="18"/>
                <w:lang w:eastAsia="uk-UA"/>
              </w:rPr>
            </w:pPr>
          </w:p>
          <w:p w14:paraId="1B5D8485" w14:textId="77777777" w:rsidR="00296F49" w:rsidRDefault="00296F49" w:rsidP="00037093">
            <w:pPr>
              <w:shd w:val="clear" w:color="auto" w:fill="FFFFFF"/>
              <w:jc w:val="both"/>
              <w:rPr>
                <w:rFonts w:ascii="Times New Roman" w:eastAsia="Times New Roman" w:hAnsi="Times New Roman" w:cs="Times New Roman"/>
                <w:b/>
                <w:i/>
                <w:sz w:val="18"/>
                <w:szCs w:val="18"/>
                <w:lang w:eastAsia="uk-UA"/>
              </w:rPr>
            </w:pPr>
          </w:p>
          <w:p w14:paraId="7DFBD36C" w14:textId="74303A1A" w:rsidR="00037093" w:rsidRPr="00037093" w:rsidRDefault="00037093" w:rsidP="00037093">
            <w:pPr>
              <w:shd w:val="clear" w:color="auto" w:fill="FFFFFF"/>
              <w:jc w:val="both"/>
              <w:rPr>
                <w:rFonts w:ascii="Times New Roman" w:eastAsia="Times New Roman" w:hAnsi="Times New Roman" w:cs="Times New Roman"/>
                <w:b/>
                <w:i/>
                <w:sz w:val="20"/>
                <w:szCs w:val="20"/>
                <w:lang w:eastAsia="uk-UA"/>
              </w:rPr>
            </w:pPr>
            <w:r w:rsidRPr="00037093">
              <w:rPr>
                <w:rFonts w:ascii="Times New Roman" w:eastAsia="Times New Roman" w:hAnsi="Times New Roman" w:cs="Times New Roman"/>
                <w:b/>
                <w:i/>
                <w:sz w:val="18"/>
                <w:szCs w:val="18"/>
                <w:lang w:eastAsia="uk-UA"/>
              </w:rPr>
              <w:t xml:space="preserve">Абзац 6 пункту 5 розділу </w:t>
            </w:r>
            <w:r w:rsidRPr="00037093">
              <w:rPr>
                <w:rFonts w:ascii="Times New Roman" w:eastAsia="Times New Roman" w:hAnsi="Times New Roman" w:cs="Times New Roman"/>
                <w:b/>
                <w:i/>
                <w:sz w:val="20"/>
                <w:szCs w:val="20"/>
                <w:lang w:eastAsia="uk-UA"/>
              </w:rPr>
              <w:t xml:space="preserve">V вважати абзацом </w:t>
            </w:r>
            <w:r w:rsidR="00072BC4">
              <w:rPr>
                <w:rFonts w:ascii="Times New Roman" w:eastAsia="Times New Roman" w:hAnsi="Times New Roman" w:cs="Times New Roman"/>
                <w:b/>
                <w:i/>
                <w:sz w:val="20"/>
                <w:szCs w:val="20"/>
                <w:lang w:eastAsia="uk-UA"/>
              </w:rPr>
              <w:t>10</w:t>
            </w:r>
          </w:p>
          <w:p w14:paraId="0B2B1019" w14:textId="40EAE2A6" w:rsidR="00037093" w:rsidRPr="00037093" w:rsidRDefault="00037093" w:rsidP="00037093">
            <w:pPr>
              <w:rPr>
                <w:rFonts w:ascii="Times New Roman" w:hAnsi="Times New Roman" w:cs="Times New Roman"/>
                <w:b/>
                <w:i/>
                <w:sz w:val="18"/>
                <w:szCs w:val="18"/>
              </w:rPr>
            </w:pPr>
            <w:r w:rsidRPr="00037093">
              <w:rPr>
                <w:rFonts w:ascii="Times New Roman" w:eastAsia="Times New Roman" w:hAnsi="Times New Roman" w:cs="Times New Roman"/>
                <w:sz w:val="18"/>
                <w:szCs w:val="18"/>
                <w:lang w:eastAsia="uk-UA"/>
              </w:rPr>
              <w:t>З метою встановлення кінцевого бенефіціарного власника (контролера) суб'єкт первинного фінансового моніторингу витребовує у клієнта - юридичної особи інформацію та/або документи, що підтверджують наявність структури власності такого клієнта.</w:t>
            </w:r>
          </w:p>
        </w:tc>
        <w:tc>
          <w:tcPr>
            <w:tcW w:w="7563" w:type="dxa"/>
          </w:tcPr>
          <w:p w14:paraId="12F2C6BC" w14:textId="77777777" w:rsidR="00037093" w:rsidRPr="00037093" w:rsidRDefault="001F03B4" w:rsidP="00037093">
            <w:pPr>
              <w:shd w:val="clear" w:color="auto" w:fill="FFFFFF"/>
              <w:jc w:val="both"/>
              <w:rPr>
                <w:rFonts w:ascii="Times New Roman" w:eastAsia="Times New Roman" w:hAnsi="Times New Roman" w:cs="Times New Roman"/>
                <w:sz w:val="18"/>
                <w:szCs w:val="18"/>
                <w:lang w:eastAsia="uk-UA"/>
              </w:rPr>
            </w:pPr>
            <w:hyperlink r:id="rId19" w:tgtFrame="_top" w:history="1">
              <w:r w:rsidR="00037093" w:rsidRPr="00037093">
                <w:rPr>
                  <w:rFonts w:ascii="Times New Roman" w:eastAsia="Times New Roman" w:hAnsi="Times New Roman" w:cs="Times New Roman"/>
                  <w:sz w:val="18"/>
                  <w:szCs w:val="18"/>
                  <w:lang w:eastAsia="uk-UA"/>
                </w:rPr>
                <w:t>5. Верифікація клієнта (представника клієнта) здійснюється суб'єктом первинного фінансового моніторингу на підставі офіційних документів або засвідчених в установленому порядку (нотаріусом, посадовою особою, яка відповідно до закону має право на вчинення таких нотаріальних дій, або особою, яка видала оригінал такого документа) їх копій, які дають можливість встановити необхідні ідентифікаційні дані.</w:t>
              </w:r>
            </w:hyperlink>
          </w:p>
          <w:p w14:paraId="06BED0A0" w14:textId="77777777" w:rsidR="00037093" w:rsidRPr="00037093" w:rsidRDefault="001F03B4" w:rsidP="00037093">
            <w:pPr>
              <w:shd w:val="clear" w:color="auto" w:fill="FFFFFF"/>
              <w:jc w:val="right"/>
              <w:rPr>
                <w:rFonts w:ascii="Times New Roman" w:eastAsia="Times New Roman" w:hAnsi="Times New Roman" w:cs="Times New Roman"/>
                <w:i/>
                <w:sz w:val="18"/>
                <w:szCs w:val="18"/>
                <w:lang w:eastAsia="uk-UA"/>
              </w:rPr>
            </w:pPr>
            <w:hyperlink r:id="rId20" w:tgtFrame="_top" w:history="1">
              <w:r w:rsidR="00037093" w:rsidRPr="00037093">
                <w:rPr>
                  <w:rFonts w:ascii="Times New Roman" w:eastAsia="Times New Roman" w:hAnsi="Times New Roman" w:cs="Times New Roman"/>
                  <w:i/>
                  <w:sz w:val="18"/>
                  <w:szCs w:val="18"/>
                  <w:lang w:eastAsia="uk-UA"/>
                </w:rPr>
                <w:t>(абзац перший пункту 5 розділу V у редакції рішення від 04.06.2019 р. N 307)</w:t>
              </w:r>
            </w:hyperlink>
          </w:p>
          <w:p w14:paraId="615631AF" w14:textId="77777777" w:rsidR="00037093" w:rsidRPr="00037093" w:rsidRDefault="001F03B4" w:rsidP="00037093">
            <w:pPr>
              <w:shd w:val="clear" w:color="auto" w:fill="FFFFFF"/>
              <w:jc w:val="both"/>
              <w:rPr>
                <w:rFonts w:ascii="Times New Roman" w:eastAsia="Times New Roman" w:hAnsi="Times New Roman" w:cs="Times New Roman"/>
                <w:sz w:val="18"/>
                <w:szCs w:val="18"/>
                <w:lang w:eastAsia="uk-UA"/>
              </w:rPr>
            </w:pPr>
            <w:hyperlink r:id="rId21" w:tgtFrame="_top" w:history="1">
              <w:r w:rsidR="00037093" w:rsidRPr="00037093">
                <w:rPr>
                  <w:rFonts w:ascii="Times New Roman" w:eastAsia="Times New Roman" w:hAnsi="Times New Roman" w:cs="Times New Roman"/>
                  <w:sz w:val="18"/>
                  <w:szCs w:val="18"/>
                  <w:lang w:eastAsia="uk-UA"/>
                </w:rPr>
                <w:t>Офіційні документи або засвідчені в установленому порядку їх копії, які подавалися суб'єкту первинного фінансового моніторингу для здійснення верифікації клієнта (представника клієнта), повертаються клієнту (представнику клієнта) за його вимогою.</w:t>
              </w:r>
            </w:hyperlink>
          </w:p>
          <w:p w14:paraId="42BD032E" w14:textId="77777777" w:rsidR="00037093" w:rsidRPr="00037093" w:rsidRDefault="001F03B4" w:rsidP="00037093">
            <w:pPr>
              <w:shd w:val="clear" w:color="auto" w:fill="FFFFFF"/>
              <w:jc w:val="right"/>
              <w:rPr>
                <w:rFonts w:ascii="Times New Roman" w:eastAsia="Times New Roman" w:hAnsi="Times New Roman" w:cs="Times New Roman"/>
                <w:i/>
                <w:sz w:val="18"/>
                <w:szCs w:val="18"/>
                <w:lang w:eastAsia="uk-UA"/>
              </w:rPr>
            </w:pPr>
            <w:hyperlink r:id="rId22" w:tgtFrame="_top" w:history="1">
              <w:r w:rsidR="00037093" w:rsidRPr="00037093">
                <w:rPr>
                  <w:rFonts w:ascii="Times New Roman" w:eastAsia="Times New Roman" w:hAnsi="Times New Roman" w:cs="Times New Roman"/>
                  <w:i/>
                  <w:sz w:val="18"/>
                  <w:szCs w:val="18"/>
                  <w:lang w:eastAsia="uk-UA"/>
                </w:rPr>
                <w:t>(абзац другий пункту 5 розділу V у редакції рішення від 04.06.2019 р. N 307)</w:t>
              </w:r>
            </w:hyperlink>
          </w:p>
          <w:p w14:paraId="682FD82C" w14:textId="77777777" w:rsidR="00037093" w:rsidRPr="00037093" w:rsidRDefault="001F03B4" w:rsidP="00037093">
            <w:pPr>
              <w:shd w:val="clear" w:color="auto" w:fill="FFFFFF"/>
              <w:jc w:val="both"/>
              <w:rPr>
                <w:rFonts w:ascii="Times New Roman" w:eastAsia="Times New Roman" w:hAnsi="Times New Roman" w:cs="Times New Roman"/>
                <w:sz w:val="18"/>
                <w:szCs w:val="18"/>
                <w:lang w:eastAsia="uk-UA"/>
              </w:rPr>
            </w:pPr>
            <w:hyperlink r:id="rId23" w:tgtFrame="_top" w:history="1">
              <w:r w:rsidR="00037093" w:rsidRPr="00037093">
                <w:rPr>
                  <w:rFonts w:ascii="Times New Roman" w:eastAsia="Times New Roman" w:hAnsi="Times New Roman" w:cs="Times New Roman"/>
                  <w:sz w:val="18"/>
                  <w:szCs w:val="18"/>
                  <w:lang w:eastAsia="uk-UA"/>
                </w:rPr>
                <w:t>Особа, яка здійснює верифікацію клієнта (представника клієнта), створює паперові копії документів, які подавалися їй для здійснення верифікації, та засвідчує їх своїм підписом.</w:t>
              </w:r>
            </w:hyperlink>
          </w:p>
          <w:p w14:paraId="0E84EF5F" w14:textId="77777777" w:rsidR="00037093" w:rsidRPr="00037093" w:rsidRDefault="001F03B4" w:rsidP="00037093">
            <w:pPr>
              <w:shd w:val="clear" w:color="auto" w:fill="FFFFFF"/>
              <w:jc w:val="right"/>
              <w:rPr>
                <w:rFonts w:ascii="Times New Roman" w:eastAsia="Times New Roman" w:hAnsi="Times New Roman" w:cs="Times New Roman"/>
                <w:i/>
                <w:sz w:val="18"/>
                <w:szCs w:val="18"/>
                <w:lang w:eastAsia="uk-UA"/>
              </w:rPr>
            </w:pPr>
            <w:hyperlink r:id="rId24" w:tgtFrame="_top" w:history="1">
              <w:r w:rsidR="00037093" w:rsidRPr="00037093">
                <w:rPr>
                  <w:rFonts w:ascii="Times New Roman" w:eastAsia="Times New Roman" w:hAnsi="Times New Roman" w:cs="Times New Roman"/>
                  <w:i/>
                  <w:sz w:val="18"/>
                  <w:szCs w:val="18"/>
                  <w:lang w:eastAsia="uk-UA"/>
                </w:rPr>
                <w:t>(абзац третій пункту 5 розділу V у редакції рішення від 04.06.2019 р. N 307)</w:t>
              </w:r>
            </w:hyperlink>
          </w:p>
          <w:p w14:paraId="1CDFCBC2" w14:textId="77777777" w:rsidR="00037093" w:rsidRPr="00037093" w:rsidRDefault="00037093" w:rsidP="00037093">
            <w:pPr>
              <w:shd w:val="clear" w:color="auto" w:fill="FFFFFF"/>
              <w:jc w:val="both"/>
              <w:rPr>
                <w:rFonts w:ascii="Times New Roman" w:eastAsia="Times New Roman" w:hAnsi="Times New Roman" w:cs="Times New Roman"/>
                <w:sz w:val="18"/>
                <w:szCs w:val="18"/>
                <w:lang w:eastAsia="uk-UA"/>
              </w:rPr>
            </w:pPr>
            <w:r w:rsidRPr="00037093">
              <w:rPr>
                <w:rFonts w:ascii="Times New Roman" w:eastAsia="Times New Roman" w:hAnsi="Times New Roman" w:cs="Times New Roman"/>
                <w:sz w:val="18"/>
                <w:szCs w:val="18"/>
                <w:lang w:eastAsia="uk-UA"/>
              </w:rPr>
              <w:t>Створені таким чином копії документів залишаються у суб'єкта первинного фінансового моніторингу.</w:t>
            </w:r>
          </w:p>
          <w:p w14:paraId="50988673" w14:textId="77777777" w:rsidR="00037093" w:rsidRPr="00037093" w:rsidRDefault="001F03B4" w:rsidP="00037093">
            <w:pPr>
              <w:shd w:val="clear" w:color="auto" w:fill="FFFFFF"/>
              <w:jc w:val="both"/>
              <w:rPr>
                <w:rFonts w:ascii="Times New Roman" w:eastAsia="Times New Roman" w:hAnsi="Times New Roman" w:cs="Times New Roman"/>
                <w:sz w:val="18"/>
                <w:szCs w:val="18"/>
                <w:lang w:eastAsia="uk-UA"/>
              </w:rPr>
            </w:pPr>
            <w:hyperlink r:id="rId25" w:tgtFrame="_top" w:history="1">
              <w:r w:rsidR="00037093" w:rsidRPr="00037093">
                <w:rPr>
                  <w:rFonts w:ascii="Times New Roman" w:eastAsia="Times New Roman" w:hAnsi="Times New Roman" w:cs="Times New Roman"/>
                  <w:sz w:val="18"/>
                  <w:szCs w:val="18"/>
                  <w:lang w:eastAsia="uk-UA"/>
                </w:rPr>
                <w:t>Суб'єкт первинного фінансового моніторингу, що застосовує у своїй діяльності електронний підпис, може під час здійснення верифікації клієнта (представника клієнта) створювати електронні копії документів, які подавалися йому для верифікації клієнта (представника клієнта), відповідно до законодавства про електронні документи та електронний документообіг.</w:t>
              </w:r>
            </w:hyperlink>
          </w:p>
          <w:p w14:paraId="066AD3BB" w14:textId="77777777" w:rsidR="00037093" w:rsidRPr="00037093" w:rsidRDefault="001F03B4" w:rsidP="00037093">
            <w:pPr>
              <w:shd w:val="clear" w:color="auto" w:fill="FFFFFF"/>
              <w:jc w:val="right"/>
              <w:rPr>
                <w:rFonts w:ascii="Times New Roman" w:eastAsia="Times New Roman" w:hAnsi="Times New Roman" w:cs="Times New Roman"/>
                <w:i/>
                <w:sz w:val="18"/>
                <w:szCs w:val="18"/>
                <w:lang w:eastAsia="uk-UA"/>
              </w:rPr>
            </w:pPr>
            <w:hyperlink r:id="rId26" w:tgtFrame="_top" w:history="1">
              <w:r w:rsidR="00037093" w:rsidRPr="00037093">
                <w:rPr>
                  <w:rFonts w:ascii="Times New Roman" w:eastAsia="Times New Roman" w:hAnsi="Times New Roman" w:cs="Times New Roman"/>
                  <w:i/>
                  <w:sz w:val="18"/>
                  <w:szCs w:val="18"/>
                  <w:lang w:eastAsia="uk-UA"/>
                </w:rPr>
                <w:t>(абзац п'ятий пункту 5 розділу V у редакції рішення від 04.06.2019 р. N 307)</w:t>
              </w:r>
            </w:hyperlink>
          </w:p>
          <w:p w14:paraId="4B495A44" w14:textId="77777777" w:rsidR="00037093" w:rsidRPr="00037093" w:rsidRDefault="00037093" w:rsidP="00037093">
            <w:pPr>
              <w:shd w:val="clear" w:color="auto" w:fill="FFFFFF"/>
              <w:jc w:val="both"/>
              <w:rPr>
                <w:rFonts w:ascii="Times New Roman" w:eastAsia="Times New Roman" w:hAnsi="Times New Roman" w:cs="Times New Roman"/>
                <w:b/>
                <w:i/>
                <w:sz w:val="18"/>
                <w:szCs w:val="18"/>
                <w:lang w:eastAsia="uk-UA"/>
              </w:rPr>
            </w:pPr>
          </w:p>
          <w:p w14:paraId="10972F0A" w14:textId="77777777" w:rsidR="00072BC4" w:rsidRPr="00296F49" w:rsidRDefault="00072BC4" w:rsidP="00072BC4">
            <w:pPr>
              <w:shd w:val="clear" w:color="auto" w:fill="FFFFFF"/>
              <w:jc w:val="both"/>
              <w:rPr>
                <w:rFonts w:ascii="Times New Roman" w:eastAsia="Times New Roman" w:hAnsi="Times New Roman" w:cs="Times New Roman"/>
                <w:b/>
                <w:i/>
                <w:sz w:val="20"/>
                <w:szCs w:val="20"/>
                <w:lang w:eastAsia="uk-UA"/>
              </w:rPr>
            </w:pPr>
            <w:r w:rsidRPr="00296F49">
              <w:rPr>
                <w:rFonts w:ascii="Times New Roman" w:eastAsia="Times New Roman" w:hAnsi="Times New Roman" w:cs="Times New Roman"/>
                <w:b/>
                <w:i/>
                <w:sz w:val="20"/>
                <w:szCs w:val="20"/>
                <w:lang w:eastAsia="uk-UA"/>
              </w:rPr>
              <w:t>У разі віддаленого встановлення ділових відносин/віддаленого відкриття рахунку в цінних паперах суб'єкт первинного фінансового моніторингу повинен бути обладнаний системними і програмно-технічними засобами та засобами зв'язку, які мають запобігати несанкціонованому доступу, втратам, крадіжкам, несанкціонованому знищенню, викривленню, підробленню, копіюванню інформації і відповідати вимогам міжнародних та національних стандартів з питань інформаційної безпеки.</w:t>
            </w:r>
          </w:p>
          <w:p w14:paraId="12F44104" w14:textId="77777777" w:rsidR="00072BC4" w:rsidRPr="00296F49" w:rsidRDefault="00072BC4" w:rsidP="00072BC4">
            <w:pPr>
              <w:shd w:val="clear" w:color="auto" w:fill="FFFFFF"/>
              <w:jc w:val="both"/>
              <w:rPr>
                <w:rFonts w:ascii="Times New Roman" w:eastAsia="Times New Roman" w:hAnsi="Times New Roman" w:cs="Times New Roman"/>
                <w:b/>
                <w:i/>
                <w:sz w:val="20"/>
                <w:szCs w:val="20"/>
                <w:lang w:eastAsia="uk-UA"/>
              </w:rPr>
            </w:pPr>
            <w:r w:rsidRPr="00296F49">
              <w:rPr>
                <w:rFonts w:ascii="Times New Roman" w:eastAsia="Times New Roman" w:hAnsi="Times New Roman" w:cs="Times New Roman"/>
                <w:b/>
                <w:i/>
                <w:sz w:val="20"/>
                <w:szCs w:val="20"/>
                <w:lang w:eastAsia="uk-UA"/>
              </w:rPr>
              <w:t>Дистанційна ідентифікація, верифікація та вивчення клієнта здійснюється на підставі перевірки відповідності ідентифікаційних даних, отриманих від клієнта в електронному вигляді та підписаних його кваліфікованим електронним підписом, з отриманою відповідною інформацією від банка, який є абонентом-ідентифікатором, за допомогою засобів Системи BankID.</w:t>
            </w:r>
          </w:p>
          <w:p w14:paraId="3F6EFAA3" w14:textId="77777777" w:rsidR="00072BC4" w:rsidRPr="00296F49" w:rsidRDefault="00072BC4" w:rsidP="00072BC4">
            <w:pPr>
              <w:shd w:val="clear" w:color="auto" w:fill="FFFFFF"/>
              <w:jc w:val="both"/>
              <w:rPr>
                <w:rFonts w:ascii="Times New Roman" w:eastAsia="Times New Roman" w:hAnsi="Times New Roman" w:cs="Times New Roman"/>
                <w:b/>
                <w:i/>
                <w:sz w:val="20"/>
                <w:szCs w:val="20"/>
                <w:lang w:eastAsia="uk-UA"/>
              </w:rPr>
            </w:pPr>
            <w:r w:rsidRPr="00296F49">
              <w:rPr>
                <w:rFonts w:ascii="Times New Roman" w:eastAsia="Times New Roman" w:hAnsi="Times New Roman" w:cs="Times New Roman"/>
                <w:b/>
                <w:i/>
                <w:sz w:val="20"/>
                <w:szCs w:val="20"/>
                <w:lang w:eastAsia="uk-UA"/>
              </w:rPr>
              <w:t xml:space="preserve">У разі віддаленого встановлення ділових відносин суб'єктом первинного фінансового моніторингу, особа, яка здійснювала дистанційну ідентифікацію, вивчення клієнта, накладає кваліфікований електронний підпис на електронний(і) </w:t>
            </w:r>
            <w:r w:rsidRPr="00296F49">
              <w:rPr>
                <w:rFonts w:ascii="Times New Roman" w:eastAsia="Times New Roman" w:hAnsi="Times New Roman" w:cs="Times New Roman"/>
                <w:b/>
                <w:i/>
                <w:sz w:val="20"/>
                <w:szCs w:val="20"/>
                <w:lang w:eastAsia="uk-UA"/>
              </w:rPr>
              <w:lastRenderedPageBreak/>
              <w:t>документ(и), отриманий(і) від клієнта та/або отримані за допомогою засобів Системи BankID.</w:t>
            </w:r>
          </w:p>
          <w:p w14:paraId="773F42E4" w14:textId="77777777" w:rsidR="00072BC4" w:rsidRPr="00296F49" w:rsidRDefault="00072BC4" w:rsidP="00072BC4">
            <w:pPr>
              <w:shd w:val="clear" w:color="auto" w:fill="FFFFFF"/>
              <w:jc w:val="both"/>
              <w:rPr>
                <w:rFonts w:ascii="Times New Roman" w:eastAsia="Times New Roman" w:hAnsi="Times New Roman" w:cs="Times New Roman"/>
                <w:b/>
                <w:i/>
                <w:sz w:val="20"/>
                <w:szCs w:val="20"/>
                <w:lang w:eastAsia="uk-UA"/>
              </w:rPr>
            </w:pPr>
            <w:r w:rsidRPr="00296F49">
              <w:rPr>
                <w:rFonts w:ascii="Times New Roman" w:eastAsia="Times New Roman" w:hAnsi="Times New Roman" w:cs="Times New Roman"/>
                <w:b/>
                <w:i/>
                <w:sz w:val="20"/>
                <w:szCs w:val="20"/>
                <w:lang w:eastAsia="uk-UA"/>
              </w:rPr>
              <w:t>У разі віддаленого встановлення ділових відносин суб'єкт первинного фінансового моніторингу забезпечує зберігання електронних документів  щодо ідентифікації, верифікації та вивчення клієнта, отриманих від клієнта та за допомогою засобів Системи BankID.</w:t>
            </w:r>
          </w:p>
          <w:p w14:paraId="3DB9DD48" w14:textId="313C741D" w:rsidR="00037093" w:rsidRPr="00037093" w:rsidRDefault="00037093" w:rsidP="00072BC4">
            <w:pPr>
              <w:jc w:val="both"/>
              <w:rPr>
                <w:rFonts w:ascii="Times New Roman" w:hAnsi="Times New Roman" w:cs="Times New Roman"/>
                <w:b/>
                <w:i/>
                <w:sz w:val="18"/>
                <w:szCs w:val="18"/>
              </w:rPr>
            </w:pPr>
            <w:r w:rsidRPr="00037093">
              <w:rPr>
                <w:rFonts w:ascii="Times New Roman" w:eastAsia="Times New Roman" w:hAnsi="Times New Roman" w:cs="Times New Roman"/>
                <w:sz w:val="18"/>
                <w:szCs w:val="18"/>
                <w:lang w:eastAsia="uk-UA"/>
              </w:rPr>
              <w:t>З метою встановлення кінцевого бенефіціарного власника (контролера) суб'єкт первинного фінансового моніторингу витребовує у клієнта - юридичної особи інформацію та/або документи, що підтверджують наявність структури власності такого клієнта.</w:t>
            </w:r>
          </w:p>
        </w:tc>
      </w:tr>
      <w:tr w:rsidR="004A3E72" w:rsidRPr="004A3E72" w14:paraId="1A30D850" w14:textId="77777777" w:rsidTr="00CE3A7D">
        <w:tc>
          <w:tcPr>
            <w:tcW w:w="7563" w:type="dxa"/>
          </w:tcPr>
          <w:p w14:paraId="3A290A47" w14:textId="77777777" w:rsidR="004A3E72" w:rsidRPr="004A3E72" w:rsidRDefault="004A3E72" w:rsidP="004A3E72">
            <w:pPr>
              <w:shd w:val="clear" w:color="auto" w:fill="FFFFFF"/>
              <w:jc w:val="both"/>
              <w:rPr>
                <w:rFonts w:ascii="Times New Roman" w:eastAsia="Times New Roman" w:hAnsi="Times New Roman" w:cs="Times New Roman"/>
                <w:sz w:val="18"/>
                <w:szCs w:val="18"/>
                <w:lang w:eastAsia="uk-UA"/>
              </w:rPr>
            </w:pPr>
            <w:r w:rsidRPr="004A3E72">
              <w:rPr>
                <w:rFonts w:ascii="Times New Roman" w:eastAsia="Times New Roman" w:hAnsi="Times New Roman" w:cs="Times New Roman"/>
                <w:sz w:val="18"/>
                <w:szCs w:val="18"/>
                <w:lang w:eastAsia="uk-UA"/>
              </w:rPr>
              <w:lastRenderedPageBreak/>
              <w:t>6. Верифікація клієнта з низьким рівнем ризику здійснюється під час першого звернення клієнта (представника клієнта) до суб'єкта первинного фінансового моніторингу.</w:t>
            </w:r>
          </w:p>
          <w:p w14:paraId="537C10F2" w14:textId="77777777" w:rsidR="004A3E72" w:rsidRPr="004A3E72" w:rsidRDefault="004A3E72" w:rsidP="004A3E72">
            <w:pPr>
              <w:shd w:val="clear" w:color="auto" w:fill="FFFFFF"/>
              <w:jc w:val="both"/>
              <w:rPr>
                <w:rFonts w:ascii="Times New Roman" w:eastAsia="Times New Roman" w:hAnsi="Times New Roman" w:cs="Times New Roman"/>
                <w:sz w:val="18"/>
                <w:szCs w:val="18"/>
                <w:lang w:eastAsia="uk-UA"/>
              </w:rPr>
            </w:pPr>
            <w:r w:rsidRPr="004A3E72">
              <w:rPr>
                <w:rFonts w:ascii="Times New Roman" w:eastAsia="Times New Roman" w:hAnsi="Times New Roman" w:cs="Times New Roman"/>
                <w:sz w:val="18"/>
                <w:szCs w:val="18"/>
                <w:lang w:eastAsia="uk-UA"/>
              </w:rPr>
              <w:t>В такому разі суб'єкт первинного фінансового моніторингу забезпечує зберігання документів, які підтверджують факт ділового листування з клієнтом. </w:t>
            </w:r>
            <w:hyperlink r:id="rId27" w:tgtFrame="_top" w:history="1">
              <w:r w:rsidRPr="004A3E72">
                <w:rPr>
                  <w:rFonts w:ascii="Times New Roman" w:eastAsia="Times New Roman" w:hAnsi="Times New Roman" w:cs="Times New Roman"/>
                  <w:sz w:val="18"/>
                  <w:szCs w:val="18"/>
                  <w:lang w:eastAsia="uk-UA"/>
                </w:rPr>
                <w:t>Такі документи зберігаються разом з документами щодо ідентифікації та верифікації клієнта (представника клієнта).</w:t>
              </w:r>
            </w:hyperlink>
          </w:p>
          <w:p w14:paraId="59A2F4DF" w14:textId="77777777" w:rsidR="004A3E72" w:rsidRPr="004A3E72" w:rsidRDefault="001F03B4" w:rsidP="004A3E72">
            <w:pPr>
              <w:shd w:val="clear" w:color="auto" w:fill="FFFFFF"/>
              <w:jc w:val="right"/>
              <w:rPr>
                <w:rFonts w:ascii="Times New Roman" w:eastAsia="Times New Roman" w:hAnsi="Times New Roman" w:cs="Times New Roman"/>
                <w:i/>
                <w:sz w:val="18"/>
                <w:szCs w:val="18"/>
                <w:lang w:eastAsia="uk-UA"/>
              </w:rPr>
            </w:pPr>
            <w:hyperlink r:id="rId28" w:tgtFrame="_top" w:history="1">
              <w:r w:rsidR="004A3E72" w:rsidRPr="004A3E72">
                <w:rPr>
                  <w:rFonts w:ascii="Times New Roman" w:eastAsia="Times New Roman" w:hAnsi="Times New Roman" w:cs="Times New Roman"/>
                  <w:i/>
                  <w:sz w:val="18"/>
                  <w:szCs w:val="18"/>
                  <w:lang w:eastAsia="uk-UA"/>
                </w:rPr>
                <w:t>(абзац другий пункту 6 розділу V із змінами, внесеними згідно з</w:t>
              </w:r>
              <w:r w:rsidR="004A3E72" w:rsidRPr="004A3E72">
                <w:rPr>
                  <w:rFonts w:ascii="Times New Roman" w:eastAsia="Times New Roman" w:hAnsi="Times New Roman" w:cs="Times New Roman"/>
                  <w:i/>
                  <w:sz w:val="18"/>
                  <w:szCs w:val="18"/>
                  <w:lang w:eastAsia="uk-UA"/>
                </w:rPr>
                <w:br/>
                <w:t xml:space="preserve"> рішенням </w:t>
              </w:r>
              <w:r w:rsidR="004A3E72" w:rsidRPr="004A3E72">
                <w:rPr>
                  <w:rFonts w:ascii="Times New Roman" w:eastAsia="Times New Roman" w:hAnsi="Times New Roman" w:cs="Times New Roman"/>
                  <w:i/>
                  <w:sz w:val="18"/>
                  <w:szCs w:val="18"/>
                  <w:lang w:eastAsia="uk-UA"/>
                </w:rPr>
                <w:br/>
                <w:t> від 04.06.2019 р. N 307)</w:t>
              </w:r>
            </w:hyperlink>
          </w:p>
          <w:p w14:paraId="5B98EA7F" w14:textId="77777777" w:rsidR="004A3E72" w:rsidRPr="004A3E72" w:rsidRDefault="004A3E72" w:rsidP="004A3E72">
            <w:pPr>
              <w:rPr>
                <w:rFonts w:ascii="Times New Roman" w:hAnsi="Times New Roman" w:cs="Times New Roman"/>
                <w:sz w:val="18"/>
                <w:szCs w:val="18"/>
              </w:rPr>
            </w:pPr>
          </w:p>
          <w:p w14:paraId="14690206" w14:textId="77777777" w:rsidR="004A3E72" w:rsidRPr="004A3E72" w:rsidRDefault="004A3E72" w:rsidP="004A3E72">
            <w:pPr>
              <w:rPr>
                <w:rFonts w:ascii="Times New Roman" w:hAnsi="Times New Roman" w:cs="Times New Roman"/>
                <w:b/>
                <w:i/>
                <w:sz w:val="18"/>
                <w:szCs w:val="18"/>
              </w:rPr>
            </w:pPr>
            <w:r w:rsidRPr="004A3E72">
              <w:rPr>
                <w:rFonts w:ascii="Times New Roman" w:hAnsi="Times New Roman" w:cs="Times New Roman"/>
                <w:b/>
                <w:i/>
                <w:sz w:val="18"/>
                <w:szCs w:val="18"/>
              </w:rPr>
              <w:t>Не існувало</w:t>
            </w:r>
          </w:p>
          <w:p w14:paraId="1B7F6BA3" w14:textId="77777777" w:rsidR="004A3E72" w:rsidRPr="004A3E72" w:rsidRDefault="004A3E72" w:rsidP="004A3E72">
            <w:pPr>
              <w:rPr>
                <w:rFonts w:ascii="Times New Roman" w:hAnsi="Times New Roman" w:cs="Times New Roman"/>
                <w:b/>
                <w:i/>
                <w:sz w:val="18"/>
                <w:szCs w:val="18"/>
              </w:rPr>
            </w:pPr>
          </w:p>
          <w:p w14:paraId="77ECA0CA" w14:textId="16B62E0E" w:rsidR="004A3E72" w:rsidRDefault="004A3E72" w:rsidP="004A3E72">
            <w:pPr>
              <w:rPr>
                <w:rFonts w:ascii="Times New Roman" w:hAnsi="Times New Roman" w:cs="Times New Roman"/>
                <w:b/>
                <w:i/>
                <w:sz w:val="18"/>
                <w:szCs w:val="18"/>
              </w:rPr>
            </w:pPr>
          </w:p>
          <w:p w14:paraId="66117C7E" w14:textId="1D77F1D6" w:rsidR="00296F49" w:rsidRDefault="00296F49" w:rsidP="004A3E72">
            <w:pPr>
              <w:rPr>
                <w:rFonts w:ascii="Times New Roman" w:hAnsi="Times New Roman" w:cs="Times New Roman"/>
                <w:b/>
                <w:i/>
                <w:sz w:val="18"/>
                <w:szCs w:val="18"/>
              </w:rPr>
            </w:pPr>
          </w:p>
          <w:p w14:paraId="1D8572F7" w14:textId="51D8657D" w:rsidR="00296F49" w:rsidRDefault="00296F49" w:rsidP="004A3E72">
            <w:pPr>
              <w:rPr>
                <w:rFonts w:ascii="Times New Roman" w:hAnsi="Times New Roman" w:cs="Times New Roman"/>
                <w:b/>
                <w:i/>
                <w:sz w:val="18"/>
                <w:szCs w:val="18"/>
              </w:rPr>
            </w:pPr>
          </w:p>
          <w:p w14:paraId="75BA3CE1" w14:textId="77777777" w:rsidR="00296F49" w:rsidRPr="004A3E72" w:rsidRDefault="00296F49" w:rsidP="004A3E72">
            <w:pPr>
              <w:rPr>
                <w:rFonts w:ascii="Times New Roman" w:hAnsi="Times New Roman" w:cs="Times New Roman"/>
                <w:b/>
                <w:i/>
                <w:sz w:val="18"/>
                <w:szCs w:val="18"/>
              </w:rPr>
            </w:pPr>
          </w:p>
          <w:p w14:paraId="4BE15EC5" w14:textId="77777777" w:rsidR="004A3E72" w:rsidRPr="004A3E72" w:rsidRDefault="004A3E72" w:rsidP="004A3E72">
            <w:pPr>
              <w:rPr>
                <w:rFonts w:ascii="Times New Roman" w:hAnsi="Times New Roman" w:cs="Times New Roman"/>
                <w:b/>
                <w:i/>
                <w:sz w:val="18"/>
                <w:szCs w:val="18"/>
              </w:rPr>
            </w:pPr>
          </w:p>
          <w:p w14:paraId="4E27C7F7" w14:textId="1FFD8003" w:rsidR="004A3E72" w:rsidRPr="004A3E72" w:rsidRDefault="004A3E72" w:rsidP="004A3E72">
            <w:pPr>
              <w:shd w:val="clear" w:color="auto" w:fill="FFFFFF"/>
              <w:jc w:val="both"/>
            </w:pPr>
            <w:r w:rsidRPr="004A3E72">
              <w:rPr>
                <w:rFonts w:ascii="Times New Roman" w:hAnsi="Times New Roman" w:cs="Times New Roman"/>
                <w:b/>
                <w:i/>
                <w:sz w:val="18"/>
                <w:szCs w:val="18"/>
              </w:rPr>
              <w:t>Не існувало</w:t>
            </w:r>
          </w:p>
        </w:tc>
        <w:tc>
          <w:tcPr>
            <w:tcW w:w="7563" w:type="dxa"/>
          </w:tcPr>
          <w:p w14:paraId="5B24C1C3" w14:textId="77777777" w:rsidR="004A3E72" w:rsidRPr="004A3E72" w:rsidRDefault="004A3E72" w:rsidP="004A3E72">
            <w:pPr>
              <w:shd w:val="clear" w:color="auto" w:fill="FFFFFF"/>
              <w:jc w:val="both"/>
              <w:rPr>
                <w:rFonts w:ascii="Times New Roman" w:eastAsia="Times New Roman" w:hAnsi="Times New Roman" w:cs="Times New Roman"/>
                <w:sz w:val="18"/>
                <w:szCs w:val="18"/>
                <w:lang w:eastAsia="uk-UA"/>
              </w:rPr>
            </w:pPr>
            <w:r w:rsidRPr="004A3E72">
              <w:rPr>
                <w:rFonts w:ascii="Times New Roman" w:eastAsia="Times New Roman" w:hAnsi="Times New Roman" w:cs="Times New Roman"/>
                <w:sz w:val="18"/>
                <w:szCs w:val="18"/>
                <w:lang w:eastAsia="uk-UA"/>
              </w:rPr>
              <w:t>6. Верифікація клієнта з низьким рівнем ризику здійснюється під час першого звернення клієнта (представника клієнта) до суб'єкта первинного фінансового моніторингу.</w:t>
            </w:r>
          </w:p>
          <w:p w14:paraId="2C2A4B67" w14:textId="77777777" w:rsidR="004A3E72" w:rsidRPr="004A3E72" w:rsidRDefault="004A3E72" w:rsidP="004A3E72">
            <w:pPr>
              <w:shd w:val="clear" w:color="auto" w:fill="FFFFFF"/>
              <w:jc w:val="both"/>
              <w:rPr>
                <w:rFonts w:ascii="Times New Roman" w:eastAsia="Times New Roman" w:hAnsi="Times New Roman" w:cs="Times New Roman"/>
                <w:sz w:val="18"/>
                <w:szCs w:val="18"/>
                <w:lang w:eastAsia="uk-UA"/>
              </w:rPr>
            </w:pPr>
            <w:r w:rsidRPr="004A3E72">
              <w:rPr>
                <w:rFonts w:ascii="Times New Roman" w:eastAsia="Times New Roman" w:hAnsi="Times New Roman" w:cs="Times New Roman"/>
                <w:sz w:val="18"/>
                <w:szCs w:val="18"/>
                <w:lang w:eastAsia="uk-UA"/>
              </w:rPr>
              <w:t>В такому разі суб'єкт первинного фінансового моніторингу забезпечує зберігання документів, які підтверджують факт ділового листування з клієнтом. </w:t>
            </w:r>
            <w:hyperlink r:id="rId29" w:tgtFrame="_top" w:history="1">
              <w:r w:rsidRPr="004A3E72">
                <w:rPr>
                  <w:rFonts w:ascii="Times New Roman" w:eastAsia="Times New Roman" w:hAnsi="Times New Roman" w:cs="Times New Roman"/>
                  <w:sz w:val="18"/>
                  <w:szCs w:val="18"/>
                  <w:lang w:eastAsia="uk-UA"/>
                </w:rPr>
                <w:t>Такі документи зберігаються разом з документами щодо ідентифікації та верифікації клієнта (представника клієнта).</w:t>
              </w:r>
            </w:hyperlink>
          </w:p>
          <w:p w14:paraId="6D9B8808" w14:textId="77777777" w:rsidR="004A3E72" w:rsidRPr="004A3E72" w:rsidRDefault="001F03B4" w:rsidP="004A3E72">
            <w:pPr>
              <w:shd w:val="clear" w:color="auto" w:fill="FFFFFF"/>
              <w:jc w:val="right"/>
              <w:rPr>
                <w:rFonts w:ascii="Times New Roman" w:eastAsia="Times New Roman" w:hAnsi="Times New Roman" w:cs="Times New Roman"/>
                <w:i/>
                <w:sz w:val="18"/>
                <w:szCs w:val="18"/>
                <w:lang w:eastAsia="uk-UA"/>
              </w:rPr>
            </w:pPr>
            <w:hyperlink r:id="rId30" w:tgtFrame="_top" w:history="1">
              <w:r w:rsidR="004A3E72" w:rsidRPr="004A3E72">
                <w:rPr>
                  <w:rFonts w:ascii="Times New Roman" w:eastAsia="Times New Roman" w:hAnsi="Times New Roman" w:cs="Times New Roman"/>
                  <w:i/>
                  <w:sz w:val="18"/>
                  <w:szCs w:val="18"/>
                  <w:lang w:eastAsia="uk-UA"/>
                </w:rPr>
                <w:t>(абзац другий пункту 6 розділу V із змінами, внесеними згідно з</w:t>
              </w:r>
              <w:r w:rsidR="004A3E72" w:rsidRPr="004A3E72">
                <w:rPr>
                  <w:rFonts w:ascii="Times New Roman" w:eastAsia="Times New Roman" w:hAnsi="Times New Roman" w:cs="Times New Roman"/>
                  <w:i/>
                  <w:sz w:val="18"/>
                  <w:szCs w:val="18"/>
                  <w:lang w:eastAsia="uk-UA"/>
                </w:rPr>
                <w:br/>
                <w:t xml:space="preserve"> рішенням </w:t>
              </w:r>
              <w:r w:rsidR="004A3E72" w:rsidRPr="004A3E72">
                <w:rPr>
                  <w:rFonts w:ascii="Times New Roman" w:eastAsia="Times New Roman" w:hAnsi="Times New Roman" w:cs="Times New Roman"/>
                  <w:i/>
                  <w:sz w:val="18"/>
                  <w:szCs w:val="18"/>
                  <w:lang w:eastAsia="uk-UA"/>
                </w:rPr>
                <w:br/>
                <w:t> від 04.06.2019 р. N 307)</w:t>
              </w:r>
            </w:hyperlink>
          </w:p>
          <w:p w14:paraId="76C32CA9" w14:textId="77777777" w:rsidR="004B0193" w:rsidRPr="00296F49" w:rsidRDefault="004B0193" w:rsidP="004B0193">
            <w:pPr>
              <w:shd w:val="clear" w:color="auto" w:fill="FFFFFF"/>
              <w:jc w:val="both"/>
              <w:rPr>
                <w:rFonts w:ascii="Times New Roman" w:eastAsia="Times New Roman" w:hAnsi="Times New Roman" w:cs="Times New Roman"/>
                <w:b/>
                <w:i/>
                <w:sz w:val="20"/>
                <w:szCs w:val="20"/>
                <w:lang w:eastAsia="uk-UA"/>
              </w:rPr>
            </w:pPr>
            <w:r w:rsidRPr="00296F49">
              <w:rPr>
                <w:rFonts w:ascii="Times New Roman" w:eastAsia="Times New Roman" w:hAnsi="Times New Roman" w:cs="Times New Roman"/>
                <w:b/>
                <w:i/>
                <w:sz w:val="20"/>
                <w:szCs w:val="20"/>
                <w:lang w:eastAsia="uk-UA"/>
              </w:rPr>
              <w:t>У випадку проведення клієнтом, з яким віддалено встановлено ділові відносини, фінансової операції на суму, що дорівнює або перевищує суму, визначену в частині першій статті 15 Закону, суб'єктом первинного фінансового моніторингу здійснюється уточнення інформації про клієнта, в тому числі ідентифікаційних даних, у його присутності у строки відповідно до встановленого клієнту рівня ризику легалізації (відмивання) доходів, одержаних злочинним шляхом, фінансування тероризму та фінансування розповсюдження зброї масового знищення.</w:t>
            </w:r>
          </w:p>
          <w:p w14:paraId="672F3C80" w14:textId="4D826CC9" w:rsidR="004A3E72" w:rsidRPr="004A3E72" w:rsidRDefault="004B0193" w:rsidP="004B0193">
            <w:pPr>
              <w:shd w:val="clear" w:color="auto" w:fill="FFFFFF"/>
              <w:jc w:val="both"/>
            </w:pPr>
            <w:r w:rsidRPr="00296F49">
              <w:rPr>
                <w:rFonts w:ascii="Times New Roman" w:eastAsia="Times New Roman" w:hAnsi="Times New Roman" w:cs="Times New Roman"/>
                <w:b/>
                <w:i/>
                <w:sz w:val="20"/>
                <w:szCs w:val="20"/>
                <w:lang w:eastAsia="uk-UA"/>
              </w:rPr>
              <w:t>Суб’єкт первинного фінансового моніторингу під час надання віддаленого доступу до інформаційних систем зобов'язаний застосовувати автентифікацію, яка здійснюється за допомогою захищених механізмів двох або більше типів [наприклад, застосування для автентифікації пароля разом із апаратним засобом захисту інформації (токеном) або біометричної автентифікації разом із паролем] (багатофакторну автентифікацію клієнта).</w:t>
            </w:r>
          </w:p>
        </w:tc>
      </w:tr>
      <w:tr w:rsidR="004A3E72" w:rsidRPr="00EF70A9" w14:paraId="5B54B8AD" w14:textId="77777777" w:rsidTr="00CE3A7D">
        <w:tc>
          <w:tcPr>
            <w:tcW w:w="7563" w:type="dxa"/>
          </w:tcPr>
          <w:p w14:paraId="7EAA6D7F" w14:textId="77777777" w:rsidR="004A3E72" w:rsidRPr="00EF70A9" w:rsidRDefault="001F03B4" w:rsidP="004A3E72">
            <w:pPr>
              <w:shd w:val="clear" w:color="auto" w:fill="FFFFFF"/>
              <w:jc w:val="both"/>
              <w:rPr>
                <w:rFonts w:ascii="Times New Roman" w:eastAsia="Times New Roman" w:hAnsi="Times New Roman" w:cs="Times New Roman"/>
                <w:sz w:val="18"/>
                <w:szCs w:val="18"/>
                <w:lang w:eastAsia="uk-UA"/>
              </w:rPr>
            </w:pPr>
            <w:hyperlink r:id="rId31" w:tgtFrame="_top" w:history="1">
              <w:r w:rsidR="004A3E72" w:rsidRPr="00EF70A9">
                <w:rPr>
                  <w:rFonts w:ascii="Times New Roman" w:eastAsia="Times New Roman" w:hAnsi="Times New Roman" w:cs="Times New Roman"/>
                  <w:sz w:val="18"/>
                  <w:szCs w:val="18"/>
                  <w:lang w:eastAsia="uk-UA"/>
                </w:rPr>
                <w:t xml:space="preserve">18. Суб'єкт первинного фінансового моніторингу повинен зберігати офіційні документи, інші документи (у тому числі створені суб'єктом первинного фінансового моніторингу електронні документи), їх копії щодо ідентифікації та верифікації осіб (клієнтів, представників клієнтів), дані щодо вигодоодержувачів,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всі необхідні дані про фінансові операції (достатні для того, щоб простежити стан операції, у тому числі правочини, розпорядження, заявки, ділове листування, копії векселів з індосаментом, копії </w:t>
              </w:r>
              <w:r w:rsidR="004A3E72" w:rsidRPr="00EF70A9">
                <w:rPr>
                  <w:rFonts w:ascii="Times New Roman" w:eastAsia="Times New Roman" w:hAnsi="Times New Roman" w:cs="Times New Roman"/>
                  <w:sz w:val="18"/>
                  <w:szCs w:val="18"/>
                  <w:lang w:eastAsia="uk-UA"/>
                </w:rPr>
                <w:lastRenderedPageBreak/>
                <w:t>векселів, заставних, копії сертифікатів цінних паперів тощо) - не менше п'яти років після завершення операції, закриття рахунку, припинення ділових відносин.</w:t>
              </w:r>
            </w:hyperlink>
          </w:p>
          <w:p w14:paraId="6B3796C6" w14:textId="77777777" w:rsidR="004A3E72" w:rsidRPr="00EF70A9" w:rsidRDefault="001F03B4" w:rsidP="004A3E72">
            <w:pPr>
              <w:shd w:val="clear" w:color="auto" w:fill="FFFFFF"/>
              <w:jc w:val="right"/>
              <w:rPr>
                <w:rFonts w:ascii="Times New Roman" w:eastAsia="Times New Roman" w:hAnsi="Times New Roman" w:cs="Times New Roman"/>
                <w:sz w:val="18"/>
                <w:szCs w:val="18"/>
                <w:lang w:eastAsia="uk-UA"/>
              </w:rPr>
            </w:pPr>
            <w:hyperlink r:id="rId32" w:tgtFrame="_top" w:history="1">
              <w:r w:rsidR="004A3E72" w:rsidRPr="00EF70A9">
                <w:rPr>
                  <w:rFonts w:ascii="Times New Roman" w:eastAsia="Times New Roman" w:hAnsi="Times New Roman" w:cs="Times New Roman"/>
                  <w:i/>
                  <w:sz w:val="18"/>
                  <w:szCs w:val="18"/>
                  <w:lang w:eastAsia="uk-UA"/>
                </w:rPr>
                <w:t>(абзац перший пункту 18 розділу V у редакції рішення</w:t>
              </w:r>
              <w:r w:rsidR="004A3E72" w:rsidRPr="00EF70A9">
                <w:rPr>
                  <w:rFonts w:ascii="Times New Roman" w:eastAsia="Times New Roman" w:hAnsi="Times New Roman" w:cs="Times New Roman"/>
                  <w:i/>
                  <w:sz w:val="18"/>
                  <w:szCs w:val="18"/>
                  <w:lang w:eastAsia="uk-UA"/>
                </w:rPr>
                <w:br/>
                <w:t> від 04.06.2019 р. N 307</w:t>
              </w:r>
              <w:r w:rsidR="004A3E72" w:rsidRPr="00EF70A9">
                <w:rPr>
                  <w:rFonts w:ascii="Times New Roman" w:eastAsia="Times New Roman" w:hAnsi="Times New Roman" w:cs="Times New Roman"/>
                  <w:sz w:val="18"/>
                  <w:szCs w:val="18"/>
                  <w:lang w:eastAsia="uk-UA"/>
                </w:rPr>
                <w:t>)</w:t>
              </w:r>
            </w:hyperlink>
          </w:p>
          <w:p w14:paraId="4EA00AA9" w14:textId="77777777" w:rsidR="004A3E72" w:rsidRPr="00EF70A9" w:rsidRDefault="004A3E72" w:rsidP="004A3E72">
            <w:pPr>
              <w:shd w:val="clear" w:color="auto" w:fill="FFFFFF"/>
              <w:jc w:val="both"/>
            </w:pPr>
          </w:p>
          <w:p w14:paraId="6CC5E26A" w14:textId="77777777" w:rsidR="004A3E72" w:rsidRPr="00EF70A9" w:rsidRDefault="001F03B4" w:rsidP="004A3E72">
            <w:pPr>
              <w:shd w:val="clear" w:color="auto" w:fill="FFFFFF"/>
              <w:jc w:val="both"/>
              <w:rPr>
                <w:rFonts w:ascii="Times New Roman" w:eastAsia="Times New Roman" w:hAnsi="Times New Roman" w:cs="Times New Roman"/>
                <w:sz w:val="18"/>
                <w:szCs w:val="18"/>
                <w:lang w:eastAsia="uk-UA"/>
              </w:rPr>
            </w:pPr>
            <w:hyperlink r:id="rId33" w:tgtFrame="_top" w:history="1">
              <w:r w:rsidR="004A3E72" w:rsidRPr="00EF70A9">
                <w:rPr>
                  <w:rFonts w:ascii="Times New Roman" w:eastAsia="Times New Roman" w:hAnsi="Times New Roman" w:cs="Times New Roman"/>
                  <w:sz w:val="18"/>
                  <w:szCs w:val="18"/>
                  <w:lang w:eastAsia="uk-UA"/>
                </w:rPr>
                <w:t>Суб'єкт первинного фінансового моніторингу повинен зберігати документи та іншу інформацію (у тому числі створені суб'єктом первинного фінансового моніторингу електронні документи), їх копії щодо ідентифікації номінальних утримувачів та їх клієнтів, дані щодо вигодоодержувачів, а також осіб, яким суб'єктом первинного фінансового моніторингу було відмовлено у проведенні фінансових операцій, вивчення та уточнення інформації про клієнтів номінального утримувача, а також усі документи, що стосуються ділових відносин з номінальним утримувачем та проведеними операціями клієнтів номінального утримувача, не менше п'яти років після завершення фінансової операції, завершення ділових відносин з номінальним утримувачем, а всі необхідні дані про фінансові операції (достатні для того, щоб простежити стан операції) - не менше п'яти років після завершення операції, закриття рахунку, припинення ділових відносин.</w:t>
              </w:r>
            </w:hyperlink>
          </w:p>
          <w:p w14:paraId="7E8BE15C" w14:textId="77777777" w:rsidR="004A3E72" w:rsidRPr="00EF70A9" w:rsidRDefault="001F03B4" w:rsidP="004A3E72">
            <w:pPr>
              <w:shd w:val="clear" w:color="auto" w:fill="FFFFFF"/>
              <w:jc w:val="right"/>
              <w:rPr>
                <w:rFonts w:ascii="Times New Roman" w:eastAsia="Times New Roman" w:hAnsi="Times New Roman" w:cs="Times New Roman"/>
                <w:sz w:val="18"/>
                <w:szCs w:val="18"/>
                <w:lang w:eastAsia="uk-UA"/>
              </w:rPr>
            </w:pPr>
            <w:hyperlink r:id="rId34" w:tgtFrame="_top" w:history="1">
              <w:r w:rsidR="004A3E72" w:rsidRPr="00EF70A9">
                <w:rPr>
                  <w:rFonts w:ascii="Times New Roman" w:eastAsia="Times New Roman" w:hAnsi="Times New Roman" w:cs="Times New Roman"/>
                  <w:i/>
                  <w:sz w:val="18"/>
                  <w:szCs w:val="18"/>
                  <w:lang w:eastAsia="uk-UA"/>
                </w:rPr>
                <w:t>(пункт 18 розділу V доповнено новим абзацом другим згідно з</w:t>
              </w:r>
              <w:r w:rsidR="004A3E72" w:rsidRPr="00EF70A9">
                <w:rPr>
                  <w:rFonts w:ascii="Times New Roman" w:eastAsia="Times New Roman" w:hAnsi="Times New Roman" w:cs="Times New Roman"/>
                  <w:i/>
                  <w:sz w:val="18"/>
                  <w:szCs w:val="18"/>
                  <w:lang w:eastAsia="uk-UA"/>
                </w:rPr>
                <w:br/>
                <w:t> рішенням  від 04.06.2019 р. N 307,</w:t>
              </w:r>
              <w:r w:rsidR="004A3E72" w:rsidRPr="00EF70A9">
                <w:rPr>
                  <w:rFonts w:ascii="Times New Roman" w:eastAsia="Times New Roman" w:hAnsi="Times New Roman" w:cs="Times New Roman"/>
                  <w:sz w:val="18"/>
                  <w:szCs w:val="18"/>
                  <w:lang w:eastAsia="uk-UA"/>
                </w:rPr>
                <w:br/>
                <w:t>у зв'язку з цим абзаци другий вважати абзацом третім)</w:t>
              </w:r>
            </w:hyperlink>
          </w:p>
          <w:p w14:paraId="6ABB1B7F" w14:textId="77777777" w:rsidR="004A3E72" w:rsidRPr="00EF70A9" w:rsidRDefault="004A3E72" w:rsidP="004A3E72">
            <w:pPr>
              <w:shd w:val="clear" w:color="auto" w:fill="FFFFFF"/>
              <w:jc w:val="both"/>
              <w:rPr>
                <w:rFonts w:ascii="Times New Roman" w:eastAsia="Times New Roman" w:hAnsi="Times New Roman" w:cs="Times New Roman"/>
                <w:color w:val="2A2928"/>
                <w:sz w:val="18"/>
                <w:szCs w:val="18"/>
                <w:lang w:eastAsia="uk-UA"/>
              </w:rPr>
            </w:pPr>
            <w:r w:rsidRPr="00EF70A9">
              <w:rPr>
                <w:rFonts w:ascii="Times New Roman" w:eastAsia="Times New Roman" w:hAnsi="Times New Roman" w:cs="Times New Roman"/>
                <w:color w:val="2A2928"/>
                <w:sz w:val="18"/>
                <w:szCs w:val="18"/>
                <w:lang w:eastAsia="uk-UA"/>
              </w:rPr>
              <w:t>У разі знищення, втрати або пошкодження документів до закінчення строку їх зберігання незалежно від причин суб'єкт первинного фінансового моніторингу в триденний строк після встановлення таких фактів повідомляє про це НКЦПФР рекомендованим листом з повідомленням про вручення.</w:t>
            </w:r>
          </w:p>
        </w:tc>
        <w:tc>
          <w:tcPr>
            <w:tcW w:w="7563" w:type="dxa"/>
          </w:tcPr>
          <w:p w14:paraId="271AB4CD" w14:textId="161DC481" w:rsidR="004A3E72" w:rsidRPr="00EF70A9" w:rsidRDefault="001F03B4" w:rsidP="004A3E72">
            <w:pPr>
              <w:shd w:val="clear" w:color="auto" w:fill="FFFFFF"/>
              <w:jc w:val="both"/>
              <w:rPr>
                <w:rFonts w:ascii="Times New Roman" w:eastAsia="Times New Roman" w:hAnsi="Times New Roman" w:cs="Times New Roman"/>
                <w:color w:val="2A2928"/>
                <w:sz w:val="18"/>
                <w:szCs w:val="18"/>
                <w:lang w:eastAsia="uk-UA"/>
              </w:rPr>
            </w:pPr>
            <w:hyperlink r:id="rId35" w:tgtFrame="_top" w:history="1">
              <w:r w:rsidR="004A3E72" w:rsidRPr="00EF70A9">
                <w:rPr>
                  <w:rFonts w:ascii="Times New Roman" w:eastAsia="Times New Roman" w:hAnsi="Times New Roman" w:cs="Times New Roman"/>
                  <w:sz w:val="18"/>
                  <w:szCs w:val="18"/>
                  <w:lang w:eastAsia="uk-UA"/>
                </w:rPr>
                <w:t>18. Суб'єкт первинного фінансового моніторингу повинен зберігати офіційні документи, інші документи (у тому числі створені суб'єктом первинного фінансового моніторингу</w:t>
              </w:r>
              <w:r w:rsidR="004A3E72" w:rsidRPr="00EF70A9">
                <w:rPr>
                  <w:rFonts w:ascii="Times New Roman" w:eastAsia="Times New Roman" w:hAnsi="Times New Roman" w:cs="Times New Roman"/>
                  <w:color w:val="008000"/>
                  <w:sz w:val="18"/>
                  <w:szCs w:val="18"/>
                  <w:lang w:eastAsia="uk-UA"/>
                </w:rPr>
                <w:t xml:space="preserve"> </w:t>
              </w:r>
              <w:r w:rsidR="004A3E72" w:rsidRPr="00EF70A9">
                <w:rPr>
                  <w:rFonts w:ascii="Times New Roman" w:eastAsia="Times New Roman" w:hAnsi="Times New Roman" w:cs="Times New Roman"/>
                  <w:b/>
                  <w:i/>
                  <w:sz w:val="18"/>
                  <w:szCs w:val="18"/>
                  <w:lang w:eastAsia="uk-UA"/>
                </w:rPr>
                <w:t>а</w:t>
              </w:r>
              <w:r w:rsidR="004A3E72" w:rsidRPr="00296F49">
                <w:rPr>
                  <w:rFonts w:ascii="Times New Roman" w:eastAsia="Times New Roman" w:hAnsi="Times New Roman" w:cs="Times New Roman"/>
                  <w:b/>
                  <w:i/>
                  <w:sz w:val="20"/>
                  <w:szCs w:val="20"/>
                  <w:lang w:eastAsia="uk-UA"/>
                </w:rPr>
                <w:t>бо отримані від клієнта або від абонентів-ідентифікаторів за допомогою засобів Системи BankID</w:t>
              </w:r>
              <w:r w:rsidR="004A3E72" w:rsidRPr="00EF70A9">
                <w:rPr>
                  <w:rFonts w:ascii="Times New Roman" w:eastAsia="Times New Roman" w:hAnsi="Times New Roman" w:cs="Times New Roman"/>
                  <w:b/>
                  <w:i/>
                  <w:color w:val="FF0000"/>
                  <w:sz w:val="18"/>
                  <w:szCs w:val="18"/>
                  <w:lang w:eastAsia="uk-UA"/>
                </w:rPr>
                <w:t xml:space="preserve"> </w:t>
              </w:r>
              <w:r w:rsidR="004A3E72" w:rsidRPr="00EF70A9">
                <w:rPr>
                  <w:rFonts w:ascii="Times New Roman" w:eastAsia="Times New Roman" w:hAnsi="Times New Roman" w:cs="Times New Roman"/>
                  <w:sz w:val="18"/>
                  <w:szCs w:val="18"/>
                  <w:lang w:eastAsia="uk-UA"/>
                </w:rPr>
                <w:t xml:space="preserve">електронні документи), їх копії щодо ідентифікації та верифікації осіб (клієнтів, представників клієнтів), дані щодо вигодоодержувачів,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всі необхідні дані про фінансові операції (достатні для того, щоб простежити стан операції, у тому числі правочини, розпорядження, заявки, ділове листування, </w:t>
              </w:r>
              <w:r w:rsidR="004A3E72" w:rsidRPr="00EF70A9">
                <w:rPr>
                  <w:rFonts w:ascii="Times New Roman" w:eastAsia="Times New Roman" w:hAnsi="Times New Roman" w:cs="Times New Roman"/>
                  <w:sz w:val="18"/>
                  <w:szCs w:val="18"/>
                  <w:lang w:eastAsia="uk-UA"/>
                </w:rPr>
                <w:lastRenderedPageBreak/>
                <w:t>копії векселів з індосаментом, копії векселів, заставних, копії сертифікатів цінних паперів тощо) - не менше п'яти років після завершення операції, закриття рахунку, припинення ділових відносин.</w:t>
              </w:r>
            </w:hyperlink>
          </w:p>
          <w:p w14:paraId="4696D1E5" w14:textId="77777777" w:rsidR="004A3E72" w:rsidRPr="00EF70A9" w:rsidRDefault="001F03B4" w:rsidP="004A3E72">
            <w:pPr>
              <w:shd w:val="clear" w:color="auto" w:fill="FFFFFF"/>
              <w:jc w:val="right"/>
              <w:rPr>
                <w:rFonts w:ascii="Times New Roman" w:eastAsia="Times New Roman" w:hAnsi="Times New Roman" w:cs="Times New Roman"/>
                <w:i/>
                <w:sz w:val="18"/>
                <w:szCs w:val="18"/>
                <w:lang w:eastAsia="uk-UA"/>
              </w:rPr>
            </w:pPr>
            <w:hyperlink r:id="rId36" w:tgtFrame="_top" w:history="1">
              <w:r w:rsidR="004A3E72" w:rsidRPr="00EF70A9">
                <w:rPr>
                  <w:rFonts w:ascii="Times New Roman" w:eastAsia="Times New Roman" w:hAnsi="Times New Roman" w:cs="Times New Roman"/>
                  <w:i/>
                  <w:sz w:val="18"/>
                  <w:szCs w:val="18"/>
                  <w:lang w:eastAsia="uk-UA"/>
                </w:rPr>
                <w:t>(абзац перший пункту 18 розділу V у редакції рішення</w:t>
              </w:r>
              <w:r w:rsidR="004A3E72" w:rsidRPr="00EF70A9">
                <w:rPr>
                  <w:rFonts w:ascii="Times New Roman" w:eastAsia="Times New Roman" w:hAnsi="Times New Roman" w:cs="Times New Roman"/>
                  <w:i/>
                  <w:sz w:val="18"/>
                  <w:szCs w:val="18"/>
                  <w:lang w:eastAsia="uk-UA"/>
                </w:rPr>
                <w:br/>
                <w:t> від 04.06.2019 р. N 307)</w:t>
              </w:r>
            </w:hyperlink>
          </w:p>
          <w:p w14:paraId="22FF2B97" w14:textId="77777777" w:rsidR="004A3E72" w:rsidRPr="00EF70A9" w:rsidRDefault="001F03B4" w:rsidP="004A3E72">
            <w:pPr>
              <w:shd w:val="clear" w:color="auto" w:fill="FFFFFF"/>
              <w:jc w:val="both"/>
              <w:rPr>
                <w:rFonts w:ascii="Times New Roman" w:eastAsia="Times New Roman" w:hAnsi="Times New Roman" w:cs="Times New Roman"/>
                <w:sz w:val="18"/>
                <w:szCs w:val="18"/>
                <w:lang w:eastAsia="uk-UA"/>
              </w:rPr>
            </w:pPr>
            <w:hyperlink r:id="rId37" w:tgtFrame="_top" w:history="1">
              <w:r w:rsidR="004A3E72" w:rsidRPr="00EF70A9">
                <w:rPr>
                  <w:rFonts w:ascii="Times New Roman" w:eastAsia="Times New Roman" w:hAnsi="Times New Roman" w:cs="Times New Roman"/>
                  <w:sz w:val="18"/>
                  <w:szCs w:val="18"/>
                  <w:lang w:eastAsia="uk-UA"/>
                </w:rPr>
                <w:t>Суб'єкт первинного фінансового моніторингу повинен зберігати документи та іншу інформацію (у тому числі створені суб'єктом первинного фінансового моніторингу електронні документи), їх копії щодо ідентифікації номінальних утримувачів та їх клієнтів, дані щодо вигодоодержувачів, а також осіб, яким суб'єктом первинного фінансового моніторингу було відмовлено у проведенні фінансових операцій, вивчення та уточнення інформації про клієнтів номінального утримувача, а також усі документи, що стосуються ділових відносин з номінальним утримувачем та проведеними операціями клієнтів номінального утримувача, не менше п'яти років після завершення фінансової операції, завершення ділових відносин з номінальним утримувачем, а всі необхідні дані про фінансові операції (достатні для того, щоб простежити стан операції) - не менше п'яти років після завершення операції, закриття рахунку, припинення ділових відносин.</w:t>
              </w:r>
            </w:hyperlink>
          </w:p>
          <w:p w14:paraId="3237FAD3" w14:textId="77777777" w:rsidR="004A3E72" w:rsidRPr="00EF70A9" w:rsidRDefault="001F03B4" w:rsidP="004A3E72">
            <w:pPr>
              <w:shd w:val="clear" w:color="auto" w:fill="FFFFFF"/>
              <w:jc w:val="right"/>
              <w:rPr>
                <w:rFonts w:ascii="Times New Roman" w:eastAsia="Times New Roman" w:hAnsi="Times New Roman" w:cs="Times New Roman"/>
                <w:i/>
                <w:sz w:val="18"/>
                <w:szCs w:val="18"/>
                <w:lang w:eastAsia="uk-UA"/>
              </w:rPr>
            </w:pPr>
            <w:hyperlink r:id="rId38" w:tgtFrame="_top" w:history="1">
              <w:r w:rsidR="004A3E72" w:rsidRPr="00EF70A9">
                <w:rPr>
                  <w:rFonts w:ascii="Times New Roman" w:eastAsia="Times New Roman" w:hAnsi="Times New Roman" w:cs="Times New Roman"/>
                  <w:i/>
                  <w:sz w:val="18"/>
                  <w:szCs w:val="18"/>
                  <w:lang w:eastAsia="uk-UA"/>
                </w:rPr>
                <w:t>(пункт 18 розділу V доповнено новим абзацом другим згідно з</w:t>
              </w:r>
              <w:r w:rsidR="004A3E72" w:rsidRPr="00EF70A9">
                <w:rPr>
                  <w:rFonts w:ascii="Times New Roman" w:eastAsia="Times New Roman" w:hAnsi="Times New Roman" w:cs="Times New Roman"/>
                  <w:i/>
                  <w:sz w:val="18"/>
                  <w:szCs w:val="18"/>
                  <w:lang w:eastAsia="uk-UA"/>
                </w:rPr>
                <w:br/>
                <w:t> рішенням  від 04.06.2019 р. N 307,</w:t>
              </w:r>
              <w:r w:rsidR="004A3E72" w:rsidRPr="00EF70A9">
                <w:rPr>
                  <w:rFonts w:ascii="Times New Roman" w:eastAsia="Times New Roman" w:hAnsi="Times New Roman" w:cs="Times New Roman"/>
                  <w:i/>
                  <w:sz w:val="18"/>
                  <w:szCs w:val="18"/>
                  <w:lang w:eastAsia="uk-UA"/>
                </w:rPr>
                <w:br/>
                <w:t>у зв'язку з цим абзаци другий вважати абзацом третім)</w:t>
              </w:r>
            </w:hyperlink>
          </w:p>
          <w:p w14:paraId="289E489F" w14:textId="77777777" w:rsidR="004A3E72" w:rsidRPr="00EF70A9" w:rsidRDefault="004A3E72" w:rsidP="004A3E72">
            <w:pPr>
              <w:shd w:val="clear" w:color="auto" w:fill="FFFFFF"/>
              <w:jc w:val="both"/>
              <w:rPr>
                <w:rFonts w:ascii="Times New Roman" w:eastAsia="Times New Roman" w:hAnsi="Times New Roman" w:cs="Times New Roman"/>
                <w:color w:val="2A2928"/>
                <w:sz w:val="18"/>
                <w:szCs w:val="18"/>
                <w:lang w:eastAsia="uk-UA"/>
              </w:rPr>
            </w:pPr>
            <w:r w:rsidRPr="00EF70A9">
              <w:rPr>
                <w:rFonts w:ascii="Times New Roman" w:eastAsia="Times New Roman" w:hAnsi="Times New Roman" w:cs="Times New Roman"/>
                <w:color w:val="2A2928"/>
                <w:sz w:val="18"/>
                <w:szCs w:val="18"/>
                <w:lang w:eastAsia="uk-UA"/>
              </w:rPr>
              <w:t>У разі знищення, втрати або пошкодження документів до закінчення строку їх зберігання незалежно від причин суб'єкт первинного фінансового моніторингу в триденний строк після встановлення таких фактів повідомляє про це НКЦПФР рекомендованим листом з повідомленням про вручення.</w:t>
            </w:r>
          </w:p>
        </w:tc>
      </w:tr>
      <w:tr w:rsidR="004A3E72" w:rsidRPr="00EF70A9" w14:paraId="3292C957" w14:textId="77777777" w:rsidTr="00CE3A7D">
        <w:tc>
          <w:tcPr>
            <w:tcW w:w="7563" w:type="dxa"/>
          </w:tcPr>
          <w:p w14:paraId="5C3DB889" w14:textId="77777777" w:rsidR="004A3E72" w:rsidRPr="00EF70A9" w:rsidRDefault="004A3E72" w:rsidP="004A3E72">
            <w:pPr>
              <w:shd w:val="clear" w:color="auto" w:fill="FFFFFF"/>
              <w:jc w:val="both"/>
            </w:pPr>
            <w:r w:rsidRPr="00EF70A9">
              <w:rPr>
                <w:rFonts w:ascii="Times New Roman" w:eastAsia="Times New Roman" w:hAnsi="Times New Roman" w:cs="Times New Roman"/>
                <w:b/>
                <w:i/>
                <w:color w:val="2A2928"/>
                <w:sz w:val="18"/>
                <w:szCs w:val="18"/>
                <w:lang w:eastAsia="uk-UA"/>
              </w:rPr>
              <w:lastRenderedPageBreak/>
              <w:t>Не існувало</w:t>
            </w:r>
          </w:p>
        </w:tc>
        <w:tc>
          <w:tcPr>
            <w:tcW w:w="7563" w:type="dxa"/>
          </w:tcPr>
          <w:p w14:paraId="46DD4AFE" w14:textId="6AA66CFB" w:rsidR="004A3E72" w:rsidRPr="00296F49" w:rsidRDefault="004A3E72" w:rsidP="004A3E72">
            <w:pPr>
              <w:jc w:val="both"/>
              <w:rPr>
                <w:rFonts w:ascii="Times New Roman" w:eastAsia="Times New Roman" w:hAnsi="Times New Roman" w:cs="Times New Roman"/>
                <w:b/>
                <w:i/>
                <w:noProof/>
                <w:sz w:val="20"/>
                <w:szCs w:val="20"/>
                <w:lang w:eastAsia="uk-UA"/>
              </w:rPr>
            </w:pPr>
            <w:r w:rsidRPr="00296F49">
              <w:rPr>
                <w:rFonts w:ascii="Times New Roman" w:hAnsi="Times New Roman" w:cs="Times New Roman"/>
                <w:b/>
                <w:i/>
                <w:sz w:val="20"/>
                <w:szCs w:val="20"/>
              </w:rPr>
              <w:t xml:space="preserve">19. </w:t>
            </w:r>
            <w:r w:rsidRPr="00296F49">
              <w:rPr>
                <w:rFonts w:ascii="Times New Roman" w:eastAsia="Times New Roman" w:hAnsi="Times New Roman" w:cs="Times New Roman"/>
                <w:b/>
                <w:i/>
                <w:noProof/>
                <w:sz w:val="20"/>
                <w:szCs w:val="20"/>
                <w:lang w:eastAsia="uk-UA"/>
              </w:rPr>
              <w:t>Суб'єкт первинного фінансового моніторингу має право отримувати за допомогою засобів Системи BankID інформацію щодо ідентифікаційних даних клієнта та його вивчення для віддаленого встановлення ділових відносин.</w:t>
            </w:r>
          </w:p>
        </w:tc>
      </w:tr>
      <w:tr w:rsidR="004A3E72" w:rsidRPr="00EF70A9" w14:paraId="4F2D7CB8" w14:textId="77777777" w:rsidTr="00CE3A7D">
        <w:tc>
          <w:tcPr>
            <w:tcW w:w="7563" w:type="dxa"/>
          </w:tcPr>
          <w:p w14:paraId="4442EAFE" w14:textId="77777777" w:rsidR="004A3E72" w:rsidRPr="00EF70A9" w:rsidRDefault="004A3E72" w:rsidP="004A3E72">
            <w:pPr>
              <w:shd w:val="clear" w:color="auto" w:fill="FFFFFF"/>
              <w:jc w:val="both"/>
            </w:pPr>
            <w:r w:rsidRPr="00EF70A9">
              <w:rPr>
                <w:rFonts w:ascii="Times New Roman" w:eastAsia="Times New Roman" w:hAnsi="Times New Roman" w:cs="Times New Roman"/>
                <w:b/>
                <w:i/>
                <w:color w:val="2A2928"/>
                <w:sz w:val="18"/>
                <w:szCs w:val="18"/>
                <w:lang w:eastAsia="uk-UA"/>
              </w:rPr>
              <w:t>Не існувало</w:t>
            </w:r>
          </w:p>
        </w:tc>
        <w:tc>
          <w:tcPr>
            <w:tcW w:w="7563" w:type="dxa"/>
          </w:tcPr>
          <w:p w14:paraId="563DEAB0" w14:textId="6AB95773" w:rsidR="004A3E72" w:rsidRPr="00296F49" w:rsidRDefault="004A3E72" w:rsidP="004A3E72">
            <w:pPr>
              <w:jc w:val="both"/>
              <w:rPr>
                <w:rFonts w:ascii="Times New Roman" w:eastAsia="Times New Roman" w:hAnsi="Times New Roman" w:cs="Times New Roman"/>
                <w:b/>
                <w:i/>
                <w:noProof/>
                <w:sz w:val="20"/>
                <w:szCs w:val="20"/>
                <w:lang w:eastAsia="uk-UA"/>
              </w:rPr>
            </w:pPr>
            <w:r w:rsidRPr="00296F49">
              <w:rPr>
                <w:rFonts w:ascii="Times New Roman" w:hAnsi="Times New Roman" w:cs="Times New Roman"/>
                <w:b/>
                <w:i/>
                <w:sz w:val="20"/>
                <w:szCs w:val="20"/>
              </w:rPr>
              <w:t xml:space="preserve">20. </w:t>
            </w:r>
            <w:r w:rsidRPr="00296F49">
              <w:rPr>
                <w:rFonts w:ascii="Times New Roman" w:eastAsia="Times New Roman" w:hAnsi="Times New Roman" w:cs="Times New Roman"/>
                <w:b/>
                <w:i/>
                <w:noProof/>
                <w:sz w:val="20"/>
                <w:szCs w:val="20"/>
                <w:lang w:eastAsia="uk-UA"/>
              </w:rPr>
              <w:t>Відповідальність за належне здійснення ідентифікації та верифікації клієнта, з яким віддалено встановлено ділові відносини за допомогою засобів Системи BankID, відповідно до вимог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суб'єкта первинного фінансового моніторингу, який використовує інформацію, отриману за допомогою засобів Системи BankID.</w:t>
            </w:r>
          </w:p>
          <w:p w14:paraId="206148AB" w14:textId="1631AF6C" w:rsidR="004A3E72" w:rsidRPr="00296F49" w:rsidRDefault="004A3E72" w:rsidP="004A3E72">
            <w:pPr>
              <w:jc w:val="both"/>
              <w:rPr>
                <w:rFonts w:ascii="Times New Roman" w:eastAsia="Times New Roman" w:hAnsi="Times New Roman" w:cs="Times New Roman"/>
                <w:b/>
                <w:i/>
                <w:noProof/>
                <w:sz w:val="20"/>
                <w:szCs w:val="20"/>
                <w:lang w:eastAsia="uk-UA"/>
              </w:rPr>
            </w:pPr>
            <w:r w:rsidRPr="00296F49">
              <w:rPr>
                <w:rFonts w:ascii="Times New Roman" w:eastAsia="Times New Roman" w:hAnsi="Times New Roman" w:cs="Times New Roman"/>
                <w:b/>
                <w:i/>
                <w:noProof/>
                <w:sz w:val="20"/>
                <w:szCs w:val="20"/>
                <w:lang w:eastAsia="uk-UA"/>
              </w:rPr>
              <w:t>Відповідальність за належну організацію додержання вимог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несе керівник суб'єкта первинного фінансового моніторингу.</w:t>
            </w:r>
          </w:p>
        </w:tc>
      </w:tr>
    </w:tbl>
    <w:p w14:paraId="024520E9" w14:textId="77777777" w:rsidR="00001585" w:rsidRPr="00C4545A" w:rsidRDefault="00001585">
      <w:pPr>
        <w:rPr>
          <w:rFonts w:ascii="Times New Roman" w:hAnsi="Times New Roman" w:cs="Times New Roman"/>
          <w:sz w:val="18"/>
          <w:szCs w:val="18"/>
        </w:rPr>
      </w:pPr>
    </w:p>
    <w:sectPr w:rsidR="00001585" w:rsidRPr="00C4545A" w:rsidSect="00CE3A7D">
      <w:headerReference w:type="default" r:id="rId39"/>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4A52" w14:textId="77777777" w:rsidR="001F03B4" w:rsidRDefault="001F03B4" w:rsidP="00D371A4">
      <w:pPr>
        <w:spacing w:after="0" w:line="240" w:lineRule="auto"/>
      </w:pPr>
      <w:r>
        <w:separator/>
      </w:r>
    </w:p>
  </w:endnote>
  <w:endnote w:type="continuationSeparator" w:id="0">
    <w:p w14:paraId="4891418D" w14:textId="77777777" w:rsidR="001F03B4" w:rsidRDefault="001F03B4" w:rsidP="00D3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2581" w14:textId="77777777" w:rsidR="001F03B4" w:rsidRDefault="001F03B4" w:rsidP="00D371A4">
      <w:pPr>
        <w:spacing w:after="0" w:line="240" w:lineRule="auto"/>
      </w:pPr>
      <w:r>
        <w:separator/>
      </w:r>
    </w:p>
  </w:footnote>
  <w:footnote w:type="continuationSeparator" w:id="0">
    <w:p w14:paraId="07A96DF0" w14:textId="77777777" w:rsidR="001F03B4" w:rsidRDefault="001F03B4" w:rsidP="00D37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1514"/>
      <w:docPartObj>
        <w:docPartGallery w:val="Page Numbers (Top of Page)"/>
        <w:docPartUnique/>
      </w:docPartObj>
    </w:sdtPr>
    <w:sdtEndPr/>
    <w:sdtContent>
      <w:p w14:paraId="51066080" w14:textId="1807CE3C" w:rsidR="00206471" w:rsidRDefault="00206471">
        <w:pPr>
          <w:pStyle w:val="ad"/>
          <w:jc w:val="center"/>
        </w:pPr>
        <w:r>
          <w:fldChar w:fldCharType="begin"/>
        </w:r>
        <w:r>
          <w:instrText>PAGE   \* MERGEFORMAT</w:instrText>
        </w:r>
        <w:r>
          <w:fldChar w:fldCharType="separate"/>
        </w:r>
        <w:r w:rsidR="002D2D4A">
          <w:rPr>
            <w:noProof/>
          </w:rPr>
          <w:t>1</w:t>
        </w:r>
        <w:r>
          <w:fldChar w:fldCharType="end"/>
        </w:r>
      </w:p>
    </w:sdtContent>
  </w:sdt>
  <w:p w14:paraId="17D2DF4C" w14:textId="77777777" w:rsidR="00206471" w:rsidRDefault="0020647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E0FC9"/>
    <w:multiLevelType w:val="hybridMultilevel"/>
    <w:tmpl w:val="AED26190"/>
    <w:lvl w:ilvl="0" w:tplc="D152C22C">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7D"/>
    <w:rsid w:val="00001585"/>
    <w:rsid w:val="00005A2E"/>
    <w:rsid w:val="00037093"/>
    <w:rsid w:val="0006381F"/>
    <w:rsid w:val="00072BC4"/>
    <w:rsid w:val="00073FE8"/>
    <w:rsid w:val="000825A1"/>
    <w:rsid w:val="000A14F6"/>
    <w:rsid w:val="000A2A7B"/>
    <w:rsid w:val="000C63F7"/>
    <w:rsid w:val="000D669B"/>
    <w:rsid w:val="000F6CBD"/>
    <w:rsid w:val="00147061"/>
    <w:rsid w:val="00182A52"/>
    <w:rsid w:val="001A2857"/>
    <w:rsid w:val="001C1001"/>
    <w:rsid w:val="001E17F7"/>
    <w:rsid w:val="001E5E44"/>
    <w:rsid w:val="001F03B4"/>
    <w:rsid w:val="001F26E0"/>
    <w:rsid w:val="001F3E69"/>
    <w:rsid w:val="00206471"/>
    <w:rsid w:val="00222566"/>
    <w:rsid w:val="00252001"/>
    <w:rsid w:val="00256913"/>
    <w:rsid w:val="00291D35"/>
    <w:rsid w:val="00296F49"/>
    <w:rsid w:val="002D2D4A"/>
    <w:rsid w:val="002F4593"/>
    <w:rsid w:val="00301B77"/>
    <w:rsid w:val="00302991"/>
    <w:rsid w:val="00321AA2"/>
    <w:rsid w:val="0037768B"/>
    <w:rsid w:val="003948A2"/>
    <w:rsid w:val="003B183C"/>
    <w:rsid w:val="003C5D8B"/>
    <w:rsid w:val="003F0007"/>
    <w:rsid w:val="003F39DD"/>
    <w:rsid w:val="00430477"/>
    <w:rsid w:val="0045104B"/>
    <w:rsid w:val="0045423D"/>
    <w:rsid w:val="00493C1D"/>
    <w:rsid w:val="004A3E72"/>
    <w:rsid w:val="004B0193"/>
    <w:rsid w:val="004B1FAA"/>
    <w:rsid w:val="004C5318"/>
    <w:rsid w:val="004F3B50"/>
    <w:rsid w:val="005013CE"/>
    <w:rsid w:val="00515260"/>
    <w:rsid w:val="005176EF"/>
    <w:rsid w:val="00534A07"/>
    <w:rsid w:val="0054553F"/>
    <w:rsid w:val="005542F7"/>
    <w:rsid w:val="00567B24"/>
    <w:rsid w:val="00567D27"/>
    <w:rsid w:val="005979CB"/>
    <w:rsid w:val="005A2929"/>
    <w:rsid w:val="005A459C"/>
    <w:rsid w:val="005C4D4B"/>
    <w:rsid w:val="005C5303"/>
    <w:rsid w:val="005C683C"/>
    <w:rsid w:val="005D47B1"/>
    <w:rsid w:val="00611419"/>
    <w:rsid w:val="00621625"/>
    <w:rsid w:val="00631951"/>
    <w:rsid w:val="006656B9"/>
    <w:rsid w:val="006B04E8"/>
    <w:rsid w:val="006D0FEB"/>
    <w:rsid w:val="00702A1A"/>
    <w:rsid w:val="00733634"/>
    <w:rsid w:val="00755B3E"/>
    <w:rsid w:val="0076307A"/>
    <w:rsid w:val="0076313A"/>
    <w:rsid w:val="007860E7"/>
    <w:rsid w:val="00791D80"/>
    <w:rsid w:val="007C2419"/>
    <w:rsid w:val="007E338D"/>
    <w:rsid w:val="007F2B71"/>
    <w:rsid w:val="00821AC6"/>
    <w:rsid w:val="008327E6"/>
    <w:rsid w:val="0089494B"/>
    <w:rsid w:val="00901BBB"/>
    <w:rsid w:val="0091270A"/>
    <w:rsid w:val="00917DBE"/>
    <w:rsid w:val="00967725"/>
    <w:rsid w:val="00977089"/>
    <w:rsid w:val="00982C34"/>
    <w:rsid w:val="0099620E"/>
    <w:rsid w:val="009B3732"/>
    <w:rsid w:val="009C4E99"/>
    <w:rsid w:val="009D7AE2"/>
    <w:rsid w:val="009F0EFC"/>
    <w:rsid w:val="00A22A45"/>
    <w:rsid w:val="00A64A61"/>
    <w:rsid w:val="00A96320"/>
    <w:rsid w:val="00AF2709"/>
    <w:rsid w:val="00AF3491"/>
    <w:rsid w:val="00AF4986"/>
    <w:rsid w:val="00B00ED4"/>
    <w:rsid w:val="00B10491"/>
    <w:rsid w:val="00B176BB"/>
    <w:rsid w:val="00B217AE"/>
    <w:rsid w:val="00B24D8A"/>
    <w:rsid w:val="00B321B2"/>
    <w:rsid w:val="00B3593D"/>
    <w:rsid w:val="00B66BC8"/>
    <w:rsid w:val="00B97D18"/>
    <w:rsid w:val="00BE4DF4"/>
    <w:rsid w:val="00C4545A"/>
    <w:rsid w:val="00C5579E"/>
    <w:rsid w:val="00C62EF2"/>
    <w:rsid w:val="00C638FD"/>
    <w:rsid w:val="00C65142"/>
    <w:rsid w:val="00CE3A7D"/>
    <w:rsid w:val="00CF3EE9"/>
    <w:rsid w:val="00D371A4"/>
    <w:rsid w:val="00D50E81"/>
    <w:rsid w:val="00D83B95"/>
    <w:rsid w:val="00DB5461"/>
    <w:rsid w:val="00DB5DC6"/>
    <w:rsid w:val="00DC4370"/>
    <w:rsid w:val="00E1038A"/>
    <w:rsid w:val="00E638C2"/>
    <w:rsid w:val="00E82268"/>
    <w:rsid w:val="00EC5381"/>
    <w:rsid w:val="00ED3829"/>
    <w:rsid w:val="00EF4B7F"/>
    <w:rsid w:val="00EF70A9"/>
    <w:rsid w:val="00F01BD7"/>
    <w:rsid w:val="00F30F9A"/>
    <w:rsid w:val="00F3346C"/>
    <w:rsid w:val="00F535F1"/>
    <w:rsid w:val="00F60B97"/>
    <w:rsid w:val="00F65237"/>
    <w:rsid w:val="00F6751C"/>
    <w:rsid w:val="00F725EE"/>
    <w:rsid w:val="00F91CBA"/>
    <w:rsid w:val="00FB13C2"/>
    <w:rsid w:val="00FE6D34"/>
    <w:rsid w:val="00FF291C"/>
    <w:rsid w:val="00FF60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0455"/>
  <w15:chartTrackingRefBased/>
  <w15:docId w15:val="{A8A506CB-511C-4C19-B33A-8A42DE3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5237"/>
    <w:pPr>
      <w:ind w:left="720"/>
      <w:contextualSpacing/>
    </w:pPr>
  </w:style>
  <w:style w:type="character" w:styleId="a5">
    <w:name w:val="Hyperlink"/>
    <w:basedOn w:val="a0"/>
    <w:uiPriority w:val="99"/>
    <w:unhideWhenUsed/>
    <w:rsid w:val="001C1001"/>
    <w:rPr>
      <w:color w:val="0563C1" w:themeColor="hyperlink"/>
      <w:u w:val="single"/>
    </w:rPr>
  </w:style>
  <w:style w:type="character" w:styleId="a6">
    <w:name w:val="annotation reference"/>
    <w:basedOn w:val="a0"/>
    <w:uiPriority w:val="99"/>
    <w:semiHidden/>
    <w:unhideWhenUsed/>
    <w:rsid w:val="005A459C"/>
    <w:rPr>
      <w:sz w:val="16"/>
      <w:szCs w:val="16"/>
    </w:rPr>
  </w:style>
  <w:style w:type="paragraph" w:styleId="a7">
    <w:name w:val="annotation text"/>
    <w:basedOn w:val="a"/>
    <w:link w:val="a8"/>
    <w:uiPriority w:val="99"/>
    <w:semiHidden/>
    <w:unhideWhenUsed/>
    <w:rsid w:val="005A459C"/>
    <w:pPr>
      <w:spacing w:line="240" w:lineRule="auto"/>
    </w:pPr>
    <w:rPr>
      <w:sz w:val="20"/>
      <w:szCs w:val="20"/>
    </w:rPr>
  </w:style>
  <w:style w:type="character" w:customStyle="1" w:styleId="a8">
    <w:name w:val="Текст примечания Знак"/>
    <w:basedOn w:val="a0"/>
    <w:link w:val="a7"/>
    <w:uiPriority w:val="99"/>
    <w:semiHidden/>
    <w:rsid w:val="005A459C"/>
    <w:rPr>
      <w:sz w:val="20"/>
      <w:szCs w:val="20"/>
    </w:rPr>
  </w:style>
  <w:style w:type="paragraph" w:styleId="a9">
    <w:name w:val="annotation subject"/>
    <w:basedOn w:val="a7"/>
    <w:next w:val="a7"/>
    <w:link w:val="aa"/>
    <w:uiPriority w:val="99"/>
    <w:semiHidden/>
    <w:unhideWhenUsed/>
    <w:rsid w:val="005A459C"/>
    <w:rPr>
      <w:b/>
      <w:bCs/>
    </w:rPr>
  </w:style>
  <w:style w:type="character" w:customStyle="1" w:styleId="aa">
    <w:name w:val="Тема примечания Знак"/>
    <w:basedOn w:val="a8"/>
    <w:link w:val="a9"/>
    <w:uiPriority w:val="99"/>
    <w:semiHidden/>
    <w:rsid w:val="005A459C"/>
    <w:rPr>
      <w:b/>
      <w:bCs/>
      <w:sz w:val="20"/>
      <w:szCs w:val="20"/>
    </w:rPr>
  </w:style>
  <w:style w:type="paragraph" w:styleId="ab">
    <w:name w:val="Balloon Text"/>
    <w:basedOn w:val="a"/>
    <w:link w:val="ac"/>
    <w:uiPriority w:val="99"/>
    <w:semiHidden/>
    <w:unhideWhenUsed/>
    <w:rsid w:val="005A45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459C"/>
    <w:rPr>
      <w:rFonts w:ascii="Segoe UI" w:hAnsi="Segoe UI" w:cs="Segoe UI"/>
      <w:sz w:val="18"/>
      <w:szCs w:val="18"/>
    </w:rPr>
  </w:style>
  <w:style w:type="paragraph" w:customStyle="1" w:styleId="rvps2">
    <w:name w:val="rvps2"/>
    <w:basedOn w:val="a"/>
    <w:rsid w:val="005A45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5A459C"/>
  </w:style>
  <w:style w:type="paragraph" w:customStyle="1" w:styleId="rvps1">
    <w:name w:val="rvps1"/>
    <w:basedOn w:val="a"/>
    <w:rsid w:val="000638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D371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371A4"/>
  </w:style>
  <w:style w:type="paragraph" w:styleId="af">
    <w:name w:val="footer"/>
    <w:basedOn w:val="a"/>
    <w:link w:val="af0"/>
    <w:uiPriority w:val="99"/>
    <w:unhideWhenUsed/>
    <w:rsid w:val="00D371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371A4"/>
  </w:style>
  <w:style w:type="character" w:customStyle="1" w:styleId="rvts23">
    <w:name w:val="rvts23"/>
    <w:basedOn w:val="a0"/>
    <w:rsid w:val="000F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RE33662.html" TargetMode="External"/><Relationship Id="rId18" Type="http://schemas.openxmlformats.org/officeDocument/2006/relationships/hyperlink" Target="http://search.ligazakon.ua/l_doc2.nsf/link1/RE33662.html" TargetMode="External"/><Relationship Id="rId26" Type="http://schemas.openxmlformats.org/officeDocument/2006/relationships/hyperlink" Target="http://search.ligazakon.ua/l_doc2.nsf/link1/RE33662.html" TargetMode="External"/><Relationship Id="rId39" Type="http://schemas.openxmlformats.org/officeDocument/2006/relationships/header" Target="header1.xml"/><Relationship Id="rId21" Type="http://schemas.openxmlformats.org/officeDocument/2006/relationships/hyperlink" Target="http://search.ligazakon.ua/l_doc2.nsf/link1/RE33662.html" TargetMode="External"/><Relationship Id="rId34" Type="http://schemas.openxmlformats.org/officeDocument/2006/relationships/hyperlink" Target="http://search.ligazakon.ua/l_doc2.nsf/link1/RE33662.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ligazakon.ua/l_doc2.nsf/link1/RE33662.html" TargetMode="External"/><Relationship Id="rId20" Type="http://schemas.openxmlformats.org/officeDocument/2006/relationships/hyperlink" Target="http://search.ligazakon.ua/l_doc2.nsf/link1/RE33662.html" TargetMode="External"/><Relationship Id="rId29" Type="http://schemas.openxmlformats.org/officeDocument/2006/relationships/hyperlink" Target="http://search.ligazakon.ua/l_doc2.nsf/link1/RE33662.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RE33662.html" TargetMode="External"/><Relationship Id="rId24" Type="http://schemas.openxmlformats.org/officeDocument/2006/relationships/hyperlink" Target="http://search.ligazakon.ua/l_doc2.nsf/link1/RE33662.html" TargetMode="External"/><Relationship Id="rId32" Type="http://schemas.openxmlformats.org/officeDocument/2006/relationships/hyperlink" Target="http://search.ligazakon.ua/l_doc2.nsf/link1/RE33662.html" TargetMode="External"/><Relationship Id="rId37" Type="http://schemas.openxmlformats.org/officeDocument/2006/relationships/hyperlink" Target="http://search.ligazakon.ua/l_doc2.nsf/link1/RE33662.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RE33662.html" TargetMode="External"/><Relationship Id="rId23" Type="http://schemas.openxmlformats.org/officeDocument/2006/relationships/hyperlink" Target="http://search.ligazakon.ua/l_doc2.nsf/link1/RE33662.html" TargetMode="External"/><Relationship Id="rId28" Type="http://schemas.openxmlformats.org/officeDocument/2006/relationships/hyperlink" Target="http://search.ligazakon.ua/l_doc2.nsf/link1/RE33662.html" TargetMode="External"/><Relationship Id="rId36" Type="http://schemas.openxmlformats.org/officeDocument/2006/relationships/hyperlink" Target="http://search.ligazakon.ua/l_doc2.nsf/link1/RE33662.html" TargetMode="External"/><Relationship Id="rId10" Type="http://schemas.openxmlformats.org/officeDocument/2006/relationships/hyperlink" Target="https://zakon.rada.gov.ua/laws/show/v0378500-16" TargetMode="External"/><Relationship Id="rId19" Type="http://schemas.openxmlformats.org/officeDocument/2006/relationships/hyperlink" Target="http://search.ligazakon.ua/l_doc2.nsf/link1/RE33662.html" TargetMode="External"/><Relationship Id="rId31" Type="http://schemas.openxmlformats.org/officeDocument/2006/relationships/hyperlink" Target="http://search.ligazakon.ua/l_doc2.nsf/link1/RE33662.html" TargetMode="External"/><Relationship Id="rId4" Type="http://schemas.openxmlformats.org/officeDocument/2006/relationships/settings" Target="settings.xml"/><Relationship Id="rId9" Type="http://schemas.openxmlformats.org/officeDocument/2006/relationships/hyperlink" Target="http://search.ligazakon.ua/l_doc2.nsf/link1/T141702.html" TargetMode="External"/><Relationship Id="rId14" Type="http://schemas.openxmlformats.org/officeDocument/2006/relationships/hyperlink" Target="http://search.ligazakon.ua/l_doc2.nsf/link1/RE33662.html" TargetMode="External"/><Relationship Id="rId22" Type="http://schemas.openxmlformats.org/officeDocument/2006/relationships/hyperlink" Target="http://search.ligazakon.ua/l_doc2.nsf/link1/RE33662.html" TargetMode="External"/><Relationship Id="rId27" Type="http://schemas.openxmlformats.org/officeDocument/2006/relationships/hyperlink" Target="http://search.ligazakon.ua/l_doc2.nsf/link1/RE33662.html" TargetMode="External"/><Relationship Id="rId30" Type="http://schemas.openxmlformats.org/officeDocument/2006/relationships/hyperlink" Target="http://search.ligazakon.ua/l_doc2.nsf/link1/RE33662.html" TargetMode="External"/><Relationship Id="rId35" Type="http://schemas.openxmlformats.org/officeDocument/2006/relationships/hyperlink" Target="http://search.ligazakon.ua/l_doc2.nsf/link1/RE33662.html" TargetMode="External"/><Relationship Id="rId8" Type="http://schemas.openxmlformats.org/officeDocument/2006/relationships/hyperlink" Target="http://search.ligazakon.ua/l_doc2.nsf/link1/T141702.html" TargetMode="External"/><Relationship Id="rId3" Type="http://schemas.openxmlformats.org/officeDocument/2006/relationships/styles" Target="styles.xml"/><Relationship Id="rId12" Type="http://schemas.openxmlformats.org/officeDocument/2006/relationships/hyperlink" Target="http://search.ligazakon.ua/l_doc2.nsf/link1/RE33662.html" TargetMode="External"/><Relationship Id="rId17" Type="http://schemas.openxmlformats.org/officeDocument/2006/relationships/hyperlink" Target="http://search.ligazakon.ua/l_doc2.nsf/link1/RE33662.html" TargetMode="External"/><Relationship Id="rId25" Type="http://schemas.openxmlformats.org/officeDocument/2006/relationships/hyperlink" Target="http://search.ligazakon.ua/l_doc2.nsf/link1/RE33662.html" TargetMode="External"/><Relationship Id="rId33" Type="http://schemas.openxmlformats.org/officeDocument/2006/relationships/hyperlink" Target="http://search.ligazakon.ua/l_doc2.nsf/link1/RE33662.html" TargetMode="External"/><Relationship Id="rId38" Type="http://schemas.openxmlformats.org/officeDocument/2006/relationships/hyperlink" Target="http://search.ligazakon.ua/l_doc2.nsf/link1/RE3366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4168-9ABB-4909-BA3F-058F22E7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3017</Words>
  <Characters>17199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cp:lastPrinted>2020-01-17T14:28:00Z</cp:lastPrinted>
  <dcterms:created xsi:type="dcterms:W3CDTF">2020-01-24T09:39:00Z</dcterms:created>
  <dcterms:modified xsi:type="dcterms:W3CDTF">2020-01-24T09:39:00Z</dcterms:modified>
</cp:coreProperties>
</file>