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F1" w:rsidRPr="002E3FEB" w:rsidRDefault="00BD58F1" w:rsidP="00BD58F1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2E3FEB">
        <w:rPr>
          <w:b/>
          <w:caps/>
          <w:sz w:val="28"/>
          <w:szCs w:val="28"/>
          <w:lang w:val="uk-UA"/>
        </w:rPr>
        <w:t xml:space="preserve">Звіт </w:t>
      </w:r>
    </w:p>
    <w:p w:rsidR="00BD58F1" w:rsidRPr="002E3FEB" w:rsidRDefault="00BD58F1" w:rsidP="00BD58F1">
      <w:pPr>
        <w:jc w:val="center"/>
        <w:rPr>
          <w:sz w:val="28"/>
          <w:szCs w:val="28"/>
          <w:lang w:val="uk-UA"/>
        </w:rPr>
      </w:pPr>
      <w:r w:rsidRPr="002E3FEB">
        <w:rPr>
          <w:sz w:val="28"/>
          <w:szCs w:val="28"/>
          <w:lang w:val="uk-UA"/>
        </w:rPr>
        <w:t xml:space="preserve">про </w:t>
      </w:r>
      <w:r w:rsidR="00C318BA" w:rsidRPr="002E3FEB">
        <w:rPr>
          <w:sz w:val="28"/>
          <w:szCs w:val="28"/>
          <w:lang w:val="uk-UA"/>
        </w:rPr>
        <w:t xml:space="preserve">періодичне </w:t>
      </w:r>
      <w:r w:rsidRPr="002E3FEB">
        <w:rPr>
          <w:sz w:val="28"/>
          <w:szCs w:val="28"/>
          <w:lang w:val="uk-UA"/>
        </w:rPr>
        <w:t xml:space="preserve"> відстеження результативності регуляторного акта –</w:t>
      </w:r>
    </w:p>
    <w:p w:rsidR="00BD58F1" w:rsidRPr="002E3FEB" w:rsidRDefault="00BD58F1" w:rsidP="00BD58F1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3FEB">
        <w:rPr>
          <w:rFonts w:ascii="Times New Roman" w:hAnsi="Times New Roman"/>
          <w:sz w:val="28"/>
          <w:szCs w:val="28"/>
          <w:lang w:val="uk-UA"/>
        </w:rPr>
        <w:t xml:space="preserve">рішення Національної комісії з цінних паперів та фондового ринку від </w:t>
      </w:r>
      <w:r w:rsidR="00624C8B" w:rsidRPr="002E3FEB">
        <w:rPr>
          <w:rFonts w:ascii="Times New Roman" w:hAnsi="Times New Roman"/>
          <w:sz w:val="28"/>
          <w:szCs w:val="28"/>
          <w:lang w:val="uk-UA"/>
        </w:rPr>
        <w:t>05.10</w:t>
      </w:r>
      <w:r w:rsidRPr="002E3FEB">
        <w:rPr>
          <w:rFonts w:ascii="Times New Roman" w:hAnsi="Times New Roman"/>
          <w:sz w:val="28"/>
          <w:szCs w:val="28"/>
          <w:lang w:val="uk-UA"/>
        </w:rPr>
        <w:t xml:space="preserve">.2017 № </w:t>
      </w:r>
      <w:r w:rsidR="00624C8B" w:rsidRPr="002E3FEB">
        <w:rPr>
          <w:rFonts w:ascii="Times New Roman" w:hAnsi="Times New Roman"/>
          <w:sz w:val="28"/>
          <w:szCs w:val="28"/>
          <w:lang w:val="uk-UA"/>
        </w:rPr>
        <w:t>739</w:t>
      </w:r>
      <w:r w:rsidRPr="002E3FEB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624C8B" w:rsidRPr="002E3FEB">
        <w:rPr>
          <w:rFonts w:ascii="Times New Roman" w:hAnsi="Times New Roman"/>
          <w:sz w:val="28"/>
          <w:szCs w:val="28"/>
          <w:lang w:val="uk-UA"/>
        </w:rPr>
        <w:t>внесення змін до Положення про порядок розміщення, обігу та викупу цінних паперів інституту спільного інвестування»</w:t>
      </w:r>
    </w:p>
    <w:p w:rsidR="00BD58F1" w:rsidRPr="002E3FEB" w:rsidRDefault="00BD58F1" w:rsidP="00BD58F1">
      <w:pPr>
        <w:spacing w:line="360" w:lineRule="auto"/>
        <w:ind w:left="4140" w:right="-81"/>
        <w:rPr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219"/>
        <w:gridCol w:w="6660"/>
      </w:tblGrid>
      <w:tr w:rsidR="00BD58F1" w:rsidRPr="002E3FEB" w:rsidTr="002F1D1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Вид та назва регуляторного акта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624C8B" w:rsidP="002F1D10">
            <w:pPr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Рішення Національної комісії з цінних паперів та фондового ринку від 05.10.2017 № 739 «Про внесення змін до Положення про порядок розміщення, обігу та викупу цінних паперів інституту спільного інвестування»</w:t>
            </w:r>
            <w:r w:rsidR="00C318BA" w:rsidRPr="002E3FEB">
              <w:rPr>
                <w:sz w:val="28"/>
                <w:szCs w:val="28"/>
                <w:lang w:val="uk-UA"/>
              </w:rPr>
              <w:t>,</w:t>
            </w:r>
            <w:r w:rsidR="00C318BA" w:rsidRPr="002E3FEB">
              <w:rPr>
                <w:sz w:val="28"/>
                <w:szCs w:val="28"/>
                <w:lang w:val="uk-UA" w:eastAsia="uk-UA"/>
              </w:rPr>
              <w:t xml:space="preserve"> з</w:t>
            </w:r>
            <w:r w:rsidR="00C318BA" w:rsidRPr="002E3FEB">
              <w:rPr>
                <w:bCs/>
                <w:sz w:val="28"/>
                <w:szCs w:val="28"/>
                <w:lang w:val="uk-UA" w:eastAsia="uk-UA"/>
              </w:rPr>
              <w:t>ареєстроване в Міністерстві юстиції України 26.10.2017 року за</w:t>
            </w:r>
            <w:r w:rsidR="00C318BA" w:rsidRPr="002E3FEB">
              <w:rPr>
                <w:bCs/>
                <w:sz w:val="28"/>
                <w:szCs w:val="28"/>
                <w:lang w:val="uk-UA" w:eastAsia="uk-UA"/>
              </w:rPr>
              <w:br/>
              <w:t>№ 1312/31180</w:t>
            </w:r>
          </w:p>
        </w:tc>
      </w:tr>
      <w:tr w:rsidR="00BD58F1" w:rsidRPr="002E3FEB" w:rsidTr="002F1D1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Назва виконавця заходів з  відстеження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Національна комісія з цінних паперів та фондового ринку (далі - Комісія)</w:t>
            </w:r>
          </w:p>
        </w:tc>
      </w:tr>
      <w:tr w:rsidR="00BD58F1" w:rsidRPr="002E3FEB" w:rsidTr="002F1D1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Цілі прийняття акта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031" w:rsidRPr="002E3FEB" w:rsidRDefault="00BD58F1" w:rsidP="002F1D10">
            <w:pPr>
              <w:pStyle w:val="3"/>
              <w:widowControl w:val="0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Цілями прийняття регуляторного акта було</w:t>
            </w:r>
            <w:r w:rsidR="00FE5031" w:rsidRPr="002E3FEB">
              <w:rPr>
                <w:sz w:val="28"/>
                <w:szCs w:val="28"/>
                <w:lang w:val="uk-UA"/>
              </w:rPr>
              <w:t>:</w:t>
            </w:r>
          </w:p>
          <w:p w:rsidR="00B41CDC" w:rsidRPr="002E3FEB" w:rsidRDefault="00B41CDC" w:rsidP="002F1D10">
            <w:pPr>
              <w:pStyle w:val="3"/>
              <w:widowControl w:val="0"/>
              <w:spacing w:after="0"/>
              <w:ind w:left="0" w:firstLine="709"/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можливість доопрацювання пакетів документів (Звітів) та їх повторного подання без ліквідації фондів</w:t>
            </w:r>
            <w:r w:rsidR="00FE5031" w:rsidRPr="002E3FEB">
              <w:rPr>
                <w:sz w:val="28"/>
                <w:szCs w:val="28"/>
                <w:lang w:val="uk-UA"/>
              </w:rPr>
              <w:t>;</w:t>
            </w:r>
          </w:p>
          <w:p w:rsidR="00B41CDC" w:rsidRPr="002E3FEB" w:rsidRDefault="00B41CDC" w:rsidP="002F1D1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підтримка сталого розвитку пайових інститутів спільного інвестування;</w:t>
            </w:r>
          </w:p>
          <w:p w:rsidR="00BD58F1" w:rsidRPr="002E3FEB" w:rsidRDefault="00FF4B22" w:rsidP="002F1D1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 xml:space="preserve">            </w:t>
            </w:r>
            <w:r w:rsidR="00B41CDC" w:rsidRPr="002E3FEB">
              <w:rPr>
                <w:sz w:val="28"/>
                <w:szCs w:val="28"/>
                <w:lang w:val="uk-UA"/>
              </w:rPr>
              <w:t>забезпечення обов’язку відповідності ф</w:t>
            </w:r>
            <w:r w:rsidR="00B41CDC" w:rsidRPr="002E3FEB">
              <w:rPr>
                <w:color w:val="000000"/>
                <w:sz w:val="28"/>
                <w:szCs w:val="28"/>
                <w:lang w:val="uk-UA"/>
              </w:rPr>
              <w:t>інансової звітності КУА вимогам МСФЗ.</w:t>
            </w:r>
          </w:p>
        </w:tc>
      </w:tr>
      <w:tr w:rsidR="00BD58F1" w:rsidRPr="002E3FEB" w:rsidTr="002F1D1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Строк виконання заходів з відстеження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pStyle w:val="a6"/>
              <w:ind w:left="0" w:right="141"/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з 05.02.20</w:t>
            </w:r>
            <w:r w:rsidR="00934F47" w:rsidRPr="002E3FEB">
              <w:rPr>
                <w:sz w:val="28"/>
                <w:szCs w:val="28"/>
                <w:lang w:val="uk-UA"/>
              </w:rPr>
              <w:t>20</w:t>
            </w:r>
            <w:r w:rsidRPr="002E3FEB">
              <w:rPr>
                <w:sz w:val="28"/>
                <w:szCs w:val="28"/>
                <w:lang w:val="uk-UA"/>
              </w:rPr>
              <w:t xml:space="preserve"> по </w:t>
            </w:r>
            <w:r w:rsidR="00934F47" w:rsidRPr="002E3FEB">
              <w:rPr>
                <w:sz w:val="28"/>
                <w:szCs w:val="28"/>
                <w:lang w:val="uk-UA"/>
              </w:rPr>
              <w:t>20</w:t>
            </w:r>
            <w:r w:rsidRPr="002E3FEB">
              <w:rPr>
                <w:sz w:val="28"/>
                <w:szCs w:val="28"/>
                <w:lang w:val="uk-UA"/>
              </w:rPr>
              <w:t>.02.20</w:t>
            </w:r>
            <w:r w:rsidR="00934F47" w:rsidRPr="002E3FEB">
              <w:rPr>
                <w:sz w:val="28"/>
                <w:szCs w:val="28"/>
                <w:lang w:val="uk-UA"/>
              </w:rPr>
              <w:t>20</w:t>
            </w:r>
          </w:p>
        </w:tc>
      </w:tr>
      <w:tr w:rsidR="00BD58F1" w:rsidRPr="002E3FEB" w:rsidTr="002F1D1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Тип відстеження (базове, повторне або періодичне)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934F47" w:rsidP="002F1D10">
            <w:pPr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Періодичне</w:t>
            </w:r>
          </w:p>
        </w:tc>
      </w:tr>
      <w:tr w:rsidR="00BD58F1" w:rsidRPr="002E3FEB" w:rsidTr="002F1D1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pStyle w:val="a5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Статистичний метод та метод аналізу зауважень та пропозицій, що надходили від суб’єктів господарювання.</w:t>
            </w:r>
          </w:p>
        </w:tc>
      </w:tr>
      <w:tr w:rsidR="00BD58F1" w:rsidRPr="002E3FEB" w:rsidTr="002F1D1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 xml:space="preserve">Дані та припущення, на основі яких відстежувалася результативність, а також способи одержання даних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 xml:space="preserve">Відстеження результативності регуляторного акта здійснювалося шляхом аналізу офіційної статистичної інформації щодо кількості </w:t>
            </w:r>
            <w:r w:rsidR="00FE5031" w:rsidRPr="002E3FEB">
              <w:rPr>
                <w:sz w:val="28"/>
                <w:szCs w:val="28"/>
                <w:lang w:val="uk-UA"/>
              </w:rPr>
              <w:t>інститутів спільного інвестування</w:t>
            </w:r>
            <w:r w:rsidRPr="002E3FEB">
              <w:rPr>
                <w:sz w:val="28"/>
                <w:szCs w:val="28"/>
                <w:lang w:val="uk-UA"/>
              </w:rPr>
              <w:t>, на яких поширюватиметься дія акта.</w:t>
            </w:r>
          </w:p>
          <w:p w:rsidR="00BD58F1" w:rsidRPr="002E3FEB" w:rsidRDefault="00BD58F1" w:rsidP="002F1D10">
            <w:pPr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Рівень поінформованості суб’єктів господарювання з основних положень акта є середній, оскільки регуляторний акт розміщу</w:t>
            </w:r>
            <w:r w:rsidR="002E3FEB" w:rsidRPr="002E3FEB">
              <w:rPr>
                <w:sz w:val="28"/>
                <w:szCs w:val="28"/>
                <w:lang w:val="uk-UA"/>
              </w:rPr>
              <w:t>вався</w:t>
            </w:r>
            <w:r w:rsidRPr="002E3FEB">
              <w:rPr>
                <w:sz w:val="28"/>
                <w:szCs w:val="28"/>
                <w:lang w:val="uk-UA"/>
              </w:rPr>
              <w:t xml:space="preserve"> на офіційному вебсайті Комісії – </w:t>
            </w:r>
            <w:hyperlink r:id="rId6" w:history="1">
              <w:r w:rsidRPr="002E3FEB">
                <w:rPr>
                  <w:rStyle w:val="aa"/>
                  <w:sz w:val="28"/>
                  <w:szCs w:val="28"/>
                  <w:lang w:val="uk-UA"/>
                </w:rPr>
                <w:t>http://www.nssmc.gov.ua</w:t>
              </w:r>
            </w:hyperlink>
            <w:r w:rsidRPr="002E3FEB">
              <w:rPr>
                <w:sz w:val="28"/>
                <w:szCs w:val="28"/>
                <w:lang w:val="uk-UA"/>
              </w:rPr>
              <w:t xml:space="preserve">. </w:t>
            </w:r>
          </w:p>
          <w:p w:rsidR="00BD58F1" w:rsidRPr="002E3FEB" w:rsidRDefault="00BD58F1" w:rsidP="002F1D10">
            <w:pPr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 xml:space="preserve">Значення інших показників результативності були отримані методом обробки зведених даних щодо кількості скарг та пропозицій від </w:t>
            </w:r>
            <w:r w:rsidR="00FE5031" w:rsidRPr="002E3FEB">
              <w:rPr>
                <w:sz w:val="28"/>
                <w:szCs w:val="28"/>
                <w:lang w:val="uk-UA"/>
              </w:rPr>
              <w:t>інститутів спільного інвестування.</w:t>
            </w:r>
          </w:p>
        </w:tc>
      </w:tr>
      <w:tr w:rsidR="00BD58F1" w:rsidRPr="002E3FEB" w:rsidTr="002F1D1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 xml:space="preserve">Кількісні та якісні </w:t>
            </w:r>
            <w:r w:rsidRPr="002E3FEB">
              <w:rPr>
                <w:sz w:val="28"/>
                <w:szCs w:val="28"/>
                <w:lang w:val="uk-UA"/>
              </w:rPr>
              <w:lastRenderedPageBreak/>
              <w:t>значення показників результативності акта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pStyle w:val="2"/>
              <w:spacing w:after="0" w:line="240" w:lineRule="auto"/>
              <w:ind w:left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E3FEB">
              <w:rPr>
                <w:bCs/>
                <w:color w:val="000000"/>
                <w:sz w:val="28"/>
                <w:szCs w:val="28"/>
                <w:u w:val="single"/>
                <w:lang w:val="uk-UA"/>
              </w:rPr>
              <w:lastRenderedPageBreak/>
              <w:t>1) Досягнення цілей прийняття акта</w:t>
            </w:r>
            <w:r w:rsidRPr="002E3FEB">
              <w:rPr>
                <w:bCs/>
                <w:color w:val="000000"/>
                <w:sz w:val="28"/>
                <w:szCs w:val="28"/>
                <w:lang w:val="uk-UA"/>
              </w:rPr>
              <w:t xml:space="preserve"> – цілі прийняття </w:t>
            </w:r>
            <w:r w:rsidRPr="002E3FEB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регуляторного акта було досягнуто</w:t>
            </w:r>
            <w:r w:rsidR="00FE5031" w:rsidRPr="002E3FEB">
              <w:rPr>
                <w:bCs/>
                <w:color w:val="000000"/>
                <w:sz w:val="28"/>
                <w:szCs w:val="28"/>
                <w:lang w:val="uk-UA"/>
              </w:rPr>
              <w:t>:</w:t>
            </w:r>
            <w:r w:rsidRPr="002E3FEB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E5031" w:rsidRPr="002E3FEB" w:rsidRDefault="00FE5031" w:rsidP="002F1D10">
            <w:pPr>
              <w:pStyle w:val="3"/>
              <w:widowControl w:val="0"/>
              <w:spacing w:after="0"/>
              <w:ind w:left="0" w:firstLine="709"/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інститутам спільного інвестування надано можливість доопрацювання пакетів документів (Звітів) та їх повторного подання без ліквідації фондів;</w:t>
            </w:r>
            <w:r w:rsidRPr="002E3FEB">
              <w:rPr>
                <w:color w:val="000000"/>
                <w:spacing w:val="5"/>
                <w:sz w:val="28"/>
                <w:szCs w:val="28"/>
                <w:lang w:val="uk-UA"/>
              </w:rPr>
              <w:t xml:space="preserve"> </w:t>
            </w:r>
          </w:p>
          <w:p w:rsidR="00FE5031" w:rsidRPr="002E3FEB" w:rsidRDefault="00FE5031" w:rsidP="002F1D1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з прийняттям регуляторного акта надана можливість сталого розвитку пайових інститутів спільного інвестування;</w:t>
            </w:r>
          </w:p>
          <w:p w:rsidR="00BD58F1" w:rsidRPr="002E3FEB" w:rsidRDefault="00FE5031" w:rsidP="002F1D10">
            <w:pPr>
              <w:pStyle w:val="2"/>
              <w:spacing w:after="0" w:line="240" w:lineRule="auto"/>
              <w:ind w:left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 xml:space="preserve">            забезпечено обов’язок відповідності ф</w:t>
            </w:r>
            <w:r w:rsidRPr="002E3FEB">
              <w:rPr>
                <w:color w:val="000000"/>
                <w:sz w:val="28"/>
                <w:szCs w:val="28"/>
                <w:lang w:val="uk-UA"/>
              </w:rPr>
              <w:t>інансової звітності КУА вимогам МСФЗ.</w:t>
            </w:r>
          </w:p>
          <w:p w:rsidR="00BD58F1" w:rsidRPr="002E3FEB" w:rsidRDefault="00BD58F1" w:rsidP="002F1D10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2E3FEB">
              <w:rPr>
                <w:bCs/>
                <w:color w:val="000000"/>
                <w:sz w:val="28"/>
                <w:szCs w:val="28"/>
                <w:u w:val="single"/>
                <w:lang w:val="uk-UA"/>
              </w:rPr>
              <w:t>2) Р</w:t>
            </w:r>
            <w:r w:rsidRPr="002E3FEB">
              <w:rPr>
                <w:color w:val="000000"/>
                <w:sz w:val="28"/>
                <w:szCs w:val="28"/>
                <w:u w:val="single"/>
                <w:lang w:val="uk-UA"/>
              </w:rPr>
              <w:t>озмір надходжень до державного та місцевих бюджетів і державних цільових фондів, пов’язаних з дією акта</w:t>
            </w:r>
            <w:r w:rsidRPr="002E3FE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E3FEB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– не змінився, </w:t>
            </w:r>
            <w:r w:rsidRPr="002E3FEB">
              <w:rPr>
                <w:sz w:val="28"/>
                <w:szCs w:val="28"/>
                <w:lang w:val="uk-UA"/>
              </w:rPr>
              <w:t>оскільки актом не передбачено установлення будь-якої плати до відповідних бюджетів та фондів</w:t>
            </w:r>
            <w:r w:rsidRPr="002E3FEB"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  <w:p w:rsidR="005259A0" w:rsidRPr="002E3FEB" w:rsidRDefault="00BD58F1" w:rsidP="002F1D10">
            <w:pPr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 xml:space="preserve">3) </w:t>
            </w:r>
            <w:r w:rsidRPr="002E3FEB">
              <w:rPr>
                <w:sz w:val="28"/>
                <w:szCs w:val="28"/>
                <w:u w:val="single"/>
                <w:lang w:val="uk-UA"/>
              </w:rPr>
              <w:t>Кількість суб’єктів господарювання та/або фізичних осіб, на яких поширюватиметься дія акта</w:t>
            </w:r>
            <w:r w:rsidRPr="002E3FEB">
              <w:rPr>
                <w:sz w:val="28"/>
                <w:szCs w:val="28"/>
                <w:lang w:val="uk-UA"/>
              </w:rPr>
              <w:t xml:space="preserve"> - дія акту поширюється </w:t>
            </w:r>
            <w:r w:rsidR="00FE5031" w:rsidRPr="002E3FEB">
              <w:rPr>
                <w:sz w:val="28"/>
                <w:szCs w:val="28"/>
                <w:lang w:val="uk-UA"/>
              </w:rPr>
              <w:t xml:space="preserve">на </w:t>
            </w:r>
            <w:r w:rsidR="005259A0" w:rsidRPr="002E3FEB">
              <w:rPr>
                <w:sz w:val="28"/>
                <w:szCs w:val="28"/>
                <w:lang w:val="uk-UA"/>
              </w:rPr>
              <w:t>29</w:t>
            </w:r>
            <w:r w:rsidR="00934F47" w:rsidRPr="002E3FEB">
              <w:rPr>
                <w:sz w:val="28"/>
                <w:szCs w:val="28"/>
                <w:lang w:val="uk-UA"/>
              </w:rPr>
              <w:t>8</w:t>
            </w:r>
            <w:r w:rsidR="005259A0" w:rsidRPr="002E3FEB">
              <w:rPr>
                <w:sz w:val="28"/>
                <w:szCs w:val="28"/>
                <w:lang w:val="uk-UA"/>
              </w:rPr>
              <w:t xml:space="preserve"> компаній з управління активами (станом на </w:t>
            </w:r>
            <w:r w:rsidR="00934F47" w:rsidRPr="002E3FEB">
              <w:rPr>
                <w:sz w:val="28"/>
                <w:szCs w:val="28"/>
                <w:lang w:val="uk-UA"/>
              </w:rPr>
              <w:t>20.02.</w:t>
            </w:r>
            <w:r w:rsidR="005259A0" w:rsidRPr="002E3FEB">
              <w:rPr>
                <w:sz w:val="28"/>
                <w:szCs w:val="28"/>
                <w:lang w:val="uk-UA"/>
              </w:rPr>
              <w:t>20</w:t>
            </w:r>
            <w:r w:rsidR="00934F47" w:rsidRPr="002E3FEB">
              <w:rPr>
                <w:sz w:val="28"/>
                <w:szCs w:val="28"/>
                <w:lang w:val="uk-UA"/>
              </w:rPr>
              <w:t>20</w:t>
            </w:r>
            <w:r w:rsidR="005259A0" w:rsidRPr="002E3FEB">
              <w:rPr>
                <w:sz w:val="28"/>
                <w:szCs w:val="28"/>
                <w:lang w:val="uk-UA"/>
              </w:rPr>
              <w:t xml:space="preserve"> року). </w:t>
            </w:r>
          </w:p>
          <w:p w:rsidR="00BD58F1" w:rsidRPr="002E3FEB" w:rsidRDefault="00BD58F1" w:rsidP="002F1D10">
            <w:pPr>
              <w:ind w:right="-8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E3FEB">
              <w:rPr>
                <w:color w:val="000000"/>
                <w:sz w:val="28"/>
                <w:szCs w:val="28"/>
                <w:lang w:val="uk-UA"/>
              </w:rPr>
              <w:t xml:space="preserve">4) </w:t>
            </w:r>
            <w:r w:rsidRPr="002E3FEB">
              <w:rPr>
                <w:color w:val="000000"/>
                <w:sz w:val="28"/>
                <w:szCs w:val="28"/>
                <w:u w:val="single"/>
                <w:lang w:val="uk-UA"/>
              </w:rPr>
              <w:t>Розмір коштів і час, що витрачатимуться суб’єктами господарювання та/або фізичними особами, пов’язаними з виконанням вимог регуляторного акта - в</w:t>
            </w:r>
            <w:r w:rsidRPr="002E3FEB">
              <w:rPr>
                <w:color w:val="000000"/>
                <w:sz w:val="28"/>
                <w:szCs w:val="28"/>
                <w:lang w:val="uk-UA"/>
              </w:rPr>
              <w:t>иконання вимог даного регуляторного акту не призв</w:t>
            </w:r>
            <w:r w:rsidR="002E3FEB" w:rsidRPr="002E3FEB">
              <w:rPr>
                <w:color w:val="000000"/>
                <w:sz w:val="28"/>
                <w:szCs w:val="28"/>
                <w:lang w:val="uk-UA"/>
              </w:rPr>
              <w:t>ів</w:t>
            </w:r>
            <w:r w:rsidRPr="002E3FEB">
              <w:rPr>
                <w:color w:val="000000"/>
                <w:sz w:val="28"/>
                <w:szCs w:val="28"/>
                <w:lang w:val="uk-UA"/>
              </w:rPr>
              <w:t xml:space="preserve"> до додаткових витрат коштів та часу для суб’єктів господарювання. </w:t>
            </w:r>
          </w:p>
          <w:p w:rsidR="00BD58F1" w:rsidRPr="002E3FEB" w:rsidRDefault="00BD58F1" w:rsidP="002F1D1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E3FEB">
              <w:rPr>
                <w:color w:val="000000"/>
                <w:sz w:val="28"/>
                <w:szCs w:val="28"/>
                <w:lang w:val="uk-UA"/>
              </w:rPr>
              <w:t xml:space="preserve">5) </w:t>
            </w:r>
            <w:r w:rsidRPr="002E3FEB">
              <w:rPr>
                <w:color w:val="000000"/>
                <w:sz w:val="28"/>
                <w:szCs w:val="28"/>
                <w:u w:val="single"/>
                <w:lang w:val="uk-UA"/>
              </w:rPr>
              <w:t>Рівень поінформованості суб’єктів господарювання та/або фізичних осіб з основних положень акта</w:t>
            </w:r>
            <w:r w:rsidRPr="002E3FEB">
              <w:rPr>
                <w:color w:val="000000"/>
                <w:sz w:val="28"/>
                <w:szCs w:val="28"/>
                <w:lang w:val="uk-UA"/>
              </w:rPr>
              <w:t xml:space="preserve"> – середній. Даний проект регуляторного акта, з метою громадського обговорення було </w:t>
            </w:r>
            <w:r w:rsidRPr="002E3FEB">
              <w:rPr>
                <w:rStyle w:val="spelle"/>
                <w:color w:val="000000"/>
                <w:sz w:val="28"/>
                <w:szCs w:val="28"/>
                <w:lang w:val="uk-UA"/>
              </w:rPr>
              <w:t>оприлюднено</w:t>
            </w:r>
            <w:r w:rsidRPr="002E3FEB">
              <w:rPr>
                <w:color w:val="000000"/>
                <w:sz w:val="28"/>
                <w:szCs w:val="28"/>
                <w:lang w:val="uk-UA"/>
              </w:rPr>
              <w:t xml:space="preserve"> на офіційному </w:t>
            </w:r>
            <w:r w:rsidRPr="002E3FEB">
              <w:rPr>
                <w:rStyle w:val="spelle"/>
                <w:color w:val="000000"/>
                <w:sz w:val="28"/>
                <w:szCs w:val="28"/>
                <w:lang w:val="uk-UA"/>
              </w:rPr>
              <w:t>веб-сайті</w:t>
            </w:r>
            <w:r w:rsidRPr="002E3FEB">
              <w:rPr>
                <w:color w:val="000000"/>
                <w:sz w:val="28"/>
                <w:szCs w:val="28"/>
                <w:lang w:val="uk-UA"/>
              </w:rPr>
              <w:t xml:space="preserve"> Комісії.</w:t>
            </w:r>
          </w:p>
        </w:tc>
      </w:tr>
      <w:tr w:rsidR="00BD58F1" w:rsidRPr="002E3FEB" w:rsidTr="002F1D1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lastRenderedPageBreak/>
              <w:t xml:space="preserve">9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Оцінка результатів реалізації регуляторного акта та ступеня досягнення визначених цілей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F1" w:rsidRPr="002E3FEB" w:rsidRDefault="00BD58F1" w:rsidP="002F1D10">
            <w:pPr>
              <w:ind w:firstLine="254"/>
              <w:jc w:val="both"/>
              <w:rPr>
                <w:sz w:val="28"/>
                <w:szCs w:val="28"/>
                <w:lang w:val="uk-UA"/>
              </w:rPr>
            </w:pPr>
            <w:r w:rsidRPr="002E3FEB">
              <w:rPr>
                <w:sz w:val="28"/>
                <w:szCs w:val="28"/>
                <w:lang w:val="uk-UA"/>
              </w:rPr>
              <w:t>Цілі державного регулювання досягнуто повністю.</w:t>
            </w:r>
          </w:p>
          <w:p w:rsidR="00BD58F1" w:rsidRPr="002E3FEB" w:rsidRDefault="00BD58F1" w:rsidP="002F1D10">
            <w:pPr>
              <w:pStyle w:val="2"/>
              <w:spacing w:after="0" w:line="240" w:lineRule="auto"/>
              <w:ind w:left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D58F1" w:rsidRPr="002E3FEB" w:rsidRDefault="00BD58F1" w:rsidP="00BD58F1">
      <w:pPr>
        <w:jc w:val="both"/>
        <w:rPr>
          <w:b/>
          <w:sz w:val="28"/>
          <w:szCs w:val="28"/>
          <w:lang w:val="uk-UA"/>
        </w:rPr>
      </w:pPr>
    </w:p>
    <w:p w:rsidR="00BD58F1" w:rsidRPr="002E3FEB" w:rsidRDefault="00BD58F1" w:rsidP="00BD58F1">
      <w:pPr>
        <w:ind w:firstLine="708"/>
        <w:rPr>
          <w:b/>
          <w:sz w:val="28"/>
          <w:szCs w:val="28"/>
          <w:lang w:val="uk-UA"/>
        </w:rPr>
      </w:pPr>
    </w:p>
    <w:p w:rsidR="00BD58F1" w:rsidRPr="002E3FEB" w:rsidRDefault="00BD58F1" w:rsidP="00BD58F1">
      <w:pPr>
        <w:ind w:firstLine="708"/>
        <w:rPr>
          <w:b/>
          <w:sz w:val="28"/>
          <w:szCs w:val="28"/>
          <w:lang w:val="uk-UA"/>
        </w:rPr>
      </w:pPr>
    </w:p>
    <w:p w:rsidR="00BD58F1" w:rsidRPr="002E3FEB" w:rsidRDefault="00BD58F1" w:rsidP="00BD58F1">
      <w:pPr>
        <w:ind w:firstLine="708"/>
        <w:rPr>
          <w:sz w:val="28"/>
          <w:szCs w:val="28"/>
          <w:lang w:val="uk-UA"/>
        </w:rPr>
      </w:pPr>
      <w:r w:rsidRPr="002E3FEB">
        <w:rPr>
          <w:b/>
          <w:sz w:val="28"/>
          <w:szCs w:val="28"/>
          <w:lang w:val="uk-UA"/>
        </w:rPr>
        <w:t>Голова Комісії</w:t>
      </w:r>
      <w:r w:rsidRPr="002E3FEB">
        <w:rPr>
          <w:b/>
          <w:sz w:val="28"/>
          <w:szCs w:val="28"/>
          <w:lang w:val="uk-UA"/>
        </w:rPr>
        <w:tab/>
      </w:r>
      <w:r w:rsidRPr="002E3FEB">
        <w:rPr>
          <w:b/>
          <w:sz w:val="28"/>
          <w:szCs w:val="28"/>
          <w:lang w:val="uk-UA"/>
        </w:rPr>
        <w:tab/>
        <w:t xml:space="preserve">           </w:t>
      </w:r>
      <w:r w:rsidRPr="002E3FEB">
        <w:rPr>
          <w:b/>
          <w:sz w:val="28"/>
          <w:szCs w:val="28"/>
          <w:lang w:val="uk-UA"/>
        </w:rPr>
        <w:tab/>
      </w:r>
      <w:r w:rsidRPr="002E3FEB">
        <w:rPr>
          <w:b/>
          <w:sz w:val="28"/>
          <w:szCs w:val="28"/>
          <w:lang w:val="uk-UA"/>
        </w:rPr>
        <w:tab/>
      </w:r>
      <w:r w:rsidRPr="002E3FEB">
        <w:rPr>
          <w:b/>
          <w:sz w:val="28"/>
          <w:szCs w:val="28"/>
          <w:lang w:val="uk-UA"/>
        </w:rPr>
        <w:tab/>
      </w:r>
      <w:r w:rsidRPr="002E3FEB">
        <w:rPr>
          <w:b/>
          <w:sz w:val="28"/>
          <w:szCs w:val="28"/>
          <w:lang w:val="uk-UA"/>
        </w:rPr>
        <w:tab/>
      </w:r>
      <w:r w:rsidR="002E3FEB" w:rsidRPr="002E3FEB">
        <w:rPr>
          <w:b/>
          <w:sz w:val="28"/>
          <w:szCs w:val="28"/>
          <w:lang w:val="uk-UA"/>
        </w:rPr>
        <w:t>Тимур ХРОМАЄВ</w:t>
      </w:r>
      <w:r w:rsidRPr="002E3FEB">
        <w:rPr>
          <w:b/>
          <w:sz w:val="28"/>
          <w:szCs w:val="28"/>
          <w:lang w:val="uk-UA"/>
        </w:rPr>
        <w:t xml:space="preserve"> </w:t>
      </w:r>
    </w:p>
    <w:p w:rsidR="00BD58F1" w:rsidRPr="002E3FEB" w:rsidRDefault="00BD58F1" w:rsidP="00BD58F1">
      <w:pPr>
        <w:rPr>
          <w:sz w:val="28"/>
          <w:szCs w:val="28"/>
          <w:lang w:val="uk-UA"/>
        </w:rPr>
      </w:pPr>
    </w:p>
    <w:p w:rsidR="00BD58F1" w:rsidRPr="002E3FEB" w:rsidRDefault="00BD58F1" w:rsidP="00BD58F1">
      <w:pPr>
        <w:rPr>
          <w:sz w:val="28"/>
          <w:szCs w:val="28"/>
          <w:lang w:val="uk-UA"/>
        </w:rPr>
      </w:pPr>
    </w:p>
    <w:p w:rsidR="00BD58F1" w:rsidRPr="002E3FEB" w:rsidRDefault="00BD58F1" w:rsidP="00BD58F1">
      <w:pPr>
        <w:rPr>
          <w:sz w:val="28"/>
          <w:szCs w:val="28"/>
          <w:lang w:val="uk-UA"/>
        </w:rPr>
      </w:pPr>
    </w:p>
    <w:p w:rsidR="00BD58F1" w:rsidRPr="002E3FEB" w:rsidRDefault="00BD58F1" w:rsidP="00BD58F1">
      <w:pPr>
        <w:rPr>
          <w:sz w:val="16"/>
          <w:szCs w:val="16"/>
          <w:lang w:val="uk-UA"/>
        </w:rPr>
      </w:pPr>
      <w:r w:rsidRPr="002E3FEB">
        <w:rPr>
          <w:sz w:val="16"/>
          <w:szCs w:val="16"/>
          <w:lang w:val="uk-UA"/>
        </w:rPr>
        <w:t>Виконавець: Нечипорук О.М.</w:t>
      </w:r>
    </w:p>
    <w:p w:rsidR="00BD58F1" w:rsidRPr="002E3FEB" w:rsidRDefault="00BD58F1" w:rsidP="00BD58F1">
      <w:pPr>
        <w:rPr>
          <w:sz w:val="16"/>
          <w:szCs w:val="16"/>
          <w:lang w:val="uk-UA"/>
        </w:rPr>
      </w:pPr>
      <w:r w:rsidRPr="002E3FEB">
        <w:rPr>
          <w:sz w:val="16"/>
          <w:szCs w:val="16"/>
          <w:lang w:val="uk-UA"/>
        </w:rPr>
        <w:t>Телефон: 280 88 93</w:t>
      </w:r>
    </w:p>
    <w:p w:rsidR="00402F38" w:rsidRPr="002E3FEB" w:rsidRDefault="00402F38">
      <w:pPr>
        <w:rPr>
          <w:sz w:val="28"/>
          <w:szCs w:val="28"/>
        </w:rPr>
      </w:pPr>
    </w:p>
    <w:sectPr w:rsidR="00402F38" w:rsidRPr="002E3FEB" w:rsidSect="00BD58F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E0" w:rsidRDefault="000D4DE0">
      <w:r>
        <w:separator/>
      </w:r>
    </w:p>
  </w:endnote>
  <w:endnote w:type="continuationSeparator" w:id="0">
    <w:p w:rsidR="000D4DE0" w:rsidRDefault="000D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B6" w:rsidRDefault="007C7FB6" w:rsidP="00BD58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7FB6" w:rsidRDefault="007C7FB6" w:rsidP="00BD58F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B6" w:rsidRPr="009B4091" w:rsidRDefault="007C7FB6" w:rsidP="00BD58F1">
    <w:pPr>
      <w:pStyle w:val="a7"/>
      <w:framePr w:wrap="around" w:vAnchor="text" w:hAnchor="margin" w:xAlign="right" w:y="1"/>
      <w:rPr>
        <w:rStyle w:val="a8"/>
        <w:lang w:val="uk-UA"/>
      </w:rPr>
    </w:pPr>
  </w:p>
  <w:p w:rsidR="007C7FB6" w:rsidRDefault="007C7FB6" w:rsidP="00BD58F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E0" w:rsidRDefault="000D4DE0">
      <w:r>
        <w:separator/>
      </w:r>
    </w:p>
  </w:footnote>
  <w:footnote w:type="continuationSeparator" w:id="0">
    <w:p w:rsidR="000D4DE0" w:rsidRDefault="000D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B6" w:rsidRDefault="007C7FB6" w:rsidP="00BD58F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7FB6" w:rsidRDefault="007C7F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B6" w:rsidRDefault="007C7FB6" w:rsidP="00BD58F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7322">
      <w:rPr>
        <w:rStyle w:val="a8"/>
        <w:noProof/>
      </w:rPr>
      <w:t>2</w:t>
    </w:r>
    <w:r>
      <w:rPr>
        <w:rStyle w:val="a8"/>
      </w:rPr>
      <w:fldChar w:fldCharType="end"/>
    </w:r>
  </w:p>
  <w:p w:rsidR="007C7FB6" w:rsidRDefault="007C7FB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8F1"/>
    <w:rsid w:val="000D4DE0"/>
    <w:rsid w:val="00154E5D"/>
    <w:rsid w:val="002E3FEB"/>
    <w:rsid w:val="002F1D10"/>
    <w:rsid w:val="003A52F5"/>
    <w:rsid w:val="00402F38"/>
    <w:rsid w:val="005259A0"/>
    <w:rsid w:val="00624C8B"/>
    <w:rsid w:val="007C7FB6"/>
    <w:rsid w:val="008B07EE"/>
    <w:rsid w:val="00934F47"/>
    <w:rsid w:val="00AE34BC"/>
    <w:rsid w:val="00B41CDC"/>
    <w:rsid w:val="00BB12B1"/>
    <w:rsid w:val="00BB5D41"/>
    <w:rsid w:val="00BC7322"/>
    <w:rsid w:val="00BD58F1"/>
    <w:rsid w:val="00C079F6"/>
    <w:rsid w:val="00C318BA"/>
    <w:rsid w:val="00EC1525"/>
    <w:rsid w:val="00F64ECD"/>
    <w:rsid w:val="00FB1ABA"/>
    <w:rsid w:val="00FC5130"/>
    <w:rsid w:val="00FE3EF8"/>
    <w:rsid w:val="00FE5031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ECBBC-E2ED-492C-A5A6-7DA508FE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F1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58F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BD58F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BD58F1"/>
    <w:pPr>
      <w:spacing w:after="120"/>
    </w:pPr>
    <w:rPr>
      <w:sz w:val="24"/>
    </w:rPr>
  </w:style>
  <w:style w:type="paragraph" w:styleId="a6">
    <w:name w:val="Body Text Indent"/>
    <w:basedOn w:val="a"/>
    <w:rsid w:val="00BD58F1"/>
    <w:pPr>
      <w:spacing w:after="120"/>
      <w:ind w:left="283"/>
    </w:pPr>
  </w:style>
  <w:style w:type="paragraph" w:styleId="2">
    <w:name w:val="Body Text Indent 2"/>
    <w:basedOn w:val="a"/>
    <w:rsid w:val="00BD58F1"/>
    <w:pPr>
      <w:spacing w:after="120" w:line="480" w:lineRule="auto"/>
      <w:ind w:left="283"/>
    </w:pPr>
  </w:style>
  <w:style w:type="character" w:customStyle="1" w:styleId="spelle">
    <w:name w:val="spelle"/>
    <w:basedOn w:val="a0"/>
    <w:rsid w:val="00BD58F1"/>
  </w:style>
  <w:style w:type="paragraph" w:styleId="a7">
    <w:name w:val="footer"/>
    <w:basedOn w:val="a"/>
    <w:rsid w:val="00BD58F1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BD58F1"/>
  </w:style>
  <w:style w:type="paragraph" w:styleId="a9">
    <w:name w:val="header"/>
    <w:basedOn w:val="a"/>
    <w:rsid w:val="00BD58F1"/>
    <w:pPr>
      <w:tabs>
        <w:tab w:val="center" w:pos="4819"/>
        <w:tab w:val="right" w:pos="9639"/>
      </w:tabs>
    </w:pPr>
  </w:style>
  <w:style w:type="character" w:styleId="aa">
    <w:name w:val="Hyperlink"/>
    <w:rsid w:val="00BD58F1"/>
    <w:rPr>
      <w:color w:val="0000FF"/>
      <w:u w:val="single"/>
    </w:rPr>
  </w:style>
  <w:style w:type="paragraph" w:styleId="3">
    <w:name w:val="Body Text Indent 3"/>
    <w:basedOn w:val="a"/>
    <w:rsid w:val="00B41CDC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7C7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smc.gov.u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</vt:lpstr>
      <vt:lpstr>ЗВІТ</vt:lpstr>
    </vt:vector>
  </TitlesOfParts>
  <Company>SSMSC</Company>
  <LinksUpToDate>false</LinksUpToDate>
  <CharactersWithSpaces>3634</CharactersWithSpaces>
  <SharedDoc>false</SharedDoc>
  <HLinks>
    <vt:vector size="6" baseType="variant">
      <vt:variant>
        <vt:i4>1966144</vt:i4>
      </vt:variant>
      <vt:variant>
        <vt:i4>0</vt:i4>
      </vt:variant>
      <vt:variant>
        <vt:i4>0</vt:i4>
      </vt:variant>
      <vt:variant>
        <vt:i4>5</vt:i4>
      </vt:variant>
      <vt:variant>
        <vt:lpwstr>http://www.nssmc.gov.ua/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nechyporuk</dc:creator>
  <cp:keywords/>
  <dc:description/>
  <cp:lastModifiedBy>Руслан Кисляк</cp:lastModifiedBy>
  <cp:revision>2</cp:revision>
  <cp:lastPrinted>2018-02-28T14:29:00Z</cp:lastPrinted>
  <dcterms:created xsi:type="dcterms:W3CDTF">2020-02-26T12:32:00Z</dcterms:created>
  <dcterms:modified xsi:type="dcterms:W3CDTF">2020-02-26T12:32:00Z</dcterms:modified>
</cp:coreProperties>
</file>