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7B2" w:rsidRPr="004B6E36" w:rsidRDefault="006E07B2" w:rsidP="006B49C2">
      <w:pPr>
        <w:jc w:val="center"/>
        <w:rPr>
          <w:b/>
          <w:sz w:val="28"/>
          <w:szCs w:val="28"/>
          <w:lang w:val="uk-UA"/>
        </w:rPr>
      </w:pPr>
      <w:bookmarkStart w:id="0" w:name="_GoBack"/>
      <w:bookmarkEnd w:id="0"/>
      <w:r w:rsidRPr="004B6E36">
        <w:rPr>
          <w:b/>
          <w:sz w:val="28"/>
          <w:szCs w:val="28"/>
          <w:lang w:val="uk-UA"/>
        </w:rPr>
        <w:t xml:space="preserve">Звіт про </w:t>
      </w:r>
      <w:r w:rsidR="006661C7" w:rsidRPr="004B6E36">
        <w:rPr>
          <w:b/>
          <w:sz w:val="28"/>
          <w:szCs w:val="28"/>
          <w:lang w:val="uk-UA"/>
        </w:rPr>
        <w:t>п</w:t>
      </w:r>
      <w:r w:rsidR="006B49C2" w:rsidRPr="004B6E36">
        <w:rPr>
          <w:b/>
          <w:sz w:val="28"/>
          <w:szCs w:val="28"/>
          <w:lang w:val="uk-UA"/>
        </w:rPr>
        <w:t>еріодичне</w:t>
      </w:r>
      <w:r w:rsidRPr="004B6E36">
        <w:rPr>
          <w:b/>
          <w:sz w:val="28"/>
          <w:szCs w:val="28"/>
          <w:lang w:val="uk-UA"/>
        </w:rPr>
        <w:t xml:space="preserve"> відстеження результативності регуляторного акта –</w:t>
      </w:r>
    </w:p>
    <w:p w:rsidR="000D7ADC" w:rsidRPr="004B6E36" w:rsidRDefault="006E07B2" w:rsidP="006B49C2">
      <w:pPr>
        <w:spacing w:before="120"/>
        <w:ind w:firstLine="709"/>
        <w:jc w:val="center"/>
        <w:rPr>
          <w:sz w:val="28"/>
          <w:szCs w:val="28"/>
          <w:lang w:val="uk-UA"/>
        </w:rPr>
      </w:pPr>
      <w:r w:rsidRPr="004B6E36">
        <w:rPr>
          <w:sz w:val="28"/>
          <w:szCs w:val="28"/>
          <w:lang w:val="uk-UA"/>
        </w:rPr>
        <w:t>Рішення Комісії від 27.12.2012</w:t>
      </w:r>
      <w:r w:rsidR="006B49C2" w:rsidRPr="004B6E36">
        <w:rPr>
          <w:sz w:val="28"/>
          <w:szCs w:val="28"/>
          <w:lang w:val="uk-UA"/>
        </w:rPr>
        <w:t xml:space="preserve"> року </w:t>
      </w:r>
      <w:r w:rsidRPr="004B6E36">
        <w:rPr>
          <w:sz w:val="28"/>
          <w:szCs w:val="28"/>
          <w:lang w:val="uk-UA"/>
        </w:rPr>
        <w:t xml:space="preserve">№ 1902 «Про затвердження Положення про іпотечне покриття звичайних іпотечних облігацій, порядок ведення реєстру іпотечного покриття та управління іпотечним покриттям звичайних іпотечних облігацій», зареєстроване у Міністерстві юстиції України 22.01.2013 </w:t>
      </w:r>
      <w:r w:rsidR="006B49C2" w:rsidRPr="004B6E36">
        <w:rPr>
          <w:sz w:val="28"/>
          <w:szCs w:val="28"/>
          <w:lang w:val="uk-UA"/>
        </w:rPr>
        <w:t xml:space="preserve">року </w:t>
      </w:r>
      <w:r w:rsidRPr="004B6E36">
        <w:rPr>
          <w:sz w:val="28"/>
          <w:szCs w:val="28"/>
          <w:lang w:val="uk-UA"/>
        </w:rPr>
        <w:t>за №160/22692.</w:t>
      </w:r>
    </w:p>
    <w:p w:rsidR="006E07B2" w:rsidRPr="004B6E36" w:rsidRDefault="006E07B2" w:rsidP="00642F57">
      <w:pPr>
        <w:spacing w:before="120" w:after="120"/>
        <w:ind w:firstLine="539"/>
        <w:rPr>
          <w:b/>
          <w:sz w:val="28"/>
          <w:szCs w:val="28"/>
          <w:lang w:val="uk-UA"/>
        </w:rPr>
      </w:pPr>
      <w:r w:rsidRPr="004B6E36">
        <w:rPr>
          <w:b/>
          <w:sz w:val="28"/>
          <w:szCs w:val="28"/>
          <w:lang w:val="uk-UA"/>
        </w:rPr>
        <w:t>1. Вид та назва регуляторного акта</w:t>
      </w:r>
    </w:p>
    <w:p w:rsidR="006E07B2" w:rsidRPr="004B6E36" w:rsidRDefault="006E07B2" w:rsidP="006E07B2">
      <w:pPr>
        <w:ind w:firstLine="540"/>
        <w:jc w:val="both"/>
        <w:rPr>
          <w:sz w:val="28"/>
          <w:szCs w:val="28"/>
          <w:lang w:val="uk-UA"/>
        </w:rPr>
      </w:pPr>
      <w:r w:rsidRPr="004B6E36">
        <w:rPr>
          <w:sz w:val="28"/>
          <w:szCs w:val="28"/>
          <w:lang w:val="uk-UA"/>
        </w:rPr>
        <w:t>Рішення Комісії від 27.12.2012</w:t>
      </w:r>
      <w:r w:rsidR="006B49C2" w:rsidRPr="004B6E36">
        <w:rPr>
          <w:sz w:val="28"/>
          <w:szCs w:val="28"/>
          <w:lang w:val="uk-UA"/>
        </w:rPr>
        <w:t xml:space="preserve"> року </w:t>
      </w:r>
      <w:r w:rsidRPr="004B6E36">
        <w:rPr>
          <w:sz w:val="28"/>
          <w:szCs w:val="28"/>
          <w:lang w:val="uk-UA"/>
        </w:rPr>
        <w:t>№ 1902 «Про затвердження Положення про іпотечне покриття звичайних іпотечних облігацій, порядок ведення реєстру іпотечного покриття та управління іпотечним покриттям звичайних іпотечних облігацій», зареєстроване у Міністерстві юстиції України 22.01.2013</w:t>
      </w:r>
      <w:r w:rsidR="006B49C2" w:rsidRPr="004B6E36">
        <w:rPr>
          <w:sz w:val="28"/>
          <w:szCs w:val="28"/>
          <w:lang w:val="uk-UA"/>
        </w:rPr>
        <w:t xml:space="preserve"> року</w:t>
      </w:r>
      <w:r w:rsidRPr="004B6E36">
        <w:rPr>
          <w:sz w:val="28"/>
          <w:szCs w:val="28"/>
          <w:lang w:val="uk-UA"/>
        </w:rPr>
        <w:t xml:space="preserve"> за №160/22692</w:t>
      </w:r>
      <w:r w:rsidR="006B49C2" w:rsidRPr="004B6E36">
        <w:rPr>
          <w:sz w:val="28"/>
          <w:szCs w:val="28"/>
          <w:lang w:val="uk-UA"/>
        </w:rPr>
        <w:t xml:space="preserve"> (далі - Рішення)</w:t>
      </w:r>
      <w:r w:rsidRPr="004B6E36">
        <w:rPr>
          <w:sz w:val="28"/>
          <w:szCs w:val="28"/>
          <w:lang w:val="uk-UA"/>
        </w:rPr>
        <w:t>.</w:t>
      </w:r>
    </w:p>
    <w:p w:rsidR="006E07B2" w:rsidRPr="004B6E36" w:rsidRDefault="006E07B2" w:rsidP="00642F57">
      <w:pPr>
        <w:spacing w:before="120" w:after="120"/>
        <w:ind w:firstLine="539"/>
        <w:rPr>
          <w:b/>
          <w:sz w:val="28"/>
          <w:szCs w:val="28"/>
          <w:lang w:val="uk-UA"/>
        </w:rPr>
      </w:pPr>
      <w:r w:rsidRPr="004B6E36">
        <w:rPr>
          <w:b/>
          <w:sz w:val="28"/>
          <w:szCs w:val="28"/>
          <w:lang w:val="uk-UA"/>
        </w:rPr>
        <w:t>2. Виконавець заходів з відстеження</w:t>
      </w:r>
    </w:p>
    <w:p w:rsidR="006E07B2" w:rsidRPr="004B6E36" w:rsidRDefault="006E07B2" w:rsidP="006E07B2">
      <w:pPr>
        <w:spacing w:before="120" w:after="120"/>
        <w:ind w:firstLine="539"/>
        <w:rPr>
          <w:sz w:val="28"/>
          <w:szCs w:val="28"/>
          <w:lang w:val="uk-UA"/>
        </w:rPr>
      </w:pPr>
      <w:r w:rsidRPr="004B6E36">
        <w:rPr>
          <w:sz w:val="28"/>
          <w:szCs w:val="28"/>
          <w:lang w:val="uk-UA"/>
        </w:rPr>
        <w:t>Національна комісія з цінних паперів та фондового ринку</w:t>
      </w:r>
      <w:r w:rsidR="006B49C2" w:rsidRPr="004B6E36">
        <w:rPr>
          <w:sz w:val="28"/>
          <w:szCs w:val="28"/>
          <w:lang w:val="uk-UA"/>
        </w:rPr>
        <w:t xml:space="preserve"> (далі - Комісія).</w:t>
      </w:r>
    </w:p>
    <w:p w:rsidR="006E07B2" w:rsidRPr="004B6E36" w:rsidRDefault="006E07B2" w:rsidP="006E07B2">
      <w:pPr>
        <w:ind w:firstLine="540"/>
        <w:rPr>
          <w:b/>
          <w:sz w:val="28"/>
          <w:szCs w:val="28"/>
          <w:lang w:val="uk-UA"/>
        </w:rPr>
      </w:pPr>
      <w:r w:rsidRPr="004B6E36">
        <w:rPr>
          <w:b/>
          <w:sz w:val="28"/>
          <w:szCs w:val="28"/>
          <w:lang w:val="uk-UA"/>
        </w:rPr>
        <w:t>3. Цілі прийняття акта</w:t>
      </w:r>
    </w:p>
    <w:p w:rsidR="00E3648F" w:rsidRPr="004B6E36" w:rsidRDefault="00E3648F" w:rsidP="00E3648F">
      <w:pPr>
        <w:ind w:firstLine="720"/>
        <w:jc w:val="both"/>
        <w:rPr>
          <w:sz w:val="28"/>
          <w:szCs w:val="28"/>
          <w:lang w:val="uk-UA"/>
        </w:rPr>
      </w:pPr>
      <w:r w:rsidRPr="004B6E36">
        <w:rPr>
          <w:sz w:val="28"/>
          <w:szCs w:val="28"/>
          <w:lang w:val="uk-UA"/>
        </w:rPr>
        <w:t>Метою розробки проекту регуляторного акта було встановлення норм щодо умов та порядку включення іпотечних активів до складу іпотечного покриття звичайних іпотечних облігацій; порядку формування іпотечного покриття звичайних іпотечних облігацій; принципів збалансованості іпотечного покриття із заборгованістю за звичайними іпотечними облігаціями; ведення реєстру іпотечного покриття; порядку внесення, зміни та виключення записів у реєстрі іпотечного покриття; порядку надання витягів з реєстру іпотечного покриття; порядку подання звітності щодо іпотечного покриття; здійснення управителем діяльності з управління іпотечним покриттям, вимоги до договору про управління іпотечним покриттям. Врегулювання зазначених питань буде сприяти захисту прав власників іпотечних облігацій та запобіганню порушень на ринку іпотечних облігацій.</w:t>
      </w:r>
    </w:p>
    <w:p w:rsidR="006E07B2" w:rsidRPr="004B6E36" w:rsidRDefault="006E07B2" w:rsidP="006E07B2">
      <w:pPr>
        <w:spacing w:before="120"/>
        <w:ind w:firstLine="539"/>
        <w:jc w:val="both"/>
        <w:rPr>
          <w:b/>
          <w:sz w:val="28"/>
          <w:szCs w:val="28"/>
          <w:lang w:val="uk-UA"/>
        </w:rPr>
      </w:pPr>
      <w:r w:rsidRPr="004B6E36">
        <w:rPr>
          <w:b/>
          <w:sz w:val="28"/>
          <w:szCs w:val="28"/>
          <w:lang w:val="uk-UA"/>
        </w:rPr>
        <w:t>4. Строк виконання заходів з відстеження</w:t>
      </w:r>
    </w:p>
    <w:p w:rsidR="006661C7" w:rsidRPr="004B6E36" w:rsidRDefault="006661C7" w:rsidP="006661C7">
      <w:pPr>
        <w:spacing w:before="120" w:after="120"/>
        <w:ind w:firstLine="539"/>
        <w:jc w:val="both"/>
        <w:rPr>
          <w:sz w:val="28"/>
          <w:szCs w:val="28"/>
          <w:lang w:val="uk-UA"/>
        </w:rPr>
      </w:pPr>
      <w:r w:rsidRPr="004B6E36">
        <w:rPr>
          <w:sz w:val="28"/>
          <w:szCs w:val="28"/>
          <w:lang w:val="uk-UA"/>
        </w:rPr>
        <w:t xml:space="preserve">З </w:t>
      </w:r>
      <w:r w:rsidR="00F9784E" w:rsidRPr="004B6E36">
        <w:rPr>
          <w:sz w:val="28"/>
          <w:szCs w:val="28"/>
          <w:lang w:val="uk-UA"/>
        </w:rPr>
        <w:t>02.02.</w:t>
      </w:r>
      <w:r w:rsidRPr="004B6E36">
        <w:rPr>
          <w:sz w:val="28"/>
          <w:szCs w:val="28"/>
          <w:lang w:val="uk-UA"/>
        </w:rPr>
        <w:t>20</w:t>
      </w:r>
      <w:r w:rsidR="00F9784E" w:rsidRPr="004B6E36">
        <w:rPr>
          <w:sz w:val="28"/>
          <w:szCs w:val="28"/>
          <w:lang w:val="uk-UA"/>
        </w:rPr>
        <w:t>20</w:t>
      </w:r>
      <w:r w:rsidRPr="004B6E36">
        <w:rPr>
          <w:sz w:val="28"/>
          <w:szCs w:val="28"/>
          <w:lang w:val="uk-UA"/>
        </w:rPr>
        <w:t xml:space="preserve"> по </w:t>
      </w:r>
      <w:r w:rsidR="00F9784E" w:rsidRPr="004B6E36">
        <w:rPr>
          <w:sz w:val="28"/>
          <w:szCs w:val="28"/>
          <w:lang w:val="uk-UA"/>
        </w:rPr>
        <w:t>20.02.</w:t>
      </w:r>
      <w:r w:rsidRPr="004B6E36">
        <w:rPr>
          <w:sz w:val="28"/>
          <w:szCs w:val="28"/>
          <w:lang w:val="uk-UA"/>
        </w:rPr>
        <w:t>20</w:t>
      </w:r>
      <w:r w:rsidR="00F9784E" w:rsidRPr="004B6E36">
        <w:rPr>
          <w:sz w:val="28"/>
          <w:szCs w:val="28"/>
          <w:lang w:val="uk-UA"/>
        </w:rPr>
        <w:t>20</w:t>
      </w:r>
      <w:r w:rsidRPr="004B6E36">
        <w:rPr>
          <w:sz w:val="28"/>
          <w:szCs w:val="28"/>
          <w:lang w:val="uk-UA"/>
        </w:rPr>
        <w:t>.</w:t>
      </w:r>
    </w:p>
    <w:p w:rsidR="006E07B2" w:rsidRPr="004B6E36" w:rsidRDefault="006E07B2" w:rsidP="006E07B2">
      <w:pPr>
        <w:ind w:firstLine="540"/>
        <w:jc w:val="both"/>
        <w:rPr>
          <w:b/>
          <w:sz w:val="28"/>
          <w:szCs w:val="28"/>
          <w:lang w:val="uk-UA"/>
        </w:rPr>
      </w:pPr>
      <w:r w:rsidRPr="004B6E36">
        <w:rPr>
          <w:b/>
          <w:sz w:val="28"/>
          <w:szCs w:val="28"/>
          <w:lang w:val="uk-UA"/>
        </w:rPr>
        <w:t>5. Тип відстеження</w:t>
      </w:r>
    </w:p>
    <w:p w:rsidR="006E07B2" w:rsidRPr="004B6E36" w:rsidRDefault="006661C7" w:rsidP="006E07B2">
      <w:pPr>
        <w:spacing w:before="120" w:after="120"/>
        <w:ind w:firstLine="539"/>
        <w:jc w:val="both"/>
        <w:rPr>
          <w:sz w:val="28"/>
          <w:szCs w:val="28"/>
          <w:lang w:val="uk-UA"/>
        </w:rPr>
      </w:pPr>
      <w:r w:rsidRPr="004B6E36">
        <w:rPr>
          <w:sz w:val="28"/>
          <w:szCs w:val="28"/>
          <w:lang w:val="uk-UA"/>
        </w:rPr>
        <w:t>П</w:t>
      </w:r>
      <w:r w:rsidR="00F9784E" w:rsidRPr="004B6E36">
        <w:rPr>
          <w:sz w:val="28"/>
          <w:szCs w:val="28"/>
          <w:lang w:val="uk-UA"/>
        </w:rPr>
        <w:t>еріодичне</w:t>
      </w:r>
      <w:r w:rsidR="006E07B2" w:rsidRPr="004B6E36">
        <w:rPr>
          <w:sz w:val="28"/>
          <w:szCs w:val="28"/>
          <w:lang w:val="uk-UA"/>
        </w:rPr>
        <w:t>.</w:t>
      </w:r>
    </w:p>
    <w:p w:rsidR="006E07B2" w:rsidRPr="004B6E36" w:rsidRDefault="006E07B2" w:rsidP="006E07B2">
      <w:pPr>
        <w:ind w:firstLine="540"/>
        <w:jc w:val="both"/>
        <w:rPr>
          <w:sz w:val="28"/>
          <w:szCs w:val="28"/>
          <w:lang w:val="uk-UA"/>
        </w:rPr>
      </w:pPr>
      <w:r w:rsidRPr="004B6E36">
        <w:rPr>
          <w:b/>
          <w:sz w:val="28"/>
          <w:szCs w:val="28"/>
          <w:lang w:val="uk-UA"/>
        </w:rPr>
        <w:t>6. Метод одержання результатів відстеження</w:t>
      </w:r>
    </w:p>
    <w:p w:rsidR="006E07B2" w:rsidRPr="004B6E36" w:rsidRDefault="006E07B2" w:rsidP="006E07B2">
      <w:pPr>
        <w:spacing w:before="120" w:after="120"/>
        <w:ind w:firstLine="539"/>
        <w:jc w:val="both"/>
        <w:rPr>
          <w:sz w:val="28"/>
          <w:szCs w:val="28"/>
          <w:lang w:val="uk-UA"/>
        </w:rPr>
      </w:pPr>
      <w:r w:rsidRPr="004B6E36">
        <w:rPr>
          <w:sz w:val="28"/>
          <w:szCs w:val="28"/>
          <w:lang w:val="uk-UA"/>
        </w:rPr>
        <w:t xml:space="preserve">Під час проведення </w:t>
      </w:r>
      <w:r w:rsidR="006661C7" w:rsidRPr="004B6E36">
        <w:rPr>
          <w:sz w:val="28"/>
          <w:szCs w:val="28"/>
          <w:lang w:val="uk-UA"/>
        </w:rPr>
        <w:t>повторного</w:t>
      </w:r>
      <w:r w:rsidRPr="004B6E36">
        <w:rPr>
          <w:sz w:val="28"/>
          <w:szCs w:val="28"/>
          <w:lang w:val="uk-UA"/>
        </w:rPr>
        <w:t xml:space="preserve"> відстеження результативності регуляторного акта було застосовано статистичний метод.</w:t>
      </w:r>
    </w:p>
    <w:p w:rsidR="006E07B2" w:rsidRPr="004B6E36" w:rsidRDefault="006E07B2" w:rsidP="006E07B2">
      <w:pPr>
        <w:ind w:firstLine="540"/>
        <w:jc w:val="both"/>
        <w:rPr>
          <w:sz w:val="28"/>
          <w:szCs w:val="28"/>
          <w:lang w:val="uk-UA"/>
        </w:rPr>
      </w:pPr>
      <w:r w:rsidRPr="004B6E36">
        <w:rPr>
          <w:b/>
          <w:sz w:val="28"/>
          <w:szCs w:val="28"/>
          <w:lang w:val="uk-UA"/>
        </w:rPr>
        <w:t>7. Дані та припущення, на основі яких відстежувалася результативність, а також способи одержання даних</w:t>
      </w:r>
    </w:p>
    <w:p w:rsidR="006E07B2" w:rsidRPr="004B6E36" w:rsidRDefault="006E07B2" w:rsidP="006E07B2">
      <w:pPr>
        <w:spacing w:before="120"/>
        <w:ind w:firstLine="539"/>
        <w:jc w:val="both"/>
        <w:rPr>
          <w:sz w:val="28"/>
          <w:szCs w:val="28"/>
          <w:lang w:val="uk-UA"/>
        </w:rPr>
      </w:pPr>
      <w:r w:rsidRPr="004B6E36">
        <w:rPr>
          <w:sz w:val="28"/>
          <w:szCs w:val="28"/>
          <w:lang w:val="uk-UA"/>
        </w:rPr>
        <w:t>Розмір надходжень до державного та місцевих бюджетів і державних цільових фондів у зв’язку з дією акта не зміниться, оскільки актом не передбачено стягнення плати з суб’єктів господарювання.</w:t>
      </w:r>
    </w:p>
    <w:p w:rsidR="00DC4986" w:rsidRPr="004B6E36" w:rsidRDefault="00045F4B" w:rsidP="00045F4B">
      <w:pPr>
        <w:tabs>
          <w:tab w:val="num" w:pos="284"/>
        </w:tabs>
        <w:jc w:val="both"/>
        <w:rPr>
          <w:sz w:val="28"/>
          <w:szCs w:val="28"/>
          <w:lang w:val="uk-UA"/>
        </w:rPr>
      </w:pPr>
      <w:r w:rsidRPr="004B6E36">
        <w:rPr>
          <w:sz w:val="28"/>
          <w:szCs w:val="28"/>
          <w:lang w:val="uk-UA"/>
        </w:rPr>
        <w:tab/>
      </w:r>
      <w:r w:rsidRPr="004B6E36">
        <w:rPr>
          <w:sz w:val="28"/>
          <w:szCs w:val="28"/>
          <w:lang w:val="uk-UA"/>
        </w:rPr>
        <w:tab/>
      </w:r>
      <w:r w:rsidR="006E07B2" w:rsidRPr="004B6E36">
        <w:rPr>
          <w:sz w:val="28"/>
          <w:szCs w:val="28"/>
          <w:lang w:val="uk-UA"/>
        </w:rPr>
        <w:t xml:space="preserve">Дія регуляторного акта на сьогодні поширюється </w:t>
      </w:r>
      <w:r w:rsidR="00DC4986" w:rsidRPr="004B6E36">
        <w:rPr>
          <w:sz w:val="28"/>
          <w:szCs w:val="28"/>
          <w:lang w:val="uk-UA"/>
        </w:rPr>
        <w:t xml:space="preserve">на емітентів іпотечних облігацій та осіб, які здійснюють діяльність з управління іпотечним покриттям. </w:t>
      </w:r>
    </w:p>
    <w:p w:rsidR="00061B3B" w:rsidRDefault="006E07B2" w:rsidP="00061B3B">
      <w:pPr>
        <w:ind w:firstLine="539"/>
        <w:jc w:val="both"/>
        <w:rPr>
          <w:sz w:val="28"/>
          <w:szCs w:val="28"/>
          <w:lang w:val="uk-UA"/>
        </w:rPr>
      </w:pPr>
      <w:r w:rsidRPr="004B6E36">
        <w:rPr>
          <w:sz w:val="28"/>
          <w:szCs w:val="28"/>
          <w:lang w:val="uk-UA"/>
        </w:rPr>
        <w:lastRenderedPageBreak/>
        <w:t>Розмір коштів і час, що витрачатимуться суб’єктами господарювання у зв’язку з дією акта, не зміниться.</w:t>
      </w:r>
    </w:p>
    <w:p w:rsidR="00E3648F" w:rsidRPr="004B6E36" w:rsidRDefault="00E3648F" w:rsidP="00061B3B">
      <w:pPr>
        <w:ind w:firstLine="539"/>
        <w:jc w:val="both"/>
        <w:rPr>
          <w:sz w:val="28"/>
          <w:szCs w:val="28"/>
          <w:lang w:val="uk-UA"/>
        </w:rPr>
      </w:pPr>
      <w:r w:rsidRPr="004B6E36">
        <w:rPr>
          <w:sz w:val="28"/>
          <w:szCs w:val="28"/>
          <w:lang w:val="uk-UA"/>
        </w:rPr>
        <w:t>Рівень проінформованості суб’єктів господарювання з основних положень акта є високим, оскільки вказаний регуляторний акт розміщується на офіційному сайті Комісії http//www.nssmsc.gov.ua</w:t>
      </w:r>
      <w:r w:rsidR="00F9784E" w:rsidRPr="004B6E36">
        <w:rPr>
          <w:sz w:val="28"/>
          <w:szCs w:val="28"/>
          <w:lang w:val="uk-UA"/>
        </w:rPr>
        <w:t>.</w:t>
      </w:r>
    </w:p>
    <w:p w:rsidR="006E07B2" w:rsidRPr="004B6E36" w:rsidRDefault="006E07B2" w:rsidP="00061B3B">
      <w:pPr>
        <w:ind w:firstLine="539"/>
        <w:jc w:val="both"/>
        <w:rPr>
          <w:sz w:val="28"/>
          <w:szCs w:val="28"/>
          <w:lang w:val="uk-UA"/>
        </w:rPr>
      </w:pPr>
      <w:r w:rsidRPr="004B6E36">
        <w:rPr>
          <w:sz w:val="28"/>
          <w:szCs w:val="28"/>
          <w:lang w:val="uk-UA"/>
        </w:rPr>
        <w:t>Відстеження результативності регуляторного акта здійснювалося на підставі узагальнення та аналізу пропозицій, зауважень отриманих від фізичних, юридичних осіб та їх об’єднань.</w:t>
      </w:r>
    </w:p>
    <w:p w:rsidR="006E07B2" w:rsidRPr="004B6E36" w:rsidRDefault="006E07B2" w:rsidP="00642F57">
      <w:pPr>
        <w:spacing w:before="120" w:after="120"/>
        <w:ind w:firstLine="539"/>
        <w:jc w:val="both"/>
        <w:rPr>
          <w:b/>
          <w:sz w:val="28"/>
          <w:szCs w:val="28"/>
          <w:lang w:val="uk-UA"/>
        </w:rPr>
      </w:pPr>
      <w:r w:rsidRPr="004B6E36">
        <w:rPr>
          <w:b/>
          <w:sz w:val="28"/>
          <w:szCs w:val="28"/>
          <w:lang w:val="uk-UA"/>
        </w:rPr>
        <w:t>8. Кількісні та якісні значення показників результативності</w:t>
      </w:r>
    </w:p>
    <w:p w:rsidR="00045F4B" w:rsidRPr="004B6E36" w:rsidRDefault="00045F4B" w:rsidP="00045F4B">
      <w:pPr>
        <w:ind w:firstLine="539"/>
        <w:jc w:val="both"/>
        <w:rPr>
          <w:sz w:val="28"/>
          <w:szCs w:val="28"/>
          <w:lang w:val="uk-UA"/>
        </w:rPr>
      </w:pPr>
      <w:r w:rsidRPr="004B6E36">
        <w:rPr>
          <w:sz w:val="28"/>
          <w:szCs w:val="28"/>
          <w:lang w:val="uk-UA"/>
        </w:rPr>
        <w:t xml:space="preserve">Від фізичних, юридичних осіб та їх об’єднань пропозицій та зауважень щодо проблемних питань, </w:t>
      </w:r>
      <w:r w:rsidR="003B18F6" w:rsidRPr="0012306D">
        <w:rPr>
          <w:sz w:val="28"/>
          <w:szCs w:val="28"/>
          <w:lang w:val="uk-UA"/>
        </w:rPr>
        <w:t>що</w:t>
      </w:r>
      <w:r w:rsidRPr="004B6E36">
        <w:rPr>
          <w:sz w:val="28"/>
          <w:szCs w:val="28"/>
          <w:lang w:val="uk-UA"/>
        </w:rPr>
        <w:t xml:space="preserve"> виник</w:t>
      </w:r>
      <w:r w:rsidR="003B18F6">
        <w:rPr>
          <w:sz w:val="28"/>
          <w:szCs w:val="28"/>
          <w:lang w:val="uk-UA"/>
        </w:rPr>
        <w:t>ли</w:t>
      </w:r>
      <w:r w:rsidRPr="004B6E36">
        <w:rPr>
          <w:sz w:val="28"/>
          <w:szCs w:val="28"/>
          <w:lang w:val="uk-UA"/>
        </w:rPr>
        <w:t xml:space="preserve"> при виконанні </w:t>
      </w:r>
      <w:r w:rsidR="003B18F6">
        <w:rPr>
          <w:sz w:val="28"/>
          <w:szCs w:val="28"/>
          <w:lang w:val="uk-UA"/>
        </w:rPr>
        <w:t xml:space="preserve">положень Рішення Комісії </w:t>
      </w:r>
      <w:r w:rsidRPr="004B6E36">
        <w:rPr>
          <w:sz w:val="28"/>
          <w:szCs w:val="28"/>
          <w:lang w:val="uk-UA"/>
        </w:rPr>
        <w:t>не надходило.</w:t>
      </w:r>
    </w:p>
    <w:p w:rsidR="00045F4B" w:rsidRPr="004B6E36" w:rsidRDefault="00045F4B" w:rsidP="00045F4B">
      <w:pPr>
        <w:ind w:firstLine="539"/>
        <w:jc w:val="both"/>
        <w:rPr>
          <w:sz w:val="28"/>
          <w:szCs w:val="28"/>
          <w:lang w:val="uk-UA"/>
        </w:rPr>
      </w:pPr>
      <w:r w:rsidRPr="004B6E36">
        <w:rPr>
          <w:sz w:val="28"/>
          <w:szCs w:val="28"/>
          <w:lang w:val="uk-UA"/>
        </w:rPr>
        <w:t>Регуляторний акт забезпечить виконання функцій Комісії, визначених Законами України «Про державне регулювання ринку цінних паперів в Україні» та «Про інститути спільного інвестування».</w:t>
      </w:r>
    </w:p>
    <w:p w:rsidR="00045F4B" w:rsidRPr="004B6E36" w:rsidRDefault="00045F4B" w:rsidP="00045F4B">
      <w:pPr>
        <w:ind w:firstLine="539"/>
        <w:jc w:val="both"/>
        <w:rPr>
          <w:sz w:val="28"/>
          <w:szCs w:val="28"/>
          <w:lang w:val="uk-UA"/>
        </w:rPr>
      </w:pPr>
      <w:r w:rsidRPr="004B6E36">
        <w:rPr>
          <w:sz w:val="28"/>
          <w:szCs w:val="28"/>
          <w:lang w:val="uk-UA"/>
        </w:rPr>
        <w:t>Виконання вимог регуляторного акту не потребує додаткових витрат фізичних, юридичних осіб та їх об’єднань.</w:t>
      </w:r>
    </w:p>
    <w:p w:rsidR="006E07B2" w:rsidRPr="004B6E36" w:rsidRDefault="006E07B2" w:rsidP="00642F57">
      <w:pPr>
        <w:spacing w:before="120" w:after="120"/>
        <w:ind w:firstLine="539"/>
        <w:jc w:val="both"/>
        <w:rPr>
          <w:sz w:val="28"/>
          <w:szCs w:val="28"/>
          <w:lang w:val="uk-UA"/>
        </w:rPr>
      </w:pPr>
      <w:r w:rsidRPr="004B6E36">
        <w:rPr>
          <w:b/>
          <w:bCs/>
          <w:sz w:val="28"/>
          <w:szCs w:val="28"/>
          <w:lang w:val="uk-UA"/>
        </w:rPr>
        <w:t>9. Оцінка результатів реалізації регуляторного акта та ступеня досягнення визначених цілей</w:t>
      </w:r>
    </w:p>
    <w:p w:rsidR="00E3648F" w:rsidRPr="004B6E36" w:rsidRDefault="00E3648F" w:rsidP="00550A58">
      <w:pPr>
        <w:ind w:firstLine="567"/>
        <w:jc w:val="both"/>
        <w:rPr>
          <w:sz w:val="28"/>
          <w:szCs w:val="28"/>
          <w:lang w:val="uk-UA"/>
        </w:rPr>
      </w:pPr>
      <w:r w:rsidRPr="004B6E36">
        <w:rPr>
          <w:sz w:val="28"/>
          <w:szCs w:val="28"/>
          <w:lang w:val="uk-UA"/>
        </w:rPr>
        <w:t>Регуляторний акт має високий ступінь досягнення визначених цілей</w:t>
      </w:r>
      <w:r w:rsidR="00550A58" w:rsidRPr="004B6E36">
        <w:rPr>
          <w:sz w:val="28"/>
          <w:szCs w:val="28"/>
          <w:lang w:val="uk-UA"/>
        </w:rPr>
        <w:t>.</w:t>
      </w:r>
      <w:r w:rsidRPr="004B6E36">
        <w:rPr>
          <w:sz w:val="28"/>
          <w:szCs w:val="28"/>
          <w:lang w:val="uk-UA"/>
        </w:rPr>
        <w:t xml:space="preserve"> </w:t>
      </w:r>
    </w:p>
    <w:p w:rsidR="006F153E" w:rsidRPr="004B6E36" w:rsidRDefault="006661C7" w:rsidP="00550A58">
      <w:pPr>
        <w:pStyle w:val="a7"/>
        <w:ind w:firstLine="567"/>
        <w:rPr>
          <w:bCs/>
          <w:szCs w:val="28"/>
        </w:rPr>
      </w:pPr>
      <w:r w:rsidRPr="004B6E36">
        <w:rPr>
          <w:bCs/>
          <w:szCs w:val="28"/>
        </w:rPr>
        <w:t>Регуляторний</w:t>
      </w:r>
      <w:r w:rsidR="006F153E" w:rsidRPr="004B6E36">
        <w:rPr>
          <w:bCs/>
          <w:szCs w:val="28"/>
        </w:rPr>
        <w:t xml:space="preserve"> акт</w:t>
      </w:r>
      <w:r w:rsidRPr="004B6E36">
        <w:rPr>
          <w:bCs/>
          <w:szCs w:val="28"/>
        </w:rPr>
        <w:t xml:space="preserve"> сприяє</w:t>
      </w:r>
      <w:r w:rsidR="006F153E" w:rsidRPr="004B6E36">
        <w:rPr>
          <w:bCs/>
          <w:szCs w:val="28"/>
        </w:rPr>
        <w:t>:</w:t>
      </w:r>
    </w:p>
    <w:p w:rsidR="006F153E" w:rsidRPr="004B6E36" w:rsidRDefault="006F153E" w:rsidP="00550A58">
      <w:pPr>
        <w:pStyle w:val="a7"/>
        <w:ind w:firstLine="567"/>
        <w:rPr>
          <w:szCs w:val="28"/>
        </w:rPr>
      </w:pPr>
      <w:r w:rsidRPr="004B6E36">
        <w:rPr>
          <w:szCs w:val="28"/>
        </w:rPr>
        <w:t xml:space="preserve">виконанню емітентами іпотечних облігацій умов включення іпотечних активів до складу іпотечного покриття звичайних іпотечних облігацій, порядку формування іпотечного покриття звичайних іпотечних облігацій, дотримання принципів збалансованості іпотечного покриття із заборгованістю за звичайними іпотечними облігаціями, вимог до ведення реєстру іпотечного покриття, порядку внесення, зміни та виключення записів у реєстрі іпотечного покриття, порядку надання витягів з реєстру іпотечного покриття, порядку подання звітності щодо іпотечного покриття. </w:t>
      </w:r>
    </w:p>
    <w:p w:rsidR="006F153E" w:rsidRPr="004B6E36" w:rsidRDefault="006F153E" w:rsidP="00550A58">
      <w:pPr>
        <w:pStyle w:val="a7"/>
        <w:ind w:firstLine="567"/>
        <w:rPr>
          <w:szCs w:val="28"/>
        </w:rPr>
      </w:pPr>
      <w:r w:rsidRPr="004B6E36">
        <w:rPr>
          <w:szCs w:val="28"/>
        </w:rPr>
        <w:t>виконанню належним чином управителем функцій з управління іпотечним покриттям, основною з яких є моніторинг порядку виконання зобов’язань емітента за звичайними іпотечними облігаціями, представництво інтересів власників звичайних іпотечних облігацій у відносинах з емітентом та іншими особами, що забезпечить посилення захисту прав власників іпотечних облігацій.</w:t>
      </w:r>
    </w:p>
    <w:p w:rsidR="006E07B2" w:rsidRPr="004B6E36" w:rsidRDefault="006E07B2" w:rsidP="006E07B2">
      <w:pPr>
        <w:ind w:firstLine="540"/>
        <w:jc w:val="both"/>
        <w:rPr>
          <w:sz w:val="28"/>
          <w:szCs w:val="28"/>
          <w:lang w:val="uk-UA"/>
        </w:rPr>
      </w:pPr>
    </w:p>
    <w:p w:rsidR="006E07B2" w:rsidRPr="004B6E36" w:rsidRDefault="006E07B2" w:rsidP="006E07B2">
      <w:pPr>
        <w:ind w:firstLine="540"/>
        <w:jc w:val="both"/>
        <w:rPr>
          <w:sz w:val="28"/>
          <w:szCs w:val="28"/>
          <w:lang w:val="uk-UA"/>
        </w:rPr>
      </w:pPr>
    </w:p>
    <w:p w:rsidR="006F153E" w:rsidRPr="004B6E36" w:rsidRDefault="006F153E" w:rsidP="006F153E">
      <w:pPr>
        <w:ind w:firstLine="708"/>
        <w:jc w:val="both"/>
        <w:rPr>
          <w:sz w:val="28"/>
          <w:szCs w:val="28"/>
          <w:lang w:val="uk-UA"/>
        </w:rPr>
      </w:pPr>
    </w:p>
    <w:p w:rsidR="006F153E" w:rsidRPr="004B6E36" w:rsidRDefault="006F153E" w:rsidP="006F153E">
      <w:pPr>
        <w:spacing w:before="100" w:after="100"/>
        <w:jc w:val="both"/>
        <w:rPr>
          <w:sz w:val="28"/>
          <w:szCs w:val="28"/>
          <w:lang w:val="uk-UA"/>
        </w:rPr>
      </w:pPr>
      <w:r w:rsidRPr="004B6E36">
        <w:rPr>
          <w:b/>
          <w:bCs/>
          <w:sz w:val="28"/>
          <w:szCs w:val="28"/>
          <w:lang w:val="uk-UA"/>
        </w:rPr>
        <w:t xml:space="preserve">Голова Комісії         </w:t>
      </w:r>
      <w:r w:rsidRPr="004B6E36">
        <w:rPr>
          <w:b/>
          <w:bCs/>
          <w:sz w:val="28"/>
          <w:szCs w:val="28"/>
          <w:lang w:val="uk-UA"/>
        </w:rPr>
        <w:tab/>
      </w:r>
      <w:r w:rsidRPr="004B6E36">
        <w:rPr>
          <w:b/>
          <w:bCs/>
          <w:sz w:val="28"/>
          <w:szCs w:val="28"/>
          <w:lang w:val="uk-UA"/>
        </w:rPr>
        <w:tab/>
      </w:r>
      <w:r w:rsidRPr="004B6E36">
        <w:rPr>
          <w:b/>
          <w:bCs/>
          <w:sz w:val="28"/>
          <w:szCs w:val="28"/>
          <w:lang w:val="uk-UA"/>
        </w:rPr>
        <w:tab/>
      </w:r>
      <w:r w:rsidRPr="004B6E36">
        <w:rPr>
          <w:b/>
          <w:bCs/>
          <w:sz w:val="28"/>
          <w:szCs w:val="28"/>
          <w:lang w:val="uk-UA"/>
        </w:rPr>
        <w:tab/>
      </w:r>
      <w:r w:rsidRPr="004B6E36">
        <w:rPr>
          <w:b/>
          <w:bCs/>
          <w:sz w:val="28"/>
          <w:szCs w:val="28"/>
          <w:lang w:val="uk-UA"/>
        </w:rPr>
        <w:tab/>
      </w:r>
      <w:r w:rsidRPr="004B6E36">
        <w:rPr>
          <w:b/>
          <w:bCs/>
          <w:sz w:val="28"/>
          <w:szCs w:val="28"/>
          <w:lang w:val="uk-UA"/>
        </w:rPr>
        <w:tab/>
      </w:r>
      <w:r w:rsidRPr="004B6E36">
        <w:rPr>
          <w:b/>
          <w:bCs/>
          <w:sz w:val="28"/>
          <w:szCs w:val="28"/>
          <w:lang w:val="uk-UA"/>
        </w:rPr>
        <w:tab/>
      </w:r>
      <w:r w:rsidR="00550A58" w:rsidRPr="004B6E36">
        <w:rPr>
          <w:b/>
          <w:bCs/>
          <w:sz w:val="28"/>
          <w:szCs w:val="28"/>
          <w:lang w:val="uk-UA"/>
        </w:rPr>
        <w:t>Тимур ХРОМАЄВ</w:t>
      </w:r>
    </w:p>
    <w:p w:rsidR="006E07B2" w:rsidRPr="004B6E36" w:rsidRDefault="006E07B2" w:rsidP="006E07B2">
      <w:pPr>
        <w:ind w:firstLine="708"/>
        <w:jc w:val="both"/>
        <w:rPr>
          <w:sz w:val="28"/>
          <w:szCs w:val="28"/>
          <w:lang w:val="uk-UA"/>
        </w:rPr>
      </w:pPr>
    </w:p>
    <w:sectPr w:rsidR="006E07B2" w:rsidRPr="004B6E3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07B2"/>
    <w:rsid w:val="00045F4B"/>
    <w:rsid w:val="00061B3B"/>
    <w:rsid w:val="000D7ADC"/>
    <w:rsid w:val="0012306D"/>
    <w:rsid w:val="002B4B15"/>
    <w:rsid w:val="003A6247"/>
    <w:rsid w:val="003B18F6"/>
    <w:rsid w:val="004B6E36"/>
    <w:rsid w:val="00550A58"/>
    <w:rsid w:val="00575E8C"/>
    <w:rsid w:val="00590616"/>
    <w:rsid w:val="00642F57"/>
    <w:rsid w:val="006661C7"/>
    <w:rsid w:val="006B49C2"/>
    <w:rsid w:val="006E07B2"/>
    <w:rsid w:val="006F153E"/>
    <w:rsid w:val="00856FAC"/>
    <w:rsid w:val="008622D3"/>
    <w:rsid w:val="009A11E6"/>
    <w:rsid w:val="009C4AEF"/>
    <w:rsid w:val="00A10BF7"/>
    <w:rsid w:val="00BA41C6"/>
    <w:rsid w:val="00BF3A26"/>
    <w:rsid w:val="00DC4986"/>
    <w:rsid w:val="00E3648F"/>
    <w:rsid w:val="00E93774"/>
    <w:rsid w:val="00F97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518A5E1-D2D8-4FC6-99FE-3E49FA4E6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7B2"/>
    <w:rPr>
      <w:lang w:val="ru-RU" w:eastAsia="ru-RU"/>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a1">
    <w:name w:val=" Знак Знак Знак Знак Знак Знак Знак"/>
    <w:basedOn w:val="a"/>
    <w:link w:val="a0"/>
    <w:rsid w:val="006E07B2"/>
    <w:rPr>
      <w:rFonts w:ascii="Verdana" w:hAnsi="Verdana" w:cs="Verdana"/>
      <w:color w:val="000000"/>
      <w:lang w:val="en-US" w:eastAsia="en-US"/>
    </w:rPr>
  </w:style>
  <w:style w:type="paragraph" w:customStyle="1" w:styleId="a4">
    <w:name w:val="Стиль Знак Знак"/>
    <w:basedOn w:val="a"/>
    <w:rsid w:val="006E07B2"/>
    <w:rPr>
      <w:rFonts w:ascii="Verdana" w:hAnsi="Verdana" w:cs="Verdana"/>
      <w:lang w:val="en-US" w:eastAsia="en-US"/>
    </w:rPr>
  </w:style>
  <w:style w:type="paragraph" w:customStyle="1" w:styleId="a5">
    <w:name w:val="Знак Знак Знак Знак Знак Знак Знак Знак Знак Знак Знак Знак"/>
    <w:basedOn w:val="a"/>
    <w:rsid w:val="006E07B2"/>
    <w:rPr>
      <w:rFonts w:ascii="Verdana" w:hAnsi="Verdana" w:cs="Verdana"/>
      <w:lang w:val="en-US" w:eastAsia="en-US"/>
    </w:rPr>
  </w:style>
  <w:style w:type="paragraph" w:styleId="a6">
    <w:name w:val="Title"/>
    <w:basedOn w:val="a"/>
    <w:qFormat/>
    <w:rsid w:val="006E07B2"/>
    <w:pPr>
      <w:jc w:val="center"/>
    </w:pPr>
    <w:rPr>
      <w:sz w:val="28"/>
      <w:lang w:val="uk-UA" w:eastAsia="uk-UA"/>
    </w:rPr>
  </w:style>
  <w:style w:type="character" w:customStyle="1" w:styleId="HTMLTypewriter">
    <w:name w:val="HTML Typewriter"/>
    <w:rsid w:val="006E07B2"/>
    <w:rPr>
      <w:sz w:val="20"/>
    </w:rPr>
  </w:style>
  <w:style w:type="paragraph" w:styleId="a7">
    <w:name w:val="Body Text"/>
    <w:basedOn w:val="a"/>
    <w:rsid w:val="006F153E"/>
    <w:pPr>
      <w:jc w:val="both"/>
    </w:pPr>
    <w:rPr>
      <w:sz w:val="28"/>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3854</Characters>
  <Application>Microsoft Office Word</Application>
  <DocSecurity>0</DocSecurity>
  <Lines>32</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Звіт про базове відстеження результативності регуляторного акта –</vt:lpstr>
      <vt:lpstr>Звіт про базове відстеження результативності регуляторного акта –</vt:lpstr>
    </vt:vector>
  </TitlesOfParts>
  <Company>ssmsc</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 про базове відстеження результативності регуляторного акта –</dc:title>
  <dc:subject/>
  <dc:creator>kazimirskyi</dc:creator>
  <cp:keywords/>
  <dc:description/>
  <cp:lastModifiedBy>Руслан Кисляк</cp:lastModifiedBy>
  <cp:revision>2</cp:revision>
  <dcterms:created xsi:type="dcterms:W3CDTF">2020-02-26T12:32:00Z</dcterms:created>
  <dcterms:modified xsi:type="dcterms:W3CDTF">2020-02-26T12:32:00Z</dcterms:modified>
</cp:coreProperties>
</file>