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8CF" w:rsidRPr="00561F45" w:rsidRDefault="009F08CF" w:rsidP="006A024B">
      <w:pPr>
        <w:jc w:val="center"/>
        <w:rPr>
          <w:b/>
          <w:sz w:val="28"/>
          <w:szCs w:val="28"/>
          <w:lang w:val="uk-UA"/>
        </w:rPr>
      </w:pPr>
      <w:bookmarkStart w:id="0" w:name="_GoBack"/>
      <w:bookmarkEnd w:id="0"/>
      <w:r w:rsidRPr="00561F45">
        <w:rPr>
          <w:b/>
          <w:sz w:val="28"/>
          <w:szCs w:val="28"/>
          <w:lang w:val="uk-UA"/>
        </w:rPr>
        <w:t xml:space="preserve">Звіт про </w:t>
      </w:r>
      <w:r w:rsidR="00436B31" w:rsidRPr="00561F45">
        <w:rPr>
          <w:b/>
          <w:sz w:val="28"/>
          <w:szCs w:val="28"/>
          <w:lang w:val="uk-UA"/>
        </w:rPr>
        <w:t>п</w:t>
      </w:r>
      <w:r w:rsidR="006A024B" w:rsidRPr="00561F45">
        <w:rPr>
          <w:b/>
          <w:sz w:val="28"/>
          <w:szCs w:val="28"/>
          <w:lang w:val="uk-UA"/>
        </w:rPr>
        <w:t>еріодичне від</w:t>
      </w:r>
      <w:r w:rsidRPr="00561F45">
        <w:rPr>
          <w:b/>
          <w:sz w:val="28"/>
          <w:szCs w:val="28"/>
          <w:lang w:val="uk-UA"/>
        </w:rPr>
        <w:t>стеження результативності регуляторного акта –</w:t>
      </w:r>
    </w:p>
    <w:p w:rsidR="001B7C35" w:rsidRDefault="006A024B" w:rsidP="006A024B">
      <w:pPr>
        <w:ind w:firstLine="720"/>
        <w:jc w:val="center"/>
        <w:rPr>
          <w:sz w:val="28"/>
          <w:szCs w:val="28"/>
          <w:lang w:val="uk-UA" w:eastAsia="uk-UA"/>
        </w:rPr>
      </w:pPr>
      <w:r w:rsidRPr="00561F45">
        <w:rPr>
          <w:bCs/>
          <w:sz w:val="28"/>
          <w:szCs w:val="28"/>
          <w:lang w:val="uk-UA" w:eastAsia="uk-UA"/>
        </w:rPr>
        <w:t>р</w:t>
      </w:r>
      <w:r w:rsidRPr="00561F45">
        <w:rPr>
          <w:sz w:val="28"/>
          <w:szCs w:val="28"/>
          <w:lang w:val="uk-UA" w:eastAsia="uk-UA"/>
        </w:rPr>
        <w:t xml:space="preserve">ішення Національної комісії з цінних паперів та фондового ринку від 29.11.2012 року № 1693 «Про затвердження Положення про порядок складання </w:t>
      </w:r>
    </w:p>
    <w:p w:rsidR="001B7C35" w:rsidRDefault="006A024B" w:rsidP="001B7C35">
      <w:pPr>
        <w:ind w:firstLine="720"/>
        <w:jc w:val="center"/>
        <w:rPr>
          <w:sz w:val="28"/>
          <w:szCs w:val="28"/>
          <w:lang w:val="uk-UA" w:eastAsia="uk-UA"/>
        </w:rPr>
      </w:pPr>
      <w:r w:rsidRPr="00561F45">
        <w:rPr>
          <w:sz w:val="28"/>
          <w:szCs w:val="28"/>
          <w:lang w:val="uk-UA" w:eastAsia="uk-UA"/>
        </w:rPr>
        <w:t>та подання адміністративних даних щодо діяльності управителями іпотечним покриттям», зареєстроване в Міністерстві юстиції України</w:t>
      </w:r>
    </w:p>
    <w:p w:rsidR="006A024B" w:rsidRPr="00561F45" w:rsidRDefault="006A024B" w:rsidP="001B7C35">
      <w:pPr>
        <w:ind w:firstLine="720"/>
        <w:jc w:val="center"/>
        <w:rPr>
          <w:sz w:val="28"/>
          <w:szCs w:val="28"/>
          <w:lang w:val="uk-UA" w:eastAsia="uk-UA"/>
        </w:rPr>
      </w:pPr>
      <w:r w:rsidRPr="00561F45">
        <w:rPr>
          <w:sz w:val="28"/>
          <w:szCs w:val="28"/>
          <w:lang w:val="uk-UA" w:eastAsia="uk-UA"/>
        </w:rPr>
        <w:t>26.12.2012 року</w:t>
      </w:r>
      <w:r w:rsidR="001B7C35">
        <w:rPr>
          <w:sz w:val="28"/>
          <w:szCs w:val="28"/>
          <w:lang w:val="en-US" w:eastAsia="uk-UA"/>
        </w:rPr>
        <w:t xml:space="preserve"> </w:t>
      </w:r>
      <w:r w:rsidRPr="00561F45">
        <w:rPr>
          <w:sz w:val="28"/>
          <w:szCs w:val="28"/>
          <w:lang w:val="uk-UA" w:eastAsia="uk-UA"/>
        </w:rPr>
        <w:t>за № 2177/22489</w:t>
      </w:r>
    </w:p>
    <w:p w:rsidR="003F130F" w:rsidRPr="00561F45" w:rsidRDefault="003F130F" w:rsidP="00436B31">
      <w:pPr>
        <w:ind w:firstLine="540"/>
        <w:jc w:val="both"/>
        <w:rPr>
          <w:sz w:val="28"/>
          <w:szCs w:val="28"/>
          <w:lang w:val="uk-UA"/>
        </w:rPr>
      </w:pPr>
    </w:p>
    <w:p w:rsidR="009F08CF" w:rsidRPr="00561F45" w:rsidRDefault="009F08CF" w:rsidP="0012635D">
      <w:pPr>
        <w:ind w:firstLine="708"/>
        <w:rPr>
          <w:b/>
          <w:sz w:val="28"/>
          <w:szCs w:val="28"/>
          <w:lang w:val="uk-UA"/>
        </w:rPr>
      </w:pPr>
      <w:r w:rsidRPr="00561F45">
        <w:rPr>
          <w:b/>
          <w:sz w:val="28"/>
          <w:szCs w:val="28"/>
          <w:lang w:val="uk-UA"/>
        </w:rPr>
        <w:t>1. Вид та назва регуляторного акта</w:t>
      </w:r>
    </w:p>
    <w:p w:rsidR="006A024B" w:rsidRPr="00561F45" w:rsidRDefault="006A024B" w:rsidP="0012635D">
      <w:pPr>
        <w:ind w:firstLine="708"/>
        <w:jc w:val="both"/>
        <w:rPr>
          <w:sz w:val="28"/>
          <w:szCs w:val="28"/>
          <w:lang w:val="uk-UA" w:eastAsia="uk-UA"/>
        </w:rPr>
      </w:pPr>
      <w:r w:rsidRPr="00561F45">
        <w:rPr>
          <w:bCs/>
          <w:sz w:val="28"/>
          <w:szCs w:val="28"/>
          <w:lang w:val="uk-UA" w:eastAsia="uk-UA"/>
        </w:rPr>
        <w:t>Р</w:t>
      </w:r>
      <w:r w:rsidRPr="00561F45">
        <w:rPr>
          <w:sz w:val="28"/>
          <w:szCs w:val="28"/>
          <w:lang w:val="uk-UA" w:eastAsia="uk-UA"/>
        </w:rPr>
        <w:t>ішення Національної комісії з цінних паперів та фондового ринку від 29.11.2012 року № 1693 «Про затвердження Положення про порядок складання та подання адміністративних даних щодо діяльності управителями іпотечним покриттям», зареєстроване в Міністерстві юстиції України 26.12.2012 року за</w:t>
      </w:r>
      <w:r w:rsidR="008E13E9">
        <w:rPr>
          <w:sz w:val="28"/>
          <w:szCs w:val="28"/>
          <w:lang w:val="uk-UA" w:eastAsia="uk-UA"/>
        </w:rPr>
        <w:br/>
      </w:r>
      <w:r w:rsidRPr="00561F45">
        <w:rPr>
          <w:sz w:val="28"/>
          <w:szCs w:val="28"/>
          <w:lang w:val="uk-UA" w:eastAsia="uk-UA"/>
        </w:rPr>
        <w:t>№ 2177/22489 (далі – Рішення).</w:t>
      </w:r>
    </w:p>
    <w:p w:rsidR="009F08CF" w:rsidRPr="00561F45" w:rsidRDefault="009F08CF" w:rsidP="0012635D">
      <w:pPr>
        <w:ind w:firstLine="708"/>
        <w:jc w:val="both"/>
        <w:rPr>
          <w:b/>
          <w:sz w:val="28"/>
          <w:szCs w:val="28"/>
          <w:lang w:val="uk-UA"/>
        </w:rPr>
      </w:pPr>
    </w:p>
    <w:p w:rsidR="009F08CF" w:rsidRPr="00561F45" w:rsidRDefault="009F08CF" w:rsidP="0012635D">
      <w:pPr>
        <w:ind w:firstLine="708"/>
        <w:rPr>
          <w:b/>
          <w:sz w:val="28"/>
          <w:szCs w:val="28"/>
          <w:lang w:val="uk-UA"/>
        </w:rPr>
      </w:pPr>
      <w:r w:rsidRPr="00561F45">
        <w:rPr>
          <w:b/>
          <w:sz w:val="28"/>
          <w:szCs w:val="28"/>
          <w:lang w:val="uk-UA"/>
        </w:rPr>
        <w:t>2. Виконавець заходів з відстеження</w:t>
      </w:r>
    </w:p>
    <w:p w:rsidR="009F08CF" w:rsidRPr="00561F45" w:rsidRDefault="009F08CF" w:rsidP="0012635D">
      <w:pPr>
        <w:ind w:firstLine="708"/>
        <w:jc w:val="both"/>
        <w:rPr>
          <w:sz w:val="28"/>
          <w:szCs w:val="28"/>
          <w:lang w:val="uk-UA"/>
        </w:rPr>
      </w:pPr>
      <w:r w:rsidRPr="00561F45">
        <w:rPr>
          <w:sz w:val="28"/>
          <w:szCs w:val="28"/>
          <w:lang w:val="uk-UA"/>
        </w:rPr>
        <w:t>Національна комісія з цінних паперів та фондового ринку</w:t>
      </w:r>
      <w:r w:rsidR="006A024B" w:rsidRPr="00561F45">
        <w:rPr>
          <w:sz w:val="28"/>
          <w:szCs w:val="28"/>
          <w:lang w:val="uk-UA"/>
        </w:rPr>
        <w:t xml:space="preserve"> (далі - Комісія)</w:t>
      </w:r>
      <w:r w:rsidR="00436B31" w:rsidRPr="00561F45">
        <w:rPr>
          <w:sz w:val="28"/>
          <w:szCs w:val="28"/>
          <w:lang w:val="uk-UA"/>
        </w:rPr>
        <w:t>.</w:t>
      </w:r>
    </w:p>
    <w:p w:rsidR="009F08CF" w:rsidRPr="00561F45" w:rsidRDefault="009F08CF" w:rsidP="0012635D">
      <w:pPr>
        <w:ind w:firstLine="708"/>
        <w:rPr>
          <w:sz w:val="28"/>
          <w:szCs w:val="28"/>
          <w:lang w:val="uk-UA"/>
        </w:rPr>
      </w:pPr>
    </w:p>
    <w:p w:rsidR="009F08CF" w:rsidRPr="00561F45" w:rsidRDefault="009F08CF" w:rsidP="0012635D">
      <w:pPr>
        <w:ind w:firstLine="708"/>
        <w:jc w:val="both"/>
        <w:rPr>
          <w:b/>
          <w:sz w:val="28"/>
          <w:szCs w:val="28"/>
          <w:lang w:val="uk-UA"/>
        </w:rPr>
      </w:pPr>
      <w:r w:rsidRPr="00561F45">
        <w:rPr>
          <w:b/>
          <w:sz w:val="28"/>
          <w:szCs w:val="28"/>
          <w:lang w:val="uk-UA"/>
        </w:rPr>
        <w:t>3. Цілі прийняття акта</w:t>
      </w:r>
    </w:p>
    <w:p w:rsidR="00812AA6" w:rsidRPr="00561F45" w:rsidRDefault="009F08CF" w:rsidP="0012635D">
      <w:pPr>
        <w:ind w:firstLine="708"/>
        <w:jc w:val="both"/>
        <w:rPr>
          <w:sz w:val="28"/>
          <w:szCs w:val="28"/>
          <w:lang w:val="uk-UA"/>
        </w:rPr>
      </w:pPr>
      <w:r w:rsidRPr="00561F45">
        <w:rPr>
          <w:sz w:val="28"/>
          <w:szCs w:val="28"/>
          <w:lang w:val="uk-UA"/>
        </w:rPr>
        <w:t xml:space="preserve">Рішення </w:t>
      </w:r>
      <w:r w:rsidR="00812AA6" w:rsidRPr="00561F45">
        <w:rPr>
          <w:sz w:val="28"/>
          <w:szCs w:val="28"/>
          <w:lang w:val="uk-UA"/>
        </w:rPr>
        <w:t>К</w:t>
      </w:r>
      <w:r w:rsidRPr="00561F45">
        <w:rPr>
          <w:sz w:val="28"/>
          <w:szCs w:val="28"/>
          <w:lang w:val="uk-UA"/>
        </w:rPr>
        <w:t>омісії</w:t>
      </w:r>
      <w:r w:rsidR="00812AA6" w:rsidRPr="00561F45">
        <w:rPr>
          <w:sz w:val="28"/>
          <w:szCs w:val="28"/>
          <w:lang w:val="uk-UA"/>
        </w:rPr>
        <w:t xml:space="preserve"> </w:t>
      </w:r>
      <w:r w:rsidRPr="00561F45">
        <w:rPr>
          <w:sz w:val="28"/>
          <w:szCs w:val="28"/>
          <w:lang w:val="uk-UA"/>
        </w:rPr>
        <w:t>розроблен</w:t>
      </w:r>
      <w:r w:rsidR="00812AA6" w:rsidRPr="00561F45">
        <w:rPr>
          <w:sz w:val="28"/>
          <w:szCs w:val="28"/>
          <w:lang w:val="uk-UA"/>
        </w:rPr>
        <w:t xml:space="preserve">е з метою виконання положень Закону України </w:t>
      </w:r>
      <w:r w:rsidR="008E13E9">
        <w:rPr>
          <w:sz w:val="28"/>
          <w:szCs w:val="28"/>
          <w:lang w:val="uk-UA"/>
        </w:rPr>
        <w:t>«</w:t>
      </w:r>
      <w:r w:rsidR="00812AA6" w:rsidRPr="00561F45">
        <w:rPr>
          <w:sz w:val="28"/>
          <w:szCs w:val="28"/>
          <w:lang w:val="uk-UA"/>
        </w:rPr>
        <w:t>Про державне регулювання</w:t>
      </w:r>
      <w:r w:rsidR="008E13E9">
        <w:rPr>
          <w:sz w:val="28"/>
          <w:szCs w:val="28"/>
          <w:lang w:val="uk-UA"/>
        </w:rPr>
        <w:t xml:space="preserve"> ринку цінних паперів в Україні»</w:t>
      </w:r>
      <w:r w:rsidR="00812AA6" w:rsidRPr="00561F45">
        <w:rPr>
          <w:sz w:val="28"/>
          <w:szCs w:val="28"/>
          <w:lang w:val="uk-UA"/>
        </w:rPr>
        <w:t>, в частині здійснення державного регулювання ринку цінних паперів, контролю та нагляду за діяльністю управителів іпотечним покриттям на підставі отримання, серед іншого, фінансової звітності. Зокрема, дотримання виконання наказу Міністерства фінансів України від 07.02.2013 року № 73 «Про затвердження Національного положення (стандарту) бухгалтерського обліку 1 «Загальні вимоги до фінансової звітності», який зареєстрований у Міністерстві юстиції України 28 лютого 2013 р. №336/22868.</w:t>
      </w:r>
    </w:p>
    <w:p w:rsidR="00812AA6" w:rsidRPr="00561F45" w:rsidRDefault="00812AA6" w:rsidP="0012635D">
      <w:pPr>
        <w:ind w:firstLine="708"/>
        <w:jc w:val="both"/>
        <w:rPr>
          <w:sz w:val="28"/>
          <w:szCs w:val="28"/>
          <w:lang w:val="uk-UA"/>
        </w:rPr>
      </w:pPr>
    </w:p>
    <w:p w:rsidR="009F08CF" w:rsidRPr="00561F45" w:rsidRDefault="009F08CF" w:rsidP="0012635D">
      <w:pPr>
        <w:ind w:firstLine="708"/>
        <w:jc w:val="both"/>
        <w:rPr>
          <w:b/>
          <w:bCs/>
          <w:sz w:val="28"/>
          <w:szCs w:val="28"/>
          <w:lang w:val="uk-UA"/>
        </w:rPr>
      </w:pPr>
      <w:r w:rsidRPr="00561F45">
        <w:rPr>
          <w:b/>
          <w:bCs/>
          <w:sz w:val="28"/>
          <w:szCs w:val="28"/>
          <w:lang w:val="uk-UA"/>
        </w:rPr>
        <w:t>4. Строк виконання заходів з відстеження</w:t>
      </w:r>
    </w:p>
    <w:p w:rsidR="009F08CF" w:rsidRPr="00561F45" w:rsidRDefault="009F08CF" w:rsidP="0012635D">
      <w:pPr>
        <w:ind w:firstLine="708"/>
        <w:jc w:val="both"/>
        <w:rPr>
          <w:sz w:val="28"/>
          <w:szCs w:val="28"/>
          <w:lang w:val="uk-UA"/>
        </w:rPr>
      </w:pPr>
      <w:r w:rsidRPr="00561F45">
        <w:rPr>
          <w:sz w:val="28"/>
          <w:szCs w:val="28"/>
          <w:lang w:val="uk-UA"/>
        </w:rPr>
        <w:t xml:space="preserve">З </w:t>
      </w:r>
      <w:r w:rsidR="00812AA6" w:rsidRPr="00561F45">
        <w:rPr>
          <w:sz w:val="28"/>
          <w:szCs w:val="28"/>
          <w:lang w:val="uk-UA"/>
        </w:rPr>
        <w:t>05.02.2020</w:t>
      </w:r>
      <w:r w:rsidRPr="00561F45">
        <w:rPr>
          <w:sz w:val="28"/>
          <w:szCs w:val="28"/>
          <w:lang w:val="uk-UA"/>
        </w:rPr>
        <w:t xml:space="preserve"> по </w:t>
      </w:r>
      <w:r w:rsidR="00812AA6" w:rsidRPr="00561F45">
        <w:rPr>
          <w:sz w:val="28"/>
          <w:szCs w:val="28"/>
          <w:lang w:val="uk-UA"/>
        </w:rPr>
        <w:t>20.02</w:t>
      </w:r>
      <w:r w:rsidRPr="00561F45">
        <w:rPr>
          <w:sz w:val="28"/>
          <w:szCs w:val="28"/>
          <w:lang w:val="uk-UA"/>
        </w:rPr>
        <w:t>.20</w:t>
      </w:r>
      <w:r w:rsidR="00812AA6" w:rsidRPr="00561F45">
        <w:rPr>
          <w:sz w:val="28"/>
          <w:szCs w:val="28"/>
          <w:lang w:val="uk-UA"/>
        </w:rPr>
        <w:t>20</w:t>
      </w:r>
      <w:r w:rsidRPr="00561F45">
        <w:rPr>
          <w:sz w:val="28"/>
          <w:szCs w:val="28"/>
          <w:lang w:val="uk-UA"/>
        </w:rPr>
        <w:t>.</w:t>
      </w:r>
    </w:p>
    <w:p w:rsidR="009F08CF" w:rsidRPr="00561F45" w:rsidRDefault="009F08CF" w:rsidP="0012635D">
      <w:pPr>
        <w:ind w:firstLine="708"/>
        <w:jc w:val="both"/>
        <w:rPr>
          <w:b/>
          <w:bCs/>
          <w:sz w:val="28"/>
          <w:szCs w:val="28"/>
          <w:lang w:val="uk-UA"/>
        </w:rPr>
      </w:pPr>
    </w:p>
    <w:p w:rsidR="009F08CF" w:rsidRPr="00561F45" w:rsidRDefault="009F08CF" w:rsidP="0012635D">
      <w:pPr>
        <w:ind w:firstLine="708"/>
        <w:jc w:val="both"/>
        <w:rPr>
          <w:b/>
          <w:bCs/>
          <w:sz w:val="28"/>
          <w:szCs w:val="28"/>
          <w:lang w:val="uk-UA"/>
        </w:rPr>
      </w:pPr>
      <w:r w:rsidRPr="00561F45">
        <w:rPr>
          <w:b/>
          <w:bCs/>
          <w:sz w:val="28"/>
          <w:szCs w:val="28"/>
          <w:lang w:val="uk-UA"/>
        </w:rPr>
        <w:t>5. Тип відстеження</w:t>
      </w:r>
    </w:p>
    <w:p w:rsidR="009F08CF" w:rsidRPr="00561F45" w:rsidRDefault="00436B31" w:rsidP="0012635D">
      <w:pPr>
        <w:ind w:firstLine="708"/>
        <w:jc w:val="both"/>
        <w:rPr>
          <w:sz w:val="28"/>
          <w:szCs w:val="28"/>
          <w:lang w:val="uk-UA"/>
        </w:rPr>
      </w:pPr>
      <w:r w:rsidRPr="00561F45">
        <w:rPr>
          <w:sz w:val="28"/>
          <w:szCs w:val="28"/>
          <w:lang w:val="uk-UA"/>
        </w:rPr>
        <w:t>П</w:t>
      </w:r>
      <w:r w:rsidR="00812AA6" w:rsidRPr="00561F45">
        <w:rPr>
          <w:sz w:val="28"/>
          <w:szCs w:val="28"/>
          <w:lang w:val="uk-UA"/>
        </w:rPr>
        <w:t>еріодичне</w:t>
      </w:r>
      <w:r w:rsidR="009F08CF" w:rsidRPr="00561F45">
        <w:rPr>
          <w:sz w:val="28"/>
          <w:szCs w:val="28"/>
          <w:lang w:val="uk-UA"/>
        </w:rPr>
        <w:t>.</w:t>
      </w:r>
    </w:p>
    <w:p w:rsidR="009F08CF" w:rsidRPr="00561F45" w:rsidRDefault="009F08CF" w:rsidP="009163A3">
      <w:pPr>
        <w:spacing w:before="100" w:after="100"/>
        <w:ind w:firstLine="709"/>
        <w:jc w:val="both"/>
        <w:rPr>
          <w:sz w:val="28"/>
          <w:szCs w:val="28"/>
          <w:lang w:val="uk-UA"/>
        </w:rPr>
      </w:pPr>
    </w:p>
    <w:p w:rsidR="009F08CF" w:rsidRPr="00561F45" w:rsidRDefault="009F08CF" w:rsidP="0012635D">
      <w:pPr>
        <w:ind w:firstLine="851"/>
        <w:jc w:val="both"/>
        <w:rPr>
          <w:b/>
          <w:bCs/>
          <w:sz w:val="28"/>
          <w:szCs w:val="28"/>
          <w:lang w:val="uk-UA"/>
        </w:rPr>
      </w:pPr>
      <w:r w:rsidRPr="00561F45">
        <w:rPr>
          <w:b/>
          <w:bCs/>
          <w:sz w:val="28"/>
          <w:szCs w:val="28"/>
          <w:lang w:val="uk-UA"/>
        </w:rPr>
        <w:t>6. Метод одержання результатів відстеження</w:t>
      </w:r>
    </w:p>
    <w:p w:rsidR="00436B31" w:rsidRPr="00561F45" w:rsidRDefault="00436B31" w:rsidP="0012635D">
      <w:pPr>
        <w:ind w:firstLine="851"/>
        <w:jc w:val="both"/>
        <w:rPr>
          <w:sz w:val="28"/>
          <w:szCs w:val="28"/>
          <w:lang w:val="uk-UA"/>
        </w:rPr>
      </w:pPr>
      <w:r w:rsidRPr="00561F45">
        <w:rPr>
          <w:sz w:val="28"/>
          <w:szCs w:val="28"/>
          <w:lang w:val="uk-UA"/>
        </w:rPr>
        <w:t xml:space="preserve">Під час проведення відстеження результативності регуляторного акта було застосовано статистичний метод шляхом аналізу наявної статистичної інформації, а також шляхом збору пропозицій та зауважень від фізичних та юридичних осіб, їх об’єднань, що надходили після </w:t>
      </w:r>
      <w:r w:rsidR="00E569E0" w:rsidRPr="00561F45">
        <w:rPr>
          <w:sz w:val="28"/>
          <w:szCs w:val="28"/>
          <w:lang w:val="uk-UA"/>
        </w:rPr>
        <w:t>оприлюднення Рішення Комісії.</w:t>
      </w:r>
    </w:p>
    <w:p w:rsidR="009F08CF" w:rsidRPr="00561F45" w:rsidRDefault="009F08CF" w:rsidP="0012635D">
      <w:pPr>
        <w:tabs>
          <w:tab w:val="left" w:pos="0"/>
        </w:tabs>
        <w:ind w:firstLine="851"/>
        <w:jc w:val="both"/>
        <w:rPr>
          <w:sz w:val="28"/>
          <w:szCs w:val="28"/>
          <w:lang w:val="uk-UA"/>
        </w:rPr>
      </w:pPr>
    </w:p>
    <w:p w:rsidR="009F08CF" w:rsidRPr="00561F45" w:rsidRDefault="009F08CF" w:rsidP="0012635D">
      <w:pPr>
        <w:ind w:firstLine="851"/>
        <w:jc w:val="both"/>
        <w:rPr>
          <w:b/>
          <w:bCs/>
          <w:sz w:val="28"/>
          <w:szCs w:val="28"/>
          <w:lang w:val="uk-UA"/>
        </w:rPr>
      </w:pPr>
      <w:r w:rsidRPr="00561F45">
        <w:rPr>
          <w:b/>
          <w:bCs/>
          <w:sz w:val="28"/>
          <w:szCs w:val="28"/>
          <w:lang w:val="uk-UA"/>
        </w:rPr>
        <w:t>7. Дані та припущення, на основі яких відстежувалася результативність, а також способи одержання даних</w:t>
      </w:r>
    </w:p>
    <w:p w:rsidR="00436B31" w:rsidRPr="00561F45" w:rsidRDefault="00436B31" w:rsidP="0012635D">
      <w:pPr>
        <w:ind w:firstLine="851"/>
        <w:jc w:val="both"/>
        <w:rPr>
          <w:sz w:val="28"/>
          <w:szCs w:val="28"/>
          <w:lang w:val="uk-UA"/>
        </w:rPr>
      </w:pPr>
      <w:r w:rsidRPr="00561F45">
        <w:rPr>
          <w:sz w:val="28"/>
          <w:szCs w:val="28"/>
          <w:lang w:val="uk-UA"/>
        </w:rPr>
        <w:t>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 пов’язаних з дією акта, кількості компаній з управління активами інститутів спільного інвестування, на які поширюватиметься дія акта.</w:t>
      </w:r>
    </w:p>
    <w:p w:rsidR="00436B31" w:rsidRPr="00561F45" w:rsidRDefault="00436B31" w:rsidP="0012635D">
      <w:pPr>
        <w:ind w:firstLine="851"/>
        <w:jc w:val="both"/>
        <w:rPr>
          <w:sz w:val="28"/>
          <w:szCs w:val="28"/>
          <w:lang w:val="uk-UA"/>
        </w:rPr>
      </w:pPr>
      <w:r w:rsidRPr="00561F45">
        <w:rPr>
          <w:sz w:val="28"/>
          <w:szCs w:val="28"/>
          <w:lang w:val="uk-UA"/>
        </w:rPr>
        <w:lastRenderedPageBreak/>
        <w:t>Значення інших показників результативності були отримані шляхом проведення соціологічного опитування методом узагальнення та аналізу пропозицій, зауважень отриманих від фізичних, юридичних осіб професійних учасників фондового ринку та їх об’єднань.</w:t>
      </w:r>
    </w:p>
    <w:p w:rsidR="009F08CF" w:rsidRPr="00561F45" w:rsidRDefault="009F08CF" w:rsidP="0012635D">
      <w:pPr>
        <w:tabs>
          <w:tab w:val="left" w:pos="0"/>
        </w:tabs>
        <w:ind w:firstLine="851"/>
        <w:jc w:val="both"/>
        <w:rPr>
          <w:sz w:val="28"/>
          <w:szCs w:val="28"/>
          <w:lang w:val="uk-UA"/>
        </w:rPr>
      </w:pPr>
    </w:p>
    <w:p w:rsidR="009F08CF" w:rsidRPr="00561F45" w:rsidRDefault="009F08CF" w:rsidP="0012635D">
      <w:pPr>
        <w:ind w:firstLine="851"/>
        <w:jc w:val="both"/>
        <w:rPr>
          <w:b/>
          <w:bCs/>
          <w:sz w:val="28"/>
          <w:szCs w:val="28"/>
          <w:lang w:val="uk-UA"/>
        </w:rPr>
      </w:pPr>
      <w:r w:rsidRPr="00561F45">
        <w:rPr>
          <w:b/>
          <w:bCs/>
          <w:sz w:val="28"/>
          <w:szCs w:val="28"/>
          <w:lang w:val="uk-UA"/>
        </w:rPr>
        <w:t>8. Кількісні та якісні значення показників результативності</w:t>
      </w:r>
    </w:p>
    <w:p w:rsidR="009843C7" w:rsidRPr="00561F45" w:rsidRDefault="009843C7" w:rsidP="0012635D">
      <w:pPr>
        <w:ind w:firstLine="851"/>
        <w:jc w:val="both"/>
        <w:rPr>
          <w:sz w:val="28"/>
          <w:szCs w:val="28"/>
          <w:lang w:val="uk-UA"/>
        </w:rPr>
      </w:pPr>
    </w:p>
    <w:p w:rsidR="009843C7" w:rsidRPr="00561F45" w:rsidRDefault="009843C7" w:rsidP="0012635D">
      <w:pPr>
        <w:ind w:firstLine="851"/>
        <w:jc w:val="both"/>
        <w:rPr>
          <w:sz w:val="28"/>
          <w:szCs w:val="28"/>
          <w:lang w:val="uk-UA"/>
        </w:rPr>
      </w:pPr>
      <w:r w:rsidRPr="00561F45">
        <w:rPr>
          <w:sz w:val="28"/>
          <w:szCs w:val="28"/>
          <w:lang w:val="uk-UA"/>
        </w:rPr>
        <w:t>Виходячи з мети державного регулювання для оцінювання ефективності реалізації норм рішення Комісії можна зазначити такі показники:</w:t>
      </w:r>
    </w:p>
    <w:p w:rsidR="009843C7" w:rsidRPr="00561F45" w:rsidRDefault="009843C7" w:rsidP="0012635D">
      <w:pPr>
        <w:pStyle w:val="2"/>
        <w:spacing w:after="0" w:line="240" w:lineRule="auto"/>
        <w:ind w:left="0" w:firstLine="851"/>
        <w:jc w:val="both"/>
        <w:rPr>
          <w:color w:val="000000"/>
          <w:spacing w:val="-1"/>
          <w:sz w:val="28"/>
          <w:szCs w:val="28"/>
          <w:lang w:val="uk-UA"/>
        </w:rPr>
      </w:pPr>
      <w:r w:rsidRPr="00561F45">
        <w:rPr>
          <w:bCs/>
          <w:color w:val="000000"/>
          <w:sz w:val="28"/>
          <w:szCs w:val="28"/>
          <w:lang w:val="uk-UA"/>
        </w:rPr>
        <w:t xml:space="preserve">1) </w:t>
      </w:r>
      <w:r w:rsidRPr="00561F45">
        <w:rPr>
          <w:bCs/>
          <w:i/>
          <w:color w:val="000000"/>
          <w:sz w:val="28"/>
          <w:szCs w:val="28"/>
          <w:lang w:val="uk-UA"/>
        </w:rPr>
        <w:t>р</w:t>
      </w:r>
      <w:r w:rsidRPr="00561F45">
        <w:rPr>
          <w:i/>
          <w:color w:val="000000"/>
          <w:sz w:val="28"/>
          <w:szCs w:val="28"/>
          <w:lang w:val="uk-UA"/>
        </w:rPr>
        <w:t xml:space="preserve">озмір надходжень до державного та місцевих бюджетів і державних цільових фондів, пов’язаних з дією акта </w:t>
      </w:r>
      <w:r w:rsidRPr="00561F45">
        <w:rPr>
          <w:color w:val="000000"/>
          <w:spacing w:val="-1"/>
          <w:sz w:val="28"/>
          <w:szCs w:val="28"/>
          <w:lang w:val="uk-UA"/>
        </w:rPr>
        <w:t xml:space="preserve"> – не зміниться;</w:t>
      </w:r>
    </w:p>
    <w:p w:rsidR="009843C7" w:rsidRPr="00561F45" w:rsidRDefault="009843C7" w:rsidP="0012635D">
      <w:pPr>
        <w:pStyle w:val="2"/>
        <w:spacing w:after="0" w:line="240" w:lineRule="auto"/>
        <w:ind w:left="0" w:firstLine="851"/>
        <w:jc w:val="both"/>
        <w:rPr>
          <w:bCs/>
          <w:color w:val="000000"/>
          <w:sz w:val="28"/>
          <w:szCs w:val="28"/>
          <w:lang w:val="uk-UA"/>
        </w:rPr>
      </w:pPr>
      <w:r w:rsidRPr="00561F45">
        <w:rPr>
          <w:bCs/>
          <w:color w:val="000000"/>
          <w:sz w:val="28"/>
          <w:szCs w:val="28"/>
          <w:lang w:val="uk-UA"/>
        </w:rPr>
        <w:t>2)</w:t>
      </w:r>
      <w:r w:rsidRPr="00561F45">
        <w:rPr>
          <w:bCs/>
          <w:i/>
          <w:color w:val="000000"/>
          <w:sz w:val="28"/>
          <w:szCs w:val="28"/>
          <w:lang w:val="uk-UA"/>
        </w:rPr>
        <w:t xml:space="preserve"> розмір коштів і час, що витрачатимуться суб’єктами господарювання у зв’язку з дією акта</w:t>
      </w:r>
      <w:r w:rsidRPr="00561F45">
        <w:rPr>
          <w:bCs/>
          <w:color w:val="000000"/>
          <w:sz w:val="28"/>
          <w:szCs w:val="28"/>
          <w:lang w:val="uk-UA"/>
        </w:rPr>
        <w:t xml:space="preserve"> </w:t>
      </w:r>
      <w:r w:rsidRPr="00561F45">
        <w:rPr>
          <w:color w:val="000000"/>
          <w:spacing w:val="-1"/>
          <w:sz w:val="28"/>
          <w:szCs w:val="28"/>
          <w:lang w:val="uk-UA"/>
        </w:rPr>
        <w:t>–</w:t>
      </w:r>
      <w:r w:rsidRPr="00561F45">
        <w:rPr>
          <w:bCs/>
          <w:color w:val="000000"/>
          <w:sz w:val="28"/>
          <w:szCs w:val="28"/>
          <w:lang w:val="uk-UA"/>
        </w:rPr>
        <w:t xml:space="preserve"> не зміниться.</w:t>
      </w:r>
    </w:p>
    <w:p w:rsidR="009843C7" w:rsidRPr="00561F45" w:rsidRDefault="009843C7" w:rsidP="0012635D">
      <w:pPr>
        <w:ind w:firstLine="851"/>
        <w:jc w:val="both"/>
        <w:rPr>
          <w:sz w:val="28"/>
          <w:szCs w:val="28"/>
          <w:lang w:val="uk-UA"/>
        </w:rPr>
      </w:pPr>
      <w:r w:rsidRPr="00561F45">
        <w:rPr>
          <w:sz w:val="28"/>
          <w:szCs w:val="28"/>
          <w:lang w:val="uk-UA"/>
        </w:rPr>
        <w:t xml:space="preserve">3) </w:t>
      </w:r>
      <w:r w:rsidRPr="00561F45">
        <w:rPr>
          <w:i/>
          <w:sz w:val="28"/>
          <w:szCs w:val="28"/>
          <w:lang w:val="uk-UA"/>
        </w:rPr>
        <w:t>кількість суб’єктів господарювання та/або фізичних осіб, на яких поширюватиметься дія акта</w:t>
      </w:r>
      <w:r w:rsidRPr="00561F45">
        <w:rPr>
          <w:sz w:val="28"/>
          <w:szCs w:val="28"/>
          <w:lang w:val="uk-UA"/>
        </w:rPr>
        <w:t xml:space="preserve"> - дія акту на сьогодні поширюється на 1 професійного учасника фондового ринку, що провадить діяльність з управління іпотечним покриттям;</w:t>
      </w:r>
    </w:p>
    <w:p w:rsidR="009843C7" w:rsidRPr="00561F45" w:rsidRDefault="009843C7" w:rsidP="0012635D">
      <w:pPr>
        <w:ind w:firstLine="851"/>
        <w:jc w:val="both"/>
        <w:rPr>
          <w:sz w:val="28"/>
          <w:szCs w:val="28"/>
          <w:lang w:val="uk-UA"/>
        </w:rPr>
      </w:pPr>
      <w:r w:rsidRPr="00561F45">
        <w:rPr>
          <w:sz w:val="28"/>
          <w:szCs w:val="28"/>
          <w:lang w:val="uk-UA"/>
        </w:rPr>
        <w:t>4)</w:t>
      </w:r>
      <w:r w:rsidRPr="00561F45">
        <w:rPr>
          <w:i/>
          <w:sz w:val="28"/>
          <w:szCs w:val="28"/>
          <w:lang w:val="uk-UA"/>
        </w:rPr>
        <w:t xml:space="preserve"> рівень поінформованості суб’єктів господарювання та/або фізичних осіб з основних положень акта</w:t>
      </w:r>
      <w:r w:rsidRPr="00561F45">
        <w:rPr>
          <w:sz w:val="28"/>
          <w:szCs w:val="28"/>
          <w:lang w:val="uk-UA"/>
        </w:rPr>
        <w:t xml:space="preserve"> – середній. Даний проект регуляторного акта, з метою громадського обговорення, оприлюднено на офіційному веб-сайті Комісії.</w:t>
      </w:r>
    </w:p>
    <w:p w:rsidR="009843C7" w:rsidRPr="00561F45" w:rsidRDefault="009843C7" w:rsidP="0012635D">
      <w:pPr>
        <w:ind w:firstLine="851"/>
        <w:jc w:val="both"/>
        <w:rPr>
          <w:sz w:val="28"/>
          <w:szCs w:val="28"/>
          <w:lang w:val="uk-UA"/>
        </w:rPr>
      </w:pPr>
      <w:bookmarkStart w:id="1" w:name="n1748"/>
      <w:bookmarkEnd w:id="1"/>
      <w:r w:rsidRPr="00561F45">
        <w:rPr>
          <w:sz w:val="28"/>
          <w:szCs w:val="28"/>
          <w:lang w:val="uk-UA"/>
        </w:rPr>
        <w:t>Отже, прогноз результатів реалізації акта визначається в якісному вимірі та є позитивним для усіх заінтересованих сторін: держави, управителів іпотечного покриття і власників іпотечних облігацій, а також не містит</w:t>
      </w:r>
      <w:r w:rsidR="00742586">
        <w:rPr>
          <w:sz w:val="28"/>
          <w:szCs w:val="28"/>
          <w:lang w:val="uk-UA"/>
        </w:rPr>
        <w:t>ь</w:t>
      </w:r>
      <w:r w:rsidRPr="00561F45">
        <w:rPr>
          <w:sz w:val="28"/>
          <w:szCs w:val="28"/>
          <w:lang w:val="uk-UA"/>
        </w:rPr>
        <w:t xml:space="preserve"> ризиків при реалізації положень рішення Комісії. </w:t>
      </w:r>
    </w:p>
    <w:p w:rsidR="009843C7" w:rsidRPr="00561F45" w:rsidRDefault="009843C7" w:rsidP="0012635D">
      <w:pPr>
        <w:pStyle w:val="a9"/>
        <w:spacing w:after="0"/>
        <w:ind w:left="0" w:right="142" w:firstLine="851"/>
        <w:jc w:val="both"/>
        <w:rPr>
          <w:sz w:val="28"/>
          <w:szCs w:val="28"/>
          <w:lang w:val="uk-UA"/>
        </w:rPr>
      </w:pPr>
    </w:p>
    <w:p w:rsidR="009F08CF" w:rsidRPr="00561F45" w:rsidRDefault="009F08CF" w:rsidP="0012635D">
      <w:pPr>
        <w:ind w:firstLine="851"/>
        <w:jc w:val="both"/>
        <w:rPr>
          <w:sz w:val="28"/>
          <w:szCs w:val="28"/>
          <w:lang w:val="uk-UA"/>
        </w:rPr>
      </w:pPr>
      <w:r w:rsidRPr="00561F45">
        <w:rPr>
          <w:b/>
          <w:bCs/>
          <w:sz w:val="28"/>
          <w:szCs w:val="28"/>
          <w:lang w:val="uk-UA"/>
        </w:rPr>
        <w:t>9. Оцінка результатів реалізації регуляторного акта та ступеня досягнення визначених цілей</w:t>
      </w:r>
    </w:p>
    <w:p w:rsidR="003221AE" w:rsidRPr="00561F45" w:rsidRDefault="00436B31" w:rsidP="0012635D">
      <w:pPr>
        <w:ind w:firstLine="851"/>
        <w:jc w:val="both"/>
        <w:rPr>
          <w:sz w:val="28"/>
          <w:szCs w:val="28"/>
          <w:lang w:val="uk-UA"/>
        </w:rPr>
      </w:pPr>
      <w:r w:rsidRPr="00561F45">
        <w:rPr>
          <w:sz w:val="28"/>
          <w:szCs w:val="28"/>
          <w:lang w:val="uk-UA"/>
        </w:rPr>
        <w:t>Регуляторний акт має високий ступінь досягнення визначених цілей</w:t>
      </w:r>
      <w:r w:rsidR="009711E4" w:rsidRPr="00561F45">
        <w:rPr>
          <w:sz w:val="28"/>
          <w:szCs w:val="28"/>
          <w:lang w:val="uk-UA"/>
        </w:rPr>
        <w:t>.</w:t>
      </w:r>
      <w:r w:rsidR="003221AE" w:rsidRPr="00561F45">
        <w:rPr>
          <w:sz w:val="28"/>
          <w:szCs w:val="28"/>
          <w:lang w:val="uk-UA"/>
        </w:rPr>
        <w:t xml:space="preserve"> </w:t>
      </w:r>
    </w:p>
    <w:p w:rsidR="009F08CF" w:rsidRPr="00561F45" w:rsidRDefault="00436B31" w:rsidP="0012635D">
      <w:pPr>
        <w:ind w:firstLine="851"/>
        <w:jc w:val="both"/>
        <w:rPr>
          <w:sz w:val="28"/>
          <w:szCs w:val="28"/>
          <w:lang w:val="uk-UA"/>
        </w:rPr>
      </w:pPr>
      <w:r w:rsidRPr="00561F45">
        <w:rPr>
          <w:sz w:val="28"/>
          <w:szCs w:val="28"/>
          <w:lang w:val="uk-UA"/>
        </w:rPr>
        <w:t>Прийняття р</w:t>
      </w:r>
      <w:r w:rsidR="009F08CF" w:rsidRPr="00561F45">
        <w:rPr>
          <w:sz w:val="28"/>
          <w:szCs w:val="28"/>
          <w:lang w:val="uk-UA"/>
        </w:rPr>
        <w:t>егуляторн</w:t>
      </w:r>
      <w:r w:rsidRPr="00561F45">
        <w:rPr>
          <w:sz w:val="28"/>
          <w:szCs w:val="28"/>
          <w:lang w:val="uk-UA"/>
        </w:rPr>
        <w:t>ого</w:t>
      </w:r>
      <w:r w:rsidR="009F08CF" w:rsidRPr="00561F45">
        <w:rPr>
          <w:sz w:val="28"/>
          <w:szCs w:val="28"/>
          <w:lang w:val="uk-UA"/>
        </w:rPr>
        <w:t xml:space="preserve"> акт</w:t>
      </w:r>
      <w:r w:rsidRPr="00561F45">
        <w:rPr>
          <w:sz w:val="28"/>
          <w:szCs w:val="28"/>
          <w:lang w:val="uk-UA"/>
        </w:rPr>
        <w:t>а</w:t>
      </w:r>
      <w:r w:rsidR="009F08CF" w:rsidRPr="00561F45">
        <w:rPr>
          <w:sz w:val="28"/>
          <w:szCs w:val="28"/>
          <w:lang w:val="uk-UA"/>
        </w:rPr>
        <w:t xml:space="preserve"> сприя</w:t>
      </w:r>
      <w:r w:rsidRPr="00561F45">
        <w:rPr>
          <w:sz w:val="28"/>
          <w:szCs w:val="28"/>
          <w:lang w:val="uk-UA"/>
        </w:rPr>
        <w:t>ло</w:t>
      </w:r>
      <w:r w:rsidR="00F16767" w:rsidRPr="00561F45">
        <w:rPr>
          <w:sz w:val="28"/>
          <w:szCs w:val="28"/>
          <w:lang w:val="uk-UA"/>
        </w:rPr>
        <w:t xml:space="preserve"> визнача</w:t>
      </w:r>
      <w:r w:rsidR="003221AE" w:rsidRPr="00561F45">
        <w:rPr>
          <w:sz w:val="28"/>
          <w:szCs w:val="28"/>
          <w:lang w:val="uk-UA"/>
        </w:rPr>
        <w:t>нню</w:t>
      </w:r>
      <w:r w:rsidR="00F16767" w:rsidRPr="00561F45">
        <w:rPr>
          <w:sz w:val="28"/>
          <w:szCs w:val="28"/>
          <w:lang w:val="uk-UA"/>
        </w:rPr>
        <w:t xml:space="preserve"> склад</w:t>
      </w:r>
      <w:r w:rsidR="003221AE" w:rsidRPr="00561F45">
        <w:rPr>
          <w:sz w:val="28"/>
          <w:szCs w:val="28"/>
          <w:lang w:val="uk-UA"/>
        </w:rPr>
        <w:t>у</w:t>
      </w:r>
      <w:r w:rsidR="00F16767" w:rsidRPr="00561F45">
        <w:rPr>
          <w:sz w:val="28"/>
          <w:szCs w:val="28"/>
          <w:lang w:val="uk-UA"/>
        </w:rPr>
        <w:t>, строк</w:t>
      </w:r>
      <w:r w:rsidR="003221AE" w:rsidRPr="00561F45">
        <w:rPr>
          <w:sz w:val="28"/>
          <w:szCs w:val="28"/>
          <w:lang w:val="uk-UA"/>
        </w:rPr>
        <w:t>ів</w:t>
      </w:r>
      <w:r w:rsidR="00F16767" w:rsidRPr="00561F45">
        <w:rPr>
          <w:sz w:val="28"/>
          <w:szCs w:val="28"/>
          <w:lang w:val="uk-UA"/>
        </w:rPr>
        <w:t xml:space="preserve"> та порядк</w:t>
      </w:r>
      <w:r w:rsidR="003221AE" w:rsidRPr="00561F45">
        <w:rPr>
          <w:sz w:val="28"/>
          <w:szCs w:val="28"/>
          <w:lang w:val="uk-UA"/>
        </w:rPr>
        <w:t>у</w:t>
      </w:r>
      <w:r w:rsidR="00F16767" w:rsidRPr="00561F45">
        <w:rPr>
          <w:sz w:val="28"/>
          <w:szCs w:val="28"/>
          <w:lang w:val="uk-UA"/>
        </w:rPr>
        <w:t xml:space="preserve"> подання до Комісі</w:t>
      </w:r>
      <w:r w:rsidR="003221AE" w:rsidRPr="00561F45">
        <w:rPr>
          <w:sz w:val="28"/>
          <w:szCs w:val="28"/>
          <w:lang w:val="uk-UA"/>
        </w:rPr>
        <w:t>ї</w:t>
      </w:r>
      <w:r w:rsidR="00F16767" w:rsidRPr="00561F45">
        <w:rPr>
          <w:sz w:val="28"/>
          <w:szCs w:val="28"/>
          <w:lang w:val="uk-UA"/>
        </w:rPr>
        <w:t xml:space="preserve"> адміністративних даних щодо діяльності управителями іпотечним покриттям.</w:t>
      </w:r>
    </w:p>
    <w:p w:rsidR="009F08CF" w:rsidRPr="00561F45" w:rsidRDefault="009F08CF" w:rsidP="009163A3">
      <w:pPr>
        <w:pStyle w:val="a4"/>
        <w:ind w:firstLine="720"/>
        <w:jc w:val="both"/>
        <w:rPr>
          <w:b w:val="0"/>
          <w:szCs w:val="28"/>
        </w:rPr>
      </w:pPr>
    </w:p>
    <w:p w:rsidR="009F08CF" w:rsidRPr="00561F45" w:rsidRDefault="009F08CF" w:rsidP="009163A3">
      <w:pPr>
        <w:pStyle w:val="a4"/>
        <w:ind w:firstLine="720"/>
        <w:jc w:val="both"/>
        <w:rPr>
          <w:b w:val="0"/>
          <w:szCs w:val="28"/>
        </w:rPr>
      </w:pPr>
    </w:p>
    <w:p w:rsidR="009F08CF" w:rsidRPr="00561F45" w:rsidRDefault="009F08CF" w:rsidP="009163A3">
      <w:pPr>
        <w:ind w:firstLine="708"/>
        <w:jc w:val="both"/>
        <w:rPr>
          <w:b/>
          <w:sz w:val="28"/>
          <w:szCs w:val="28"/>
          <w:lang w:val="uk-UA"/>
        </w:rPr>
      </w:pPr>
    </w:p>
    <w:p w:rsidR="009F08CF" w:rsidRPr="00561F45" w:rsidRDefault="009F08CF" w:rsidP="003221AE">
      <w:pPr>
        <w:spacing w:before="100" w:after="100"/>
        <w:ind w:firstLine="540"/>
        <w:jc w:val="both"/>
        <w:rPr>
          <w:b/>
          <w:bCs/>
          <w:sz w:val="28"/>
          <w:szCs w:val="28"/>
          <w:lang w:val="uk-UA"/>
        </w:rPr>
      </w:pPr>
      <w:r w:rsidRPr="00561F45">
        <w:rPr>
          <w:b/>
          <w:bCs/>
          <w:sz w:val="28"/>
          <w:szCs w:val="28"/>
          <w:lang w:val="uk-UA"/>
        </w:rPr>
        <w:t xml:space="preserve">Голова Комісії         </w:t>
      </w:r>
      <w:r w:rsidRPr="00561F45">
        <w:rPr>
          <w:b/>
          <w:bCs/>
          <w:sz w:val="28"/>
          <w:szCs w:val="28"/>
          <w:lang w:val="uk-UA"/>
        </w:rPr>
        <w:tab/>
      </w:r>
      <w:r w:rsidRPr="00561F45">
        <w:rPr>
          <w:b/>
          <w:bCs/>
          <w:sz w:val="28"/>
          <w:szCs w:val="28"/>
          <w:lang w:val="uk-UA"/>
        </w:rPr>
        <w:tab/>
      </w:r>
      <w:r w:rsidRPr="00561F45">
        <w:rPr>
          <w:b/>
          <w:bCs/>
          <w:sz w:val="28"/>
          <w:szCs w:val="28"/>
          <w:lang w:val="uk-UA"/>
        </w:rPr>
        <w:tab/>
      </w:r>
      <w:r w:rsidRPr="00561F45">
        <w:rPr>
          <w:b/>
          <w:bCs/>
          <w:sz w:val="28"/>
          <w:szCs w:val="28"/>
          <w:lang w:val="uk-UA"/>
        </w:rPr>
        <w:tab/>
      </w:r>
      <w:r w:rsidRPr="00561F45">
        <w:rPr>
          <w:b/>
          <w:bCs/>
          <w:sz w:val="28"/>
          <w:szCs w:val="28"/>
          <w:lang w:val="uk-UA"/>
        </w:rPr>
        <w:tab/>
        <w:t xml:space="preserve">            </w:t>
      </w:r>
      <w:r w:rsidR="00E9133C" w:rsidRPr="00561F45">
        <w:rPr>
          <w:b/>
          <w:bCs/>
          <w:sz w:val="28"/>
          <w:szCs w:val="28"/>
          <w:lang w:val="uk-UA"/>
        </w:rPr>
        <w:t>Т</w:t>
      </w:r>
      <w:r w:rsidR="003221AE" w:rsidRPr="00561F45">
        <w:rPr>
          <w:b/>
          <w:bCs/>
          <w:sz w:val="28"/>
          <w:szCs w:val="28"/>
          <w:lang w:val="uk-UA"/>
        </w:rPr>
        <w:t>имур</w:t>
      </w:r>
      <w:r w:rsidRPr="00561F45">
        <w:rPr>
          <w:b/>
          <w:bCs/>
          <w:sz w:val="28"/>
          <w:szCs w:val="28"/>
          <w:lang w:val="uk-UA"/>
        </w:rPr>
        <w:t xml:space="preserve"> </w:t>
      </w:r>
      <w:r w:rsidR="00E9133C" w:rsidRPr="00561F45">
        <w:rPr>
          <w:b/>
          <w:bCs/>
          <w:sz w:val="28"/>
          <w:szCs w:val="28"/>
          <w:lang w:val="uk-UA"/>
        </w:rPr>
        <w:t>Х</w:t>
      </w:r>
      <w:r w:rsidR="003221AE" w:rsidRPr="00561F45">
        <w:rPr>
          <w:b/>
          <w:bCs/>
          <w:sz w:val="28"/>
          <w:szCs w:val="28"/>
          <w:lang w:val="uk-UA"/>
        </w:rPr>
        <w:t>РОМАЄВ</w:t>
      </w:r>
    </w:p>
    <w:p w:rsidR="009F08CF" w:rsidRPr="00561F45" w:rsidRDefault="009F08CF" w:rsidP="009163A3">
      <w:pPr>
        <w:rPr>
          <w:sz w:val="28"/>
          <w:szCs w:val="28"/>
          <w:lang w:val="uk-UA"/>
        </w:rPr>
      </w:pPr>
    </w:p>
    <w:p w:rsidR="009F08CF" w:rsidRPr="00561F45" w:rsidRDefault="009F08CF">
      <w:pPr>
        <w:rPr>
          <w:sz w:val="28"/>
          <w:szCs w:val="28"/>
          <w:lang w:val="uk-UA"/>
        </w:rPr>
      </w:pPr>
    </w:p>
    <w:sectPr w:rsidR="009F08CF" w:rsidRPr="00561F45" w:rsidSect="00436B31">
      <w:pgSz w:w="11906" w:h="16838"/>
      <w:pgMar w:top="737" w:right="737" w:bottom="73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3A3"/>
    <w:rsid w:val="00085250"/>
    <w:rsid w:val="000C3919"/>
    <w:rsid w:val="0012635D"/>
    <w:rsid w:val="001A7F4D"/>
    <w:rsid w:val="001B7C35"/>
    <w:rsid w:val="002276EF"/>
    <w:rsid w:val="003134B3"/>
    <w:rsid w:val="003221AE"/>
    <w:rsid w:val="00363DFC"/>
    <w:rsid w:val="003F130F"/>
    <w:rsid w:val="00436B31"/>
    <w:rsid w:val="005472DF"/>
    <w:rsid w:val="00561F45"/>
    <w:rsid w:val="005A7EB7"/>
    <w:rsid w:val="005D24C3"/>
    <w:rsid w:val="006A024B"/>
    <w:rsid w:val="00734BD7"/>
    <w:rsid w:val="00742586"/>
    <w:rsid w:val="00783C3E"/>
    <w:rsid w:val="007B4288"/>
    <w:rsid w:val="00812AA6"/>
    <w:rsid w:val="0084526C"/>
    <w:rsid w:val="008E13E9"/>
    <w:rsid w:val="009163A3"/>
    <w:rsid w:val="00923CAA"/>
    <w:rsid w:val="00941197"/>
    <w:rsid w:val="009711E4"/>
    <w:rsid w:val="009843C7"/>
    <w:rsid w:val="009D3438"/>
    <w:rsid w:val="009F08CF"/>
    <w:rsid w:val="009F5CD7"/>
    <w:rsid w:val="00A367BC"/>
    <w:rsid w:val="00B307E5"/>
    <w:rsid w:val="00CF4F7E"/>
    <w:rsid w:val="00DC7D45"/>
    <w:rsid w:val="00E569E0"/>
    <w:rsid w:val="00E9133C"/>
    <w:rsid w:val="00F1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C535F5-8608-469A-AF94-F629DD74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uiPriority="99"/>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3A3"/>
    <w:rPr>
      <w:rFonts w:ascii="Times New Roman" w:hAnsi="Times New Roman"/>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тиль Знак Знак"/>
    <w:basedOn w:val="a"/>
    <w:rsid w:val="009163A3"/>
    <w:rPr>
      <w:rFonts w:ascii="Verdana" w:hAnsi="Verdana" w:cs="Verdana"/>
      <w:lang w:val="en-US" w:eastAsia="en-US"/>
    </w:rPr>
  </w:style>
  <w:style w:type="paragraph" w:styleId="a4">
    <w:name w:val="Title"/>
    <w:basedOn w:val="a"/>
    <w:link w:val="a5"/>
    <w:qFormat/>
    <w:rsid w:val="009163A3"/>
    <w:pPr>
      <w:jc w:val="center"/>
    </w:pPr>
    <w:rPr>
      <w:b/>
      <w:sz w:val="28"/>
      <w:lang w:val="uk-UA"/>
    </w:rPr>
  </w:style>
  <w:style w:type="character" w:customStyle="1" w:styleId="a5">
    <w:name w:val="Заголовок Знак"/>
    <w:link w:val="a4"/>
    <w:locked/>
    <w:rsid w:val="009163A3"/>
    <w:rPr>
      <w:rFonts w:ascii="Times New Roman" w:hAnsi="Times New Roman" w:cs="Times New Roman"/>
      <w:b/>
      <w:sz w:val="20"/>
      <w:szCs w:val="20"/>
      <w:lang w:val="uk-UA" w:eastAsia="ru-RU"/>
    </w:rPr>
  </w:style>
  <w:style w:type="paragraph" w:styleId="a6">
    <w:name w:val="Body Text"/>
    <w:basedOn w:val="a"/>
    <w:link w:val="a7"/>
    <w:rsid w:val="009163A3"/>
    <w:pPr>
      <w:jc w:val="both"/>
    </w:pPr>
    <w:rPr>
      <w:b/>
      <w:bCs/>
      <w:sz w:val="28"/>
      <w:szCs w:val="24"/>
      <w:lang w:val="uk-UA"/>
    </w:rPr>
  </w:style>
  <w:style w:type="character" w:customStyle="1" w:styleId="a7">
    <w:name w:val="Основной текст Знак"/>
    <w:link w:val="a6"/>
    <w:locked/>
    <w:rsid w:val="009163A3"/>
    <w:rPr>
      <w:rFonts w:ascii="Times New Roman" w:hAnsi="Times New Roman" w:cs="Times New Roman"/>
      <w:b/>
      <w:bCs/>
      <w:sz w:val="24"/>
      <w:szCs w:val="24"/>
      <w:lang w:val="uk-UA" w:eastAsia="ru-RU"/>
    </w:rPr>
  </w:style>
  <w:style w:type="paragraph" w:customStyle="1" w:styleId="a8">
    <w:name w:val="Знак"/>
    <w:basedOn w:val="a"/>
    <w:autoRedefine/>
    <w:rsid w:val="00A367BC"/>
    <w:pPr>
      <w:ind w:firstLine="252"/>
      <w:jc w:val="center"/>
    </w:pPr>
    <w:rPr>
      <w:sz w:val="26"/>
      <w:szCs w:val="26"/>
      <w:lang w:val="uk-UA"/>
    </w:rPr>
  </w:style>
  <w:style w:type="paragraph" w:styleId="HTML">
    <w:name w:val="HTML Preformatted"/>
    <w:basedOn w:val="a"/>
    <w:link w:val="HTML0"/>
    <w:rsid w:val="00A36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link w:val="HTML"/>
    <w:locked/>
    <w:rsid w:val="00A367BC"/>
    <w:rPr>
      <w:rFonts w:ascii="Courier New" w:hAnsi="Courier New" w:cs="Courier New"/>
      <w:sz w:val="20"/>
      <w:szCs w:val="20"/>
      <w:lang w:val="uk-UA" w:eastAsia="uk-UA"/>
    </w:rPr>
  </w:style>
  <w:style w:type="paragraph" w:styleId="a9">
    <w:name w:val="Body Text Indent"/>
    <w:basedOn w:val="a"/>
    <w:link w:val="aa"/>
    <w:semiHidden/>
    <w:rsid w:val="00A367BC"/>
    <w:pPr>
      <w:spacing w:after="120"/>
      <w:ind w:left="283"/>
    </w:pPr>
  </w:style>
  <w:style w:type="character" w:customStyle="1" w:styleId="aa">
    <w:name w:val="Основной текст с отступом Знак"/>
    <w:link w:val="a9"/>
    <w:semiHidden/>
    <w:locked/>
    <w:rsid w:val="00A367BC"/>
    <w:rPr>
      <w:rFonts w:ascii="Times New Roman" w:hAnsi="Times New Roman" w:cs="Times New Roman"/>
      <w:sz w:val="20"/>
      <w:szCs w:val="20"/>
      <w:lang w:val="x-none" w:eastAsia="ru-RU"/>
    </w:rPr>
  </w:style>
  <w:style w:type="paragraph" w:customStyle="1" w:styleId="BodyTextIndent1">
    <w:name w:val="Body Text Indent1"/>
    <w:basedOn w:val="a"/>
    <w:rsid w:val="00A367BC"/>
    <w:pPr>
      <w:ind w:firstLine="567"/>
      <w:jc w:val="both"/>
    </w:pPr>
    <w:rPr>
      <w:sz w:val="28"/>
      <w:lang w:val="uk-UA"/>
    </w:rPr>
  </w:style>
  <w:style w:type="paragraph" w:styleId="2">
    <w:name w:val="Body Text Indent 2"/>
    <w:basedOn w:val="a"/>
    <w:link w:val="20"/>
    <w:rsid w:val="009843C7"/>
    <w:pPr>
      <w:spacing w:after="120" w:line="480" w:lineRule="auto"/>
      <w:ind w:left="283"/>
    </w:pPr>
  </w:style>
  <w:style w:type="character" w:customStyle="1" w:styleId="20">
    <w:name w:val="Основной текст с отступом 2 Знак"/>
    <w:link w:val="2"/>
    <w:rsid w:val="009843C7"/>
    <w:rPr>
      <w:rFonts w:ascii="Times New Roman" w:hAnsi="Times New Roman"/>
      <w:lang w:val="ru-RU" w:eastAsia="ru-RU"/>
    </w:rPr>
  </w:style>
  <w:style w:type="paragraph" w:customStyle="1" w:styleId="ab">
    <w:name w:val="Знак Знак Знак Знак Знак Знак Знак Знак Знак Знак Знак Знак"/>
    <w:basedOn w:val="a"/>
    <w:rsid w:val="009843C7"/>
    <w:rPr>
      <w:rFonts w:ascii="Verdana" w:eastAsia="Times New Roman" w:hAnsi="Verdana" w:cs="Verdana"/>
      <w:lang w:val="en-US" w:eastAsia="en-US"/>
    </w:rPr>
  </w:style>
  <w:style w:type="paragraph" w:styleId="ac">
    <w:name w:val="Normal (Web)"/>
    <w:basedOn w:val="a"/>
    <w:uiPriority w:val="99"/>
    <w:unhideWhenUsed/>
    <w:rsid w:val="00F16767"/>
    <w:pPr>
      <w:spacing w:before="100" w:beforeAutospacing="1" w:after="100" w:afterAutospacing="1"/>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3482</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Звіт про базове відстеження результативності регуляторного акта –</vt:lpstr>
      <vt:lpstr>Звіт про базове відстеження результативності регуляторного акта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базове відстеження результативності регуляторного акта –</dc:title>
  <dc:subject/>
  <dc:creator>kazimirskyi</dc:creator>
  <cp:keywords/>
  <dc:description/>
  <cp:lastModifiedBy>Руслан Кисляк</cp:lastModifiedBy>
  <cp:revision>2</cp:revision>
  <dcterms:created xsi:type="dcterms:W3CDTF">2020-02-26T12:31:00Z</dcterms:created>
  <dcterms:modified xsi:type="dcterms:W3CDTF">2020-02-26T12:31:00Z</dcterms:modified>
</cp:coreProperties>
</file>