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CAD" w:rsidRDefault="001E6666" w:rsidP="00324F5E">
      <w:pPr>
        <w:pStyle w:val="1"/>
        <w:widowControl w:val="0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FC2F97">
        <w:rPr>
          <w:rFonts w:ascii="Times New Roman" w:hAnsi="Times New Roman" w:cs="Times New Roman"/>
          <w:color w:val="000000"/>
          <w:sz w:val="28"/>
          <w:szCs w:val="28"/>
        </w:rPr>
        <w:t>ПОЯСНЮВАЛЬНА ЗАПИСКА</w:t>
      </w:r>
    </w:p>
    <w:p w:rsidR="0022219C" w:rsidRPr="00E557D2" w:rsidRDefault="00FC2F97" w:rsidP="00324F5E">
      <w:pPr>
        <w:pStyle w:val="1"/>
        <w:widowControl w:val="0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E557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до </w:t>
      </w:r>
      <w:r w:rsidR="00DB1776" w:rsidRPr="00E557D2">
        <w:rPr>
          <w:rFonts w:ascii="Times New Roman" w:hAnsi="Times New Roman" w:cs="Times New Roman"/>
          <w:b w:val="0"/>
          <w:bCs w:val="0"/>
          <w:sz w:val="28"/>
          <w:szCs w:val="28"/>
        </w:rPr>
        <w:t>про</w:t>
      </w:r>
      <w:r w:rsidR="00133248" w:rsidRPr="00E557D2">
        <w:rPr>
          <w:rFonts w:ascii="Times New Roman" w:hAnsi="Times New Roman" w:cs="Times New Roman"/>
          <w:b w:val="0"/>
          <w:bCs w:val="0"/>
          <w:sz w:val="28"/>
          <w:szCs w:val="28"/>
        </w:rPr>
        <w:t>є</w:t>
      </w:r>
      <w:r w:rsidR="00DB1776" w:rsidRPr="00E557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кту </w:t>
      </w:r>
      <w:r w:rsidRPr="00E557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рішення </w:t>
      </w:r>
      <w:r w:rsidRPr="00E557D2">
        <w:rPr>
          <w:rFonts w:ascii="Times New Roman" w:hAnsi="Times New Roman" w:cs="Times New Roman"/>
          <w:b w:val="0"/>
          <w:sz w:val="28"/>
          <w:szCs w:val="28"/>
        </w:rPr>
        <w:t>Національної комісії з цінних паперів та фондового ринку</w:t>
      </w:r>
      <w:r w:rsidR="006522F4" w:rsidRPr="00E557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1776" w:rsidRPr="00E557D2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«Про внесення змін до деяких нормативно-правових актів Національної комісії з цінних паперів та фондового ринку </w:t>
      </w:r>
      <w:r w:rsidR="00A01903" w:rsidRPr="00E557D2">
        <w:rPr>
          <w:rFonts w:ascii="Times New Roman" w:hAnsi="Times New Roman" w:cs="Times New Roman"/>
          <w:b w:val="0"/>
          <w:sz w:val="28"/>
          <w:szCs w:val="28"/>
          <w:lang w:eastAsia="ru-RU"/>
        </w:rPr>
        <w:t>щодо приведення до вимог законів України</w:t>
      </w:r>
      <w:r w:rsidR="00DB1776" w:rsidRPr="00E557D2">
        <w:rPr>
          <w:rFonts w:ascii="Times New Roman" w:hAnsi="Times New Roman" w:cs="Times New Roman"/>
          <w:b w:val="0"/>
          <w:sz w:val="28"/>
          <w:szCs w:val="28"/>
          <w:lang w:eastAsia="ru-RU"/>
        </w:rPr>
        <w:t>»</w:t>
      </w:r>
    </w:p>
    <w:p w:rsidR="00756CD0" w:rsidRPr="00E557D2" w:rsidRDefault="00756CD0" w:rsidP="00557A97">
      <w:pPr>
        <w:pStyle w:val="a8"/>
        <w:keepNext/>
        <w:widowControl w:val="0"/>
        <w:tabs>
          <w:tab w:val="left" w:pos="0"/>
        </w:tabs>
        <w:spacing w:after="0"/>
        <w:ind w:firstLine="426"/>
        <w:jc w:val="both"/>
        <w:rPr>
          <w:sz w:val="28"/>
          <w:szCs w:val="28"/>
        </w:rPr>
      </w:pPr>
    </w:p>
    <w:p w:rsidR="00021441" w:rsidRDefault="006522F4" w:rsidP="00557A97">
      <w:pPr>
        <w:pStyle w:val="a8"/>
        <w:keepNext/>
        <w:widowControl w:val="0"/>
        <w:tabs>
          <w:tab w:val="left" w:pos="0"/>
        </w:tabs>
        <w:spacing w:after="0"/>
        <w:ind w:firstLine="709"/>
        <w:jc w:val="both"/>
        <w:rPr>
          <w:b/>
        </w:rPr>
      </w:pPr>
      <w:r w:rsidRPr="006522F4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Резюме</w:t>
      </w:r>
      <w:r w:rsidR="003C322D">
        <w:rPr>
          <w:b/>
        </w:rPr>
        <w:t xml:space="preserve"> </w:t>
      </w:r>
    </w:p>
    <w:p w:rsidR="00557A97" w:rsidRDefault="00557A97" w:rsidP="00557A97">
      <w:pPr>
        <w:pStyle w:val="a8"/>
        <w:keepNext/>
        <w:widowControl w:val="0"/>
        <w:tabs>
          <w:tab w:val="left" w:pos="0"/>
        </w:tabs>
        <w:spacing w:after="0"/>
        <w:ind w:firstLine="709"/>
        <w:jc w:val="both"/>
        <w:rPr>
          <w:b/>
        </w:rPr>
      </w:pPr>
    </w:p>
    <w:p w:rsidR="00E00CDF" w:rsidRDefault="004414FF" w:rsidP="00557A97">
      <w:pPr>
        <w:pStyle w:val="a8"/>
        <w:keepNext/>
        <w:widowControl w:val="0"/>
        <w:tabs>
          <w:tab w:val="left" w:pos="0"/>
        </w:tabs>
        <w:spacing w:after="0"/>
        <w:ind w:firstLine="709"/>
        <w:jc w:val="both"/>
        <w:rPr>
          <w:sz w:val="28"/>
          <w:szCs w:val="28"/>
          <w:lang w:eastAsia="ru-RU"/>
        </w:rPr>
      </w:pPr>
      <w:r w:rsidRPr="00E00CDF">
        <w:rPr>
          <w:sz w:val="28"/>
          <w:szCs w:val="28"/>
        </w:rPr>
        <w:t>Про</w:t>
      </w:r>
      <w:r w:rsidR="00133248">
        <w:rPr>
          <w:sz w:val="28"/>
          <w:szCs w:val="28"/>
        </w:rPr>
        <w:t>є</w:t>
      </w:r>
      <w:r w:rsidRPr="00E00CDF">
        <w:rPr>
          <w:sz w:val="28"/>
          <w:szCs w:val="28"/>
        </w:rPr>
        <w:t xml:space="preserve">кт рішення Національної комісії з цінних паперів та фондового ринку «Про внесення змін до деяких нормативно-правових актів Національної комісії з цінних паперів та фондового ринку щодо </w:t>
      </w:r>
      <w:r w:rsidR="00E00CDF" w:rsidRPr="00A01903">
        <w:rPr>
          <w:sz w:val="28"/>
          <w:szCs w:val="28"/>
        </w:rPr>
        <w:t xml:space="preserve">приведення до вимог законів </w:t>
      </w:r>
      <w:r w:rsidRPr="00E00CDF">
        <w:rPr>
          <w:sz w:val="28"/>
          <w:szCs w:val="28"/>
        </w:rPr>
        <w:t>України» (далі – Про</w:t>
      </w:r>
      <w:r w:rsidR="00133248">
        <w:rPr>
          <w:sz w:val="28"/>
          <w:szCs w:val="28"/>
        </w:rPr>
        <w:t>є</w:t>
      </w:r>
      <w:r w:rsidRPr="00E00CDF">
        <w:rPr>
          <w:sz w:val="28"/>
          <w:szCs w:val="28"/>
        </w:rPr>
        <w:t xml:space="preserve">кт) розроблено відповідно до пункту 13 статті 8 Закону України «Про державне регулювання ринку цінних паперів в Україні», Закону України «Про депозитарну систему України», </w:t>
      </w:r>
      <w:r w:rsidR="00E00CDF" w:rsidRPr="00837F56">
        <w:rPr>
          <w:sz w:val="28"/>
          <w:szCs w:val="28"/>
        </w:rPr>
        <w:t>Закону України від 06</w:t>
      </w:r>
      <w:r w:rsidR="00E557D2">
        <w:rPr>
          <w:sz w:val="28"/>
          <w:szCs w:val="28"/>
        </w:rPr>
        <w:t> </w:t>
      </w:r>
      <w:r w:rsidR="00E00CDF" w:rsidRPr="00837F56">
        <w:rPr>
          <w:sz w:val="28"/>
          <w:szCs w:val="28"/>
        </w:rPr>
        <w:t xml:space="preserve">грудня 2019 року № 361-ІХ </w:t>
      </w:r>
      <w:r w:rsidR="00E00CDF">
        <w:rPr>
          <w:sz w:val="28"/>
          <w:szCs w:val="28"/>
        </w:rPr>
        <w:t>«</w:t>
      </w:r>
      <w:r w:rsidR="00E00CDF" w:rsidRPr="00837F56">
        <w:rPr>
          <w:sz w:val="28"/>
          <w:szCs w:val="28"/>
        </w:rPr>
        <w:t>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знищення», Закону України</w:t>
      </w:r>
      <w:r w:rsidR="00E00CDF" w:rsidRPr="00E00CDF">
        <w:rPr>
          <w:sz w:val="28"/>
          <w:szCs w:val="28"/>
        </w:rPr>
        <w:t xml:space="preserve"> </w:t>
      </w:r>
      <w:r w:rsidR="00E00CDF" w:rsidRPr="00837F56">
        <w:rPr>
          <w:sz w:val="28"/>
          <w:szCs w:val="28"/>
        </w:rPr>
        <w:t>від 12 вересня 2019 року № 79-ІХ «Про внесення змін до деяких законодавчих актів України щодо удосконалення функцій із державного регулювання ринків фінансових послуг»</w:t>
      </w:r>
      <w:r w:rsidR="00E00CDF" w:rsidRPr="008C09E6">
        <w:rPr>
          <w:sz w:val="28"/>
          <w:szCs w:val="28"/>
        </w:rPr>
        <w:t xml:space="preserve">, з метою </w:t>
      </w:r>
      <w:r w:rsidR="00E00CDF">
        <w:rPr>
          <w:sz w:val="28"/>
          <w:szCs w:val="28"/>
        </w:rPr>
        <w:t xml:space="preserve">приведення нормативно-правових актів Національної комісії з цінних паперів та фондового ринку до вимог законів </w:t>
      </w:r>
      <w:r w:rsidR="00E00CDF" w:rsidRPr="008C09E6">
        <w:rPr>
          <w:sz w:val="28"/>
          <w:szCs w:val="28"/>
          <w:lang w:eastAsia="ru-RU"/>
        </w:rPr>
        <w:t>України</w:t>
      </w:r>
      <w:r w:rsidR="00E00CDF">
        <w:rPr>
          <w:sz w:val="28"/>
          <w:szCs w:val="28"/>
          <w:lang w:eastAsia="ru-RU"/>
        </w:rPr>
        <w:t>.</w:t>
      </w:r>
      <w:r w:rsidR="00E00CDF" w:rsidRPr="008C09E6">
        <w:rPr>
          <w:sz w:val="28"/>
          <w:szCs w:val="28"/>
          <w:lang w:eastAsia="ru-RU"/>
        </w:rPr>
        <w:t xml:space="preserve"> </w:t>
      </w:r>
    </w:p>
    <w:p w:rsidR="00557A97" w:rsidRDefault="00557A97" w:rsidP="00557A97">
      <w:pPr>
        <w:pStyle w:val="a8"/>
        <w:keepNext/>
        <w:widowControl w:val="0"/>
        <w:tabs>
          <w:tab w:val="left" w:pos="0"/>
        </w:tabs>
        <w:spacing w:after="0"/>
        <w:ind w:firstLine="709"/>
        <w:jc w:val="both"/>
        <w:rPr>
          <w:sz w:val="28"/>
          <w:szCs w:val="28"/>
          <w:lang w:eastAsia="ru-RU"/>
        </w:rPr>
      </w:pPr>
    </w:p>
    <w:p w:rsidR="00724C3C" w:rsidRDefault="00724C3C" w:rsidP="00557A97">
      <w:pPr>
        <w:pStyle w:val="aa"/>
        <w:keepNext/>
        <w:widowControl w:val="0"/>
        <w:tabs>
          <w:tab w:val="left" w:pos="0"/>
          <w:tab w:val="left" w:pos="180"/>
        </w:tabs>
        <w:overflowPunct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724C3C">
        <w:rPr>
          <w:b/>
          <w:szCs w:val="28"/>
        </w:rPr>
        <w:t>2</w:t>
      </w:r>
      <w:r>
        <w:rPr>
          <w:szCs w:val="28"/>
        </w:rPr>
        <w:t xml:space="preserve">. </w:t>
      </w:r>
      <w:r>
        <w:rPr>
          <w:b/>
          <w:szCs w:val="28"/>
        </w:rPr>
        <w:t xml:space="preserve">Проблема, яка потребує </w:t>
      </w:r>
      <w:r w:rsidRPr="0089064C">
        <w:rPr>
          <w:b/>
          <w:szCs w:val="28"/>
        </w:rPr>
        <w:t>розв</w:t>
      </w:r>
      <w:r w:rsidR="0089064C" w:rsidRPr="0089064C">
        <w:rPr>
          <w:b/>
          <w:szCs w:val="28"/>
        </w:rPr>
        <w:t>’</w:t>
      </w:r>
      <w:r w:rsidRPr="0089064C">
        <w:rPr>
          <w:b/>
          <w:szCs w:val="28"/>
        </w:rPr>
        <w:t>язання</w:t>
      </w:r>
    </w:p>
    <w:p w:rsidR="00557A97" w:rsidRDefault="00557A97" w:rsidP="00557A97">
      <w:pPr>
        <w:pStyle w:val="aa"/>
        <w:keepNext/>
        <w:widowControl w:val="0"/>
        <w:tabs>
          <w:tab w:val="left" w:pos="0"/>
          <w:tab w:val="left" w:pos="180"/>
        </w:tabs>
        <w:overflowPunct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E00CDF" w:rsidRDefault="00E00CDF" w:rsidP="00557A97">
      <w:pPr>
        <w:pStyle w:val="a3"/>
        <w:tabs>
          <w:tab w:val="left" w:pos="1985"/>
        </w:tabs>
        <w:spacing w:before="0" w:beforeAutospacing="0" w:after="0" w:afterAutospacing="0" w:line="252" w:lineRule="auto"/>
        <w:ind w:firstLine="709"/>
        <w:jc w:val="both"/>
        <w:rPr>
          <w:sz w:val="28"/>
          <w:szCs w:val="28"/>
        </w:rPr>
      </w:pPr>
      <w:r w:rsidRPr="00837F56">
        <w:rPr>
          <w:sz w:val="28"/>
          <w:szCs w:val="28"/>
          <w:lang w:eastAsia="ru-RU"/>
        </w:rPr>
        <w:t>Закон</w:t>
      </w:r>
      <w:r>
        <w:rPr>
          <w:sz w:val="28"/>
          <w:szCs w:val="28"/>
          <w:lang w:eastAsia="ru-RU"/>
        </w:rPr>
        <w:t>ом</w:t>
      </w:r>
      <w:r w:rsidRPr="00837F56">
        <w:rPr>
          <w:sz w:val="28"/>
          <w:szCs w:val="28"/>
          <w:lang w:eastAsia="ru-RU"/>
        </w:rPr>
        <w:t xml:space="preserve"> України від 06 грудня 2019 року № 361-ІХ </w:t>
      </w:r>
      <w:r>
        <w:rPr>
          <w:sz w:val="28"/>
          <w:szCs w:val="28"/>
          <w:lang w:eastAsia="ru-RU"/>
        </w:rPr>
        <w:t>«</w:t>
      </w:r>
      <w:r w:rsidRPr="00837F56">
        <w:rPr>
          <w:sz w:val="28"/>
          <w:szCs w:val="28"/>
          <w:lang w:eastAsia="ru-RU"/>
        </w:rPr>
        <w:t>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знищення»</w:t>
      </w:r>
      <w:r>
        <w:rPr>
          <w:sz w:val="28"/>
          <w:szCs w:val="28"/>
          <w:lang w:eastAsia="ru-RU"/>
        </w:rPr>
        <w:t xml:space="preserve"> </w:t>
      </w:r>
      <w:r w:rsidRPr="0078298D">
        <w:rPr>
          <w:sz w:val="28"/>
          <w:szCs w:val="28"/>
        </w:rPr>
        <w:t xml:space="preserve">внесено зміни </w:t>
      </w:r>
      <w:r w:rsidRPr="00021441">
        <w:rPr>
          <w:sz w:val="28"/>
          <w:szCs w:val="28"/>
        </w:rPr>
        <w:t xml:space="preserve">до Закону України </w:t>
      </w:r>
      <w:r w:rsidR="00E557D2">
        <w:rPr>
          <w:sz w:val="28"/>
          <w:szCs w:val="28"/>
        </w:rPr>
        <w:t>«</w:t>
      </w:r>
      <w:r w:rsidR="008E2191" w:rsidRPr="00021441">
        <w:rPr>
          <w:sz w:val="28"/>
          <w:szCs w:val="28"/>
        </w:rPr>
        <w:t>Про депозитарну систему України</w:t>
      </w:r>
      <w:r w:rsidR="00E557D2">
        <w:rPr>
          <w:sz w:val="28"/>
          <w:szCs w:val="28"/>
        </w:rPr>
        <w:t>»</w:t>
      </w:r>
      <w:r w:rsidR="008E2191" w:rsidRPr="00021441">
        <w:rPr>
          <w:sz w:val="28"/>
          <w:szCs w:val="28"/>
        </w:rPr>
        <w:t xml:space="preserve"> </w:t>
      </w:r>
      <w:r w:rsidRPr="00021441">
        <w:rPr>
          <w:sz w:val="28"/>
          <w:szCs w:val="28"/>
        </w:rPr>
        <w:t>відповідно до яких, зокрема</w:t>
      </w:r>
      <w:r w:rsidR="00557A97">
        <w:rPr>
          <w:sz w:val="28"/>
          <w:szCs w:val="28"/>
        </w:rPr>
        <w:t xml:space="preserve">, </w:t>
      </w:r>
      <w:r w:rsidR="008E2191" w:rsidRPr="008E2191">
        <w:rPr>
          <w:sz w:val="28"/>
          <w:szCs w:val="28"/>
        </w:rPr>
        <w:t>пункт 11</w:t>
      </w:r>
      <w:r w:rsidR="008E2191" w:rsidRPr="00C36ABA">
        <w:rPr>
          <w:sz w:val="28"/>
          <w:szCs w:val="28"/>
          <w:vertAlign w:val="superscript"/>
        </w:rPr>
        <w:t>2</w:t>
      </w:r>
      <w:r w:rsidR="008E2191" w:rsidRPr="008E2191">
        <w:rPr>
          <w:sz w:val="28"/>
          <w:szCs w:val="28"/>
        </w:rPr>
        <w:t xml:space="preserve"> частини першої статті 1 після слів </w:t>
      </w:r>
      <w:r w:rsidR="00E557D2">
        <w:rPr>
          <w:sz w:val="28"/>
          <w:szCs w:val="28"/>
        </w:rPr>
        <w:t>«</w:t>
      </w:r>
      <w:r w:rsidR="008E2191" w:rsidRPr="008E2191">
        <w:rPr>
          <w:sz w:val="28"/>
          <w:szCs w:val="28"/>
        </w:rPr>
        <w:t>та/або членом Групи з розробки фінансових заходів боротьби з відмиванням грошей (FATF)</w:t>
      </w:r>
      <w:r w:rsidR="00E557D2">
        <w:rPr>
          <w:sz w:val="28"/>
          <w:szCs w:val="28"/>
        </w:rPr>
        <w:t>»</w:t>
      </w:r>
      <w:r w:rsidR="008E2191" w:rsidRPr="008E2191">
        <w:rPr>
          <w:sz w:val="28"/>
          <w:szCs w:val="28"/>
        </w:rPr>
        <w:t xml:space="preserve"> доповн</w:t>
      </w:r>
      <w:r w:rsidR="00B80110">
        <w:rPr>
          <w:sz w:val="28"/>
          <w:szCs w:val="28"/>
        </w:rPr>
        <w:t>ено</w:t>
      </w:r>
      <w:r w:rsidR="008E2191" w:rsidRPr="008E2191">
        <w:rPr>
          <w:sz w:val="28"/>
          <w:szCs w:val="28"/>
        </w:rPr>
        <w:t xml:space="preserve"> словами </w:t>
      </w:r>
      <w:r w:rsidR="00E557D2">
        <w:rPr>
          <w:sz w:val="28"/>
          <w:szCs w:val="28"/>
        </w:rPr>
        <w:t>«</w:t>
      </w:r>
      <w:r w:rsidR="008E2191" w:rsidRPr="008E2191">
        <w:rPr>
          <w:sz w:val="28"/>
          <w:szCs w:val="28"/>
        </w:rPr>
        <w:t>та є членом Міжнародної асоціації для системи з питань обслуг</w:t>
      </w:r>
      <w:r w:rsidR="002B433B">
        <w:rPr>
          <w:sz w:val="28"/>
          <w:szCs w:val="28"/>
        </w:rPr>
        <w:t>овування цінних паперів (ISSA)</w:t>
      </w:r>
      <w:r w:rsidR="00E557D2">
        <w:rPr>
          <w:sz w:val="28"/>
          <w:szCs w:val="28"/>
        </w:rPr>
        <w:t>»</w:t>
      </w:r>
      <w:r w:rsidR="002B433B">
        <w:rPr>
          <w:sz w:val="28"/>
          <w:szCs w:val="28"/>
        </w:rPr>
        <w:t>.</w:t>
      </w:r>
    </w:p>
    <w:p w:rsidR="00E00CDF" w:rsidRDefault="00E00CDF" w:rsidP="00557A97">
      <w:pPr>
        <w:pStyle w:val="a3"/>
        <w:tabs>
          <w:tab w:val="left" w:pos="1985"/>
        </w:tabs>
        <w:spacing w:before="0" w:beforeAutospacing="0" w:after="0" w:afterAutospacing="0" w:line="252" w:lineRule="auto"/>
        <w:ind w:firstLine="709"/>
        <w:jc w:val="both"/>
        <w:rPr>
          <w:szCs w:val="28"/>
        </w:rPr>
      </w:pPr>
      <w:r w:rsidRPr="00837F56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837F56">
        <w:rPr>
          <w:sz w:val="28"/>
          <w:szCs w:val="28"/>
        </w:rPr>
        <w:t xml:space="preserve"> України</w:t>
      </w:r>
      <w:r w:rsidRPr="002B433B">
        <w:rPr>
          <w:sz w:val="28"/>
          <w:szCs w:val="28"/>
        </w:rPr>
        <w:t xml:space="preserve"> </w:t>
      </w:r>
      <w:r w:rsidRPr="00837F56">
        <w:rPr>
          <w:sz w:val="28"/>
          <w:szCs w:val="28"/>
        </w:rPr>
        <w:t>від 12 вересня 2019 року № 79-ІХ «Про внесення змін до деяких законодавчих актів України щодо удосконалення функцій із державного регулювання ринків фінансових послуг»</w:t>
      </w:r>
      <w:r w:rsidRPr="008C09E6">
        <w:rPr>
          <w:sz w:val="28"/>
          <w:szCs w:val="28"/>
        </w:rPr>
        <w:t xml:space="preserve"> </w:t>
      </w:r>
      <w:r w:rsidRPr="0078298D">
        <w:rPr>
          <w:sz w:val="28"/>
          <w:szCs w:val="28"/>
        </w:rPr>
        <w:t>внесено зміни</w:t>
      </w:r>
      <w:r w:rsidR="002B433B">
        <w:rPr>
          <w:sz w:val="28"/>
          <w:szCs w:val="28"/>
        </w:rPr>
        <w:t xml:space="preserve"> у </w:t>
      </w:r>
      <w:r w:rsidR="002B433B" w:rsidRPr="002B433B">
        <w:rPr>
          <w:sz w:val="28"/>
          <w:szCs w:val="28"/>
        </w:rPr>
        <w:t>Господарськ</w:t>
      </w:r>
      <w:r w:rsidR="002B433B">
        <w:rPr>
          <w:sz w:val="28"/>
          <w:szCs w:val="28"/>
        </w:rPr>
        <w:t>ий</w:t>
      </w:r>
      <w:r w:rsidR="002B433B" w:rsidRPr="002B433B">
        <w:rPr>
          <w:sz w:val="28"/>
          <w:szCs w:val="28"/>
        </w:rPr>
        <w:t xml:space="preserve"> кодекс України </w:t>
      </w:r>
      <w:r w:rsidRPr="0078298D">
        <w:rPr>
          <w:sz w:val="28"/>
          <w:szCs w:val="28"/>
        </w:rPr>
        <w:t>відповідно до яких, зокрема</w:t>
      </w:r>
      <w:r w:rsidR="00557A97">
        <w:rPr>
          <w:sz w:val="28"/>
          <w:szCs w:val="28"/>
        </w:rPr>
        <w:t xml:space="preserve">, </w:t>
      </w:r>
      <w:r w:rsidR="002B433B" w:rsidRPr="002B433B">
        <w:rPr>
          <w:sz w:val="28"/>
          <w:szCs w:val="28"/>
        </w:rPr>
        <w:t xml:space="preserve">у другому реченні частини другої статті 163 слова </w:t>
      </w:r>
      <w:r w:rsidR="00857B88">
        <w:rPr>
          <w:sz w:val="28"/>
          <w:szCs w:val="28"/>
        </w:rPr>
        <w:t>«</w:t>
      </w:r>
      <w:r w:rsidR="002B433B" w:rsidRPr="002B433B">
        <w:rPr>
          <w:sz w:val="28"/>
          <w:szCs w:val="28"/>
        </w:rPr>
        <w:t>іпотечні сертифікати (сертифікати з фіксованою дохідністю,</w:t>
      </w:r>
      <w:r w:rsidR="00B80110">
        <w:rPr>
          <w:sz w:val="28"/>
          <w:szCs w:val="28"/>
        </w:rPr>
        <w:t xml:space="preserve"> сертифікати участі)</w:t>
      </w:r>
      <w:r w:rsidR="00857B88">
        <w:rPr>
          <w:sz w:val="28"/>
          <w:szCs w:val="28"/>
        </w:rPr>
        <w:t>»</w:t>
      </w:r>
      <w:r w:rsidR="00B80110">
        <w:rPr>
          <w:sz w:val="28"/>
          <w:szCs w:val="28"/>
        </w:rPr>
        <w:t xml:space="preserve"> виключено.</w:t>
      </w:r>
    </w:p>
    <w:p w:rsidR="002B433B" w:rsidRDefault="0078298D" w:rsidP="00557A97">
      <w:pPr>
        <w:keepNext/>
        <w:widowControl w:val="0"/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298D">
        <w:rPr>
          <w:sz w:val="28"/>
          <w:szCs w:val="28"/>
        </w:rPr>
        <w:t xml:space="preserve">У зв’язку з цим виникла необхідність приведення деяких нормативно-правових актів </w:t>
      </w:r>
      <w:r w:rsidR="008A6ACB" w:rsidRPr="008A6ACB">
        <w:rPr>
          <w:sz w:val="28"/>
          <w:szCs w:val="28"/>
          <w:lang w:eastAsia="ru-RU"/>
        </w:rPr>
        <w:t>Національної комісії з цінних паперів та фондового ринку</w:t>
      </w:r>
      <w:r w:rsidR="008A6ACB" w:rsidRPr="008A6ACB">
        <w:rPr>
          <w:sz w:val="28"/>
          <w:szCs w:val="28"/>
        </w:rPr>
        <w:t xml:space="preserve"> </w:t>
      </w:r>
      <w:r w:rsidRPr="0078298D">
        <w:rPr>
          <w:sz w:val="28"/>
          <w:szCs w:val="28"/>
        </w:rPr>
        <w:t xml:space="preserve">у відповідність до вимог Закону України </w:t>
      </w:r>
      <w:r w:rsidR="002B433B" w:rsidRPr="00837F56">
        <w:rPr>
          <w:sz w:val="28"/>
          <w:szCs w:val="28"/>
        </w:rPr>
        <w:t xml:space="preserve">від 06 грудня 2019 року № 361-ІХ </w:t>
      </w:r>
      <w:r w:rsidR="002B433B">
        <w:rPr>
          <w:sz w:val="28"/>
          <w:szCs w:val="28"/>
        </w:rPr>
        <w:t>«</w:t>
      </w:r>
      <w:r w:rsidR="002B433B" w:rsidRPr="00837F56">
        <w:rPr>
          <w:sz w:val="28"/>
          <w:szCs w:val="28"/>
        </w:rPr>
        <w:t xml:space="preserve">Про запобігання та протидію легалізації (відмиванню) доходів, одержаних злочинним шляхом, фінансуванню тероризму та фінансуванню </w:t>
      </w:r>
      <w:r w:rsidR="002B433B" w:rsidRPr="00837F56">
        <w:rPr>
          <w:sz w:val="28"/>
          <w:szCs w:val="28"/>
        </w:rPr>
        <w:lastRenderedPageBreak/>
        <w:t>розповсюдження зброї масового знищення»</w:t>
      </w:r>
      <w:r w:rsidR="002B433B">
        <w:rPr>
          <w:sz w:val="28"/>
          <w:szCs w:val="28"/>
        </w:rPr>
        <w:t xml:space="preserve"> та</w:t>
      </w:r>
      <w:r w:rsidR="002B433B" w:rsidRPr="00837F56">
        <w:rPr>
          <w:sz w:val="28"/>
          <w:szCs w:val="28"/>
        </w:rPr>
        <w:t xml:space="preserve"> Закону України</w:t>
      </w:r>
      <w:r w:rsidR="002B433B" w:rsidRPr="00E00CDF">
        <w:rPr>
          <w:sz w:val="28"/>
          <w:szCs w:val="28"/>
        </w:rPr>
        <w:t xml:space="preserve"> </w:t>
      </w:r>
      <w:r w:rsidR="002B433B" w:rsidRPr="00837F56">
        <w:rPr>
          <w:sz w:val="28"/>
          <w:szCs w:val="28"/>
        </w:rPr>
        <w:t>від 12 вересня 2019 року № 79-ІХ «Про внесення змін до деяких законодавчих актів України щодо удосконалення функцій із державного регулювання ринків фінансових послуг»</w:t>
      </w:r>
      <w:r w:rsidR="002B433B">
        <w:rPr>
          <w:sz w:val="28"/>
          <w:szCs w:val="28"/>
        </w:rPr>
        <w:t>.</w:t>
      </w:r>
    </w:p>
    <w:p w:rsidR="00557A97" w:rsidRDefault="00557A97" w:rsidP="00557A97">
      <w:pPr>
        <w:keepNext/>
        <w:widowControl w:val="0"/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298D" w:rsidRDefault="00CE35DB" w:rsidP="00557A97">
      <w:pPr>
        <w:keepNext/>
        <w:widowControl w:val="0"/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Суть П</w:t>
      </w:r>
      <w:r w:rsidR="0078298D" w:rsidRPr="0078298D">
        <w:rPr>
          <w:b/>
          <w:sz w:val="28"/>
          <w:szCs w:val="28"/>
        </w:rPr>
        <w:t>ро</w:t>
      </w:r>
      <w:r w:rsidR="00133248">
        <w:rPr>
          <w:b/>
          <w:sz w:val="28"/>
          <w:szCs w:val="28"/>
        </w:rPr>
        <w:t>є</w:t>
      </w:r>
      <w:r w:rsidR="0078298D" w:rsidRPr="0078298D">
        <w:rPr>
          <w:b/>
          <w:sz w:val="28"/>
          <w:szCs w:val="28"/>
        </w:rPr>
        <w:t>кту акта</w:t>
      </w:r>
    </w:p>
    <w:p w:rsidR="00557A97" w:rsidRPr="0078298D" w:rsidRDefault="00557A97" w:rsidP="00557A97">
      <w:pPr>
        <w:keepNext/>
        <w:widowControl w:val="0"/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26CE4" w:rsidRPr="0078298D" w:rsidRDefault="00086390" w:rsidP="00557A97">
      <w:pPr>
        <w:keepNext/>
        <w:widowControl w:val="0"/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огляду на вищевикладені </w:t>
      </w:r>
      <w:r w:rsidRPr="0078298D">
        <w:rPr>
          <w:sz w:val="28"/>
          <w:szCs w:val="28"/>
        </w:rPr>
        <w:t xml:space="preserve">зміни до </w:t>
      </w:r>
      <w:r w:rsidR="00F26CE4">
        <w:rPr>
          <w:sz w:val="28"/>
          <w:szCs w:val="28"/>
        </w:rPr>
        <w:t xml:space="preserve">Господарського кодексу України та </w:t>
      </w:r>
      <w:r w:rsidRPr="0078298D">
        <w:rPr>
          <w:sz w:val="28"/>
          <w:szCs w:val="28"/>
        </w:rPr>
        <w:t xml:space="preserve">Закону України </w:t>
      </w:r>
      <w:r w:rsidR="00857B88">
        <w:rPr>
          <w:sz w:val="28"/>
          <w:szCs w:val="28"/>
        </w:rPr>
        <w:t>«</w:t>
      </w:r>
      <w:r w:rsidR="003B7D81" w:rsidRPr="008E2191">
        <w:rPr>
          <w:sz w:val="28"/>
          <w:szCs w:val="28"/>
        </w:rPr>
        <w:t>Про депозитарну систему України</w:t>
      </w:r>
      <w:r w:rsidR="00857B88">
        <w:rPr>
          <w:sz w:val="28"/>
          <w:szCs w:val="28"/>
        </w:rPr>
        <w:t>»</w:t>
      </w:r>
      <w:r w:rsidR="003B7D81">
        <w:rPr>
          <w:sz w:val="28"/>
          <w:szCs w:val="28"/>
        </w:rPr>
        <w:t xml:space="preserve">, </w:t>
      </w:r>
      <w:r w:rsidR="00B431D9" w:rsidRPr="00B431D9">
        <w:rPr>
          <w:sz w:val="28"/>
          <w:szCs w:val="28"/>
        </w:rPr>
        <w:t xml:space="preserve">відповідно до яких </w:t>
      </w:r>
      <w:r w:rsidR="00F26CE4">
        <w:rPr>
          <w:sz w:val="28"/>
          <w:szCs w:val="28"/>
        </w:rPr>
        <w:t xml:space="preserve">змінено </w:t>
      </w:r>
      <w:r w:rsidR="00B431D9" w:rsidRPr="00B431D9">
        <w:rPr>
          <w:sz w:val="28"/>
          <w:szCs w:val="28"/>
        </w:rPr>
        <w:t>визначен</w:t>
      </w:r>
      <w:r w:rsidR="003B7D81">
        <w:rPr>
          <w:sz w:val="28"/>
          <w:szCs w:val="28"/>
        </w:rPr>
        <w:t>ня</w:t>
      </w:r>
      <w:r w:rsidR="00B431D9" w:rsidRPr="00B431D9">
        <w:rPr>
          <w:sz w:val="28"/>
          <w:szCs w:val="28"/>
        </w:rPr>
        <w:t xml:space="preserve"> поняття </w:t>
      </w:r>
      <w:r w:rsidR="003B7D81">
        <w:rPr>
          <w:sz w:val="28"/>
          <w:szCs w:val="28"/>
        </w:rPr>
        <w:t>«</w:t>
      </w:r>
      <w:r w:rsidR="003B7D81" w:rsidRPr="003B7D81">
        <w:rPr>
          <w:sz w:val="28"/>
          <w:szCs w:val="28"/>
        </w:rPr>
        <w:t>номінальний утримувач</w:t>
      </w:r>
      <w:r w:rsidR="003B7D81">
        <w:rPr>
          <w:sz w:val="28"/>
          <w:szCs w:val="28"/>
        </w:rPr>
        <w:t>»</w:t>
      </w:r>
      <w:r w:rsidR="00F26CE4">
        <w:rPr>
          <w:sz w:val="28"/>
          <w:szCs w:val="28"/>
        </w:rPr>
        <w:t xml:space="preserve">, </w:t>
      </w:r>
      <w:r w:rsidR="00021441">
        <w:rPr>
          <w:sz w:val="28"/>
          <w:szCs w:val="28"/>
        </w:rPr>
        <w:t xml:space="preserve">виключено іпотечні сертифікати з переліку видів цінних паперів, що використовуються у </w:t>
      </w:r>
      <w:r w:rsidR="00021441" w:rsidRPr="00021441">
        <w:rPr>
          <w:sz w:val="28"/>
          <w:szCs w:val="28"/>
        </w:rPr>
        <w:t>сфері господарювання</w:t>
      </w:r>
      <w:r w:rsidR="00021441">
        <w:rPr>
          <w:sz w:val="28"/>
          <w:szCs w:val="28"/>
        </w:rPr>
        <w:t xml:space="preserve">, </w:t>
      </w:r>
      <w:r w:rsidR="00F26CE4" w:rsidRPr="009E0B29">
        <w:rPr>
          <w:sz w:val="28"/>
          <w:szCs w:val="28"/>
        </w:rPr>
        <w:t>Про</w:t>
      </w:r>
      <w:r w:rsidR="00133248">
        <w:rPr>
          <w:sz w:val="28"/>
          <w:szCs w:val="28"/>
        </w:rPr>
        <w:t>є</w:t>
      </w:r>
      <w:r w:rsidR="00F26CE4" w:rsidRPr="009E0B29">
        <w:rPr>
          <w:sz w:val="28"/>
          <w:szCs w:val="28"/>
        </w:rPr>
        <w:t>кт</w:t>
      </w:r>
      <w:r w:rsidR="00F26CE4" w:rsidRPr="0078298D">
        <w:rPr>
          <w:sz w:val="28"/>
          <w:szCs w:val="28"/>
        </w:rPr>
        <w:t xml:space="preserve"> передбачає внесення відповідних змін до таких нормативно-правових актів </w:t>
      </w:r>
      <w:r w:rsidR="00F26CE4" w:rsidRPr="008A6ACB">
        <w:rPr>
          <w:sz w:val="28"/>
          <w:szCs w:val="28"/>
          <w:lang w:eastAsia="ru-RU"/>
        </w:rPr>
        <w:t>Національної комісії з цінних паперів та фондового ринку</w:t>
      </w:r>
      <w:r w:rsidR="00F26CE4" w:rsidRPr="0078298D">
        <w:rPr>
          <w:sz w:val="28"/>
          <w:szCs w:val="28"/>
        </w:rPr>
        <w:t>:</w:t>
      </w:r>
    </w:p>
    <w:p w:rsidR="00021441" w:rsidRDefault="00021441" w:rsidP="00557A97">
      <w:pPr>
        <w:keepNext/>
        <w:widowControl w:val="0"/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557D0">
        <w:rPr>
          <w:sz w:val="28"/>
          <w:szCs w:val="28"/>
          <w:lang w:eastAsia="ru-RU"/>
        </w:rPr>
        <w:t>Вимог до договору про надання послуг з обслуговування рахунку в цінних паперах номінального утримувача</w:t>
      </w:r>
      <w:r w:rsidRPr="00A557D0">
        <w:rPr>
          <w:sz w:val="28"/>
          <w:szCs w:val="28"/>
        </w:rPr>
        <w:t xml:space="preserve">, </w:t>
      </w:r>
      <w:r w:rsidRPr="00A557D0">
        <w:rPr>
          <w:sz w:val="28"/>
          <w:szCs w:val="28"/>
          <w:lang w:eastAsia="ru-RU"/>
        </w:rPr>
        <w:t>затверджених рішенням Національної комісії з цінних паперів та фондового ринку від 13 грудня 2018 року № 866, зареєстрованих</w:t>
      </w:r>
      <w:r w:rsidRPr="00457B43">
        <w:rPr>
          <w:sz w:val="28"/>
          <w:szCs w:val="28"/>
          <w:lang w:eastAsia="ru-RU"/>
        </w:rPr>
        <w:t xml:space="preserve"> у Міністерстві юстиції України</w:t>
      </w:r>
      <w:r>
        <w:rPr>
          <w:sz w:val="28"/>
          <w:szCs w:val="28"/>
          <w:lang w:eastAsia="ru-RU"/>
        </w:rPr>
        <w:t xml:space="preserve"> </w:t>
      </w:r>
      <w:r w:rsidRPr="00457B43">
        <w:rPr>
          <w:sz w:val="28"/>
          <w:szCs w:val="28"/>
          <w:lang w:eastAsia="ru-RU"/>
        </w:rPr>
        <w:t>22 лютого 2019 р</w:t>
      </w:r>
      <w:r>
        <w:rPr>
          <w:sz w:val="28"/>
          <w:szCs w:val="28"/>
          <w:lang w:eastAsia="ru-RU"/>
        </w:rPr>
        <w:t>оку</w:t>
      </w:r>
      <w:r w:rsidRPr="00457B43">
        <w:rPr>
          <w:sz w:val="28"/>
          <w:szCs w:val="28"/>
          <w:lang w:eastAsia="ru-RU"/>
        </w:rPr>
        <w:t xml:space="preserve"> за </w:t>
      </w:r>
      <w:r>
        <w:rPr>
          <w:sz w:val="28"/>
          <w:szCs w:val="28"/>
          <w:lang w:eastAsia="ru-RU"/>
        </w:rPr>
        <w:t>№</w:t>
      </w:r>
      <w:r w:rsidRPr="00457B43">
        <w:rPr>
          <w:sz w:val="28"/>
          <w:szCs w:val="28"/>
          <w:lang w:eastAsia="ru-RU"/>
        </w:rPr>
        <w:t xml:space="preserve"> 185/33156</w:t>
      </w:r>
      <w:r>
        <w:rPr>
          <w:sz w:val="28"/>
          <w:szCs w:val="28"/>
          <w:lang w:eastAsia="ru-RU"/>
        </w:rPr>
        <w:t>;</w:t>
      </w:r>
    </w:p>
    <w:p w:rsidR="002D0E9E" w:rsidRDefault="00021441" w:rsidP="00557A97">
      <w:pPr>
        <w:keepNext/>
        <w:widowControl w:val="0"/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476DD">
        <w:rPr>
          <w:sz w:val="28"/>
          <w:szCs w:val="28"/>
          <w:lang w:eastAsia="ru-RU"/>
        </w:rPr>
        <w:t>Положення про порядок звітування депозитарними установами до Національної комісії з цінних паперів та фондового ринку, затверджених рішенням Національної комісії з цінних паперів та фондового ринку від 11 червня 2013 року № 992, зареєстрованих у Міністерстві юстиції України 05 липня 2013 року за № 1126/23658</w:t>
      </w:r>
      <w:r w:rsidR="002D0E9E">
        <w:rPr>
          <w:sz w:val="28"/>
          <w:szCs w:val="28"/>
          <w:lang w:eastAsia="ru-RU"/>
        </w:rPr>
        <w:t>;</w:t>
      </w:r>
    </w:p>
    <w:p w:rsidR="002D0E9E" w:rsidRDefault="002D0E9E" w:rsidP="00557A97">
      <w:pPr>
        <w:keepNext/>
        <w:widowControl w:val="0"/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118FC">
        <w:rPr>
          <w:sz w:val="28"/>
          <w:szCs w:val="28"/>
          <w:lang w:eastAsia="ru-RU"/>
        </w:rPr>
        <w:t>Положення про глобальний сертифікат та тимчасовий глобальний сертифікат, затвердженого рішенням Національної комісії з цінних паперів та фондового ринку від 30 липня 2013 року № 1332, зареєстрованого у Міністерстві юстиції України 20 серпня 2013 року за № 1434/2966</w:t>
      </w:r>
      <w:r>
        <w:rPr>
          <w:sz w:val="28"/>
          <w:szCs w:val="28"/>
          <w:lang w:eastAsia="ru-RU"/>
        </w:rPr>
        <w:t>.</w:t>
      </w:r>
    </w:p>
    <w:p w:rsidR="00557A97" w:rsidRDefault="00557A97" w:rsidP="00557A97">
      <w:pPr>
        <w:keepNext/>
        <w:widowControl w:val="0"/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F66B18" w:rsidRDefault="0078298D" w:rsidP="00557A97">
      <w:pPr>
        <w:keepNext/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F66B18" w:rsidRPr="00F66B18">
        <w:rPr>
          <w:b/>
          <w:sz w:val="28"/>
          <w:szCs w:val="28"/>
        </w:rPr>
        <w:t>Вплив на бюджет</w:t>
      </w:r>
    </w:p>
    <w:p w:rsidR="00557A97" w:rsidRPr="00F66B18" w:rsidRDefault="00557A97" w:rsidP="00557A97">
      <w:pPr>
        <w:keepNext/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F66B18" w:rsidRPr="00F66B18" w:rsidRDefault="00526C77" w:rsidP="00557A97">
      <w:pPr>
        <w:keepNext/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Реалізація П</w:t>
      </w:r>
      <w:r w:rsidR="00F66B18" w:rsidRPr="00F66B18">
        <w:rPr>
          <w:sz w:val="28"/>
          <w:szCs w:val="28"/>
        </w:rPr>
        <w:t>ро</w:t>
      </w:r>
      <w:r w:rsidR="00133248">
        <w:rPr>
          <w:sz w:val="28"/>
          <w:szCs w:val="28"/>
        </w:rPr>
        <w:t>є</w:t>
      </w:r>
      <w:r w:rsidR="00F66B18" w:rsidRPr="00F66B18">
        <w:rPr>
          <w:sz w:val="28"/>
          <w:szCs w:val="28"/>
        </w:rPr>
        <w:t>кту не потребує фінансування з державного чи місцевого бюджетів.</w:t>
      </w:r>
    </w:p>
    <w:p w:rsidR="008F0FC3" w:rsidRDefault="008F0FC3" w:rsidP="00557A97">
      <w:pPr>
        <w:keepNext/>
        <w:widowControl w:val="0"/>
        <w:ind w:firstLine="709"/>
        <w:jc w:val="both"/>
        <w:rPr>
          <w:sz w:val="28"/>
          <w:szCs w:val="28"/>
        </w:rPr>
      </w:pPr>
      <w:r w:rsidRPr="00C31E0D">
        <w:rPr>
          <w:sz w:val="28"/>
          <w:szCs w:val="28"/>
        </w:rPr>
        <w:t xml:space="preserve">Прийняття </w:t>
      </w:r>
      <w:r w:rsidR="00526C77">
        <w:rPr>
          <w:sz w:val="28"/>
          <w:szCs w:val="28"/>
        </w:rPr>
        <w:t>Про</w:t>
      </w:r>
      <w:r w:rsidR="00133248">
        <w:rPr>
          <w:sz w:val="28"/>
          <w:szCs w:val="28"/>
        </w:rPr>
        <w:t>є</w:t>
      </w:r>
      <w:r w:rsidR="00526C77">
        <w:rPr>
          <w:sz w:val="28"/>
          <w:szCs w:val="28"/>
        </w:rPr>
        <w:t>кту</w:t>
      </w:r>
      <w:r w:rsidRPr="00C31E0D">
        <w:rPr>
          <w:sz w:val="28"/>
          <w:szCs w:val="28"/>
        </w:rPr>
        <w:t xml:space="preserve"> забезпечить реалізацію єдиної державної політики функціонування фондового ринку.</w:t>
      </w:r>
    </w:p>
    <w:p w:rsidR="00557A97" w:rsidRDefault="00557A97" w:rsidP="00557A97">
      <w:pPr>
        <w:keepNext/>
        <w:widowControl w:val="0"/>
        <w:ind w:firstLine="709"/>
        <w:jc w:val="both"/>
        <w:rPr>
          <w:sz w:val="28"/>
          <w:szCs w:val="28"/>
        </w:rPr>
      </w:pPr>
    </w:p>
    <w:p w:rsidR="00151D05" w:rsidRDefault="00B0165F" w:rsidP="00557A97">
      <w:pPr>
        <w:keepNext/>
        <w:widowControl w:val="0"/>
        <w:ind w:firstLine="709"/>
        <w:jc w:val="both"/>
        <w:rPr>
          <w:b/>
          <w:bCs/>
          <w:sz w:val="28"/>
          <w:szCs w:val="28"/>
        </w:rPr>
      </w:pPr>
      <w:r w:rsidRPr="00B0165F">
        <w:rPr>
          <w:b/>
          <w:bCs/>
          <w:sz w:val="28"/>
          <w:szCs w:val="28"/>
        </w:rPr>
        <w:t>5. Позиція заінтересованих сторін</w:t>
      </w:r>
    </w:p>
    <w:p w:rsidR="00557A97" w:rsidRDefault="00557A97" w:rsidP="00557A97">
      <w:pPr>
        <w:keepNext/>
        <w:widowControl w:val="0"/>
        <w:ind w:firstLine="709"/>
        <w:jc w:val="both"/>
        <w:rPr>
          <w:b/>
          <w:bCs/>
          <w:sz w:val="28"/>
          <w:szCs w:val="28"/>
        </w:rPr>
      </w:pPr>
    </w:p>
    <w:p w:rsidR="00151D05" w:rsidRPr="00151D05" w:rsidRDefault="00151D05" w:rsidP="00557A97">
      <w:pPr>
        <w:keepNext/>
        <w:widowControl w:val="0"/>
        <w:tabs>
          <w:tab w:val="left" w:pos="0"/>
          <w:tab w:val="left" w:pos="4536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1D05">
        <w:rPr>
          <w:sz w:val="28"/>
          <w:szCs w:val="28"/>
        </w:rPr>
        <w:t>Про</w:t>
      </w:r>
      <w:r w:rsidR="00133248">
        <w:rPr>
          <w:sz w:val="28"/>
          <w:szCs w:val="28"/>
        </w:rPr>
        <w:t>є</w:t>
      </w:r>
      <w:r w:rsidRPr="00151D05">
        <w:rPr>
          <w:sz w:val="28"/>
          <w:szCs w:val="28"/>
        </w:rPr>
        <w:t xml:space="preserve">кт </w:t>
      </w:r>
      <w:r w:rsidR="00844DB3">
        <w:rPr>
          <w:sz w:val="28"/>
          <w:szCs w:val="28"/>
        </w:rPr>
        <w:t xml:space="preserve">з метою отримання </w:t>
      </w:r>
      <w:r w:rsidR="00844DB3" w:rsidRPr="00151D05">
        <w:rPr>
          <w:sz w:val="28"/>
          <w:szCs w:val="28"/>
        </w:rPr>
        <w:t xml:space="preserve">зауважень та пропозицій </w:t>
      </w:r>
      <w:r w:rsidRPr="00151D05">
        <w:rPr>
          <w:sz w:val="28"/>
          <w:szCs w:val="28"/>
        </w:rPr>
        <w:t xml:space="preserve">оприлюднюється на офіційному </w:t>
      </w:r>
      <w:r w:rsidR="00E13B7C">
        <w:rPr>
          <w:sz w:val="28"/>
          <w:szCs w:val="28"/>
        </w:rPr>
        <w:t>веб</w:t>
      </w:r>
      <w:r w:rsidRPr="00151D05">
        <w:rPr>
          <w:sz w:val="28"/>
          <w:szCs w:val="28"/>
        </w:rPr>
        <w:t xml:space="preserve">сайті Національної комісії з цінних паперів та фондового ринку </w:t>
      </w:r>
      <w:r w:rsidR="00844DB3">
        <w:rPr>
          <w:sz w:val="28"/>
          <w:szCs w:val="28"/>
        </w:rPr>
        <w:t>(http:// www.nssmc.gov.ua)</w:t>
      </w:r>
      <w:r w:rsidRPr="00151D05">
        <w:rPr>
          <w:sz w:val="28"/>
          <w:szCs w:val="28"/>
        </w:rPr>
        <w:t xml:space="preserve">. </w:t>
      </w:r>
    </w:p>
    <w:p w:rsidR="00151D05" w:rsidRDefault="00151D05" w:rsidP="00557A97">
      <w:pPr>
        <w:keepNext/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51D05">
        <w:rPr>
          <w:sz w:val="28"/>
          <w:szCs w:val="28"/>
        </w:rPr>
        <w:t>Інформаці</w:t>
      </w:r>
      <w:r>
        <w:rPr>
          <w:sz w:val="28"/>
          <w:szCs w:val="28"/>
        </w:rPr>
        <w:t>ю</w:t>
      </w:r>
      <w:r w:rsidRPr="00151D05">
        <w:rPr>
          <w:sz w:val="28"/>
          <w:szCs w:val="28"/>
        </w:rPr>
        <w:t xml:space="preserve"> про результати розгляду зауважень та пропозицій до </w:t>
      </w:r>
      <w:r w:rsidR="00844DB3">
        <w:rPr>
          <w:sz w:val="28"/>
          <w:szCs w:val="28"/>
        </w:rPr>
        <w:t>П</w:t>
      </w:r>
      <w:r w:rsidRPr="00151D05">
        <w:rPr>
          <w:sz w:val="28"/>
          <w:szCs w:val="28"/>
        </w:rPr>
        <w:t>ро</w:t>
      </w:r>
      <w:r w:rsidR="00133248">
        <w:rPr>
          <w:sz w:val="28"/>
          <w:szCs w:val="28"/>
        </w:rPr>
        <w:t>є</w:t>
      </w:r>
      <w:r w:rsidRPr="00151D05">
        <w:rPr>
          <w:sz w:val="28"/>
          <w:szCs w:val="28"/>
        </w:rPr>
        <w:t>кту (у разі їх наявності) буде</w:t>
      </w:r>
      <w:r>
        <w:rPr>
          <w:sz w:val="28"/>
          <w:szCs w:val="28"/>
        </w:rPr>
        <w:t xml:space="preserve"> оприлюднено на офіційному веб</w:t>
      </w:r>
      <w:r w:rsidRPr="00151D05">
        <w:rPr>
          <w:sz w:val="28"/>
          <w:szCs w:val="28"/>
        </w:rPr>
        <w:t xml:space="preserve">сайті Національної комісії з цінних паперів та фондового ринку в установленому </w:t>
      </w:r>
      <w:r w:rsidRPr="00151D05">
        <w:rPr>
          <w:sz w:val="28"/>
          <w:szCs w:val="28"/>
        </w:rPr>
        <w:lastRenderedPageBreak/>
        <w:t>законодавством порядку.</w:t>
      </w:r>
    </w:p>
    <w:p w:rsidR="00557A97" w:rsidRPr="00151D05" w:rsidRDefault="00557A97" w:rsidP="00557A97">
      <w:pPr>
        <w:keepNext/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2E7DE9" w:rsidRDefault="002E7DE9" w:rsidP="00557A97">
      <w:pPr>
        <w:keepNext/>
        <w:widowControl w:val="0"/>
        <w:ind w:firstLine="709"/>
        <w:jc w:val="both"/>
        <w:rPr>
          <w:b/>
          <w:bCs/>
          <w:sz w:val="28"/>
          <w:szCs w:val="28"/>
        </w:rPr>
      </w:pPr>
      <w:r w:rsidRPr="00151D05">
        <w:rPr>
          <w:b/>
          <w:bCs/>
          <w:sz w:val="28"/>
          <w:szCs w:val="28"/>
        </w:rPr>
        <w:t>6. Прогноз впливу</w:t>
      </w:r>
    </w:p>
    <w:p w:rsidR="00557A97" w:rsidRPr="00151D05" w:rsidRDefault="00557A97" w:rsidP="00557A97">
      <w:pPr>
        <w:keepNext/>
        <w:widowControl w:val="0"/>
        <w:ind w:firstLine="709"/>
        <w:jc w:val="both"/>
        <w:rPr>
          <w:b/>
          <w:bCs/>
          <w:sz w:val="28"/>
          <w:szCs w:val="28"/>
        </w:rPr>
      </w:pPr>
    </w:p>
    <w:p w:rsidR="00021441" w:rsidRDefault="00933ECE" w:rsidP="00557A97">
      <w:pPr>
        <w:pStyle w:val="3"/>
        <w:keepNext/>
        <w:widowControl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6D014B">
        <w:rPr>
          <w:b w:val="0"/>
          <w:bCs w:val="0"/>
          <w:sz w:val="28"/>
          <w:szCs w:val="28"/>
          <w:lang w:eastAsia="ru-RU"/>
        </w:rPr>
        <w:t>Про</w:t>
      </w:r>
      <w:r w:rsidR="00133248">
        <w:rPr>
          <w:b w:val="0"/>
          <w:bCs w:val="0"/>
          <w:sz w:val="28"/>
          <w:szCs w:val="28"/>
          <w:lang w:eastAsia="ru-RU"/>
        </w:rPr>
        <w:t>є</w:t>
      </w:r>
      <w:r w:rsidRPr="006D014B">
        <w:rPr>
          <w:b w:val="0"/>
          <w:bCs w:val="0"/>
          <w:sz w:val="28"/>
          <w:szCs w:val="28"/>
          <w:lang w:eastAsia="ru-RU"/>
        </w:rPr>
        <w:t xml:space="preserve">кт спрямований на забезпечення приведення </w:t>
      </w:r>
      <w:r w:rsidR="007D381D">
        <w:rPr>
          <w:b w:val="0"/>
          <w:bCs w:val="0"/>
          <w:sz w:val="28"/>
          <w:szCs w:val="28"/>
          <w:lang w:eastAsia="ru-RU"/>
        </w:rPr>
        <w:t>вищевказаних</w:t>
      </w:r>
      <w:r w:rsidRPr="006D014B">
        <w:rPr>
          <w:b w:val="0"/>
          <w:bCs w:val="0"/>
          <w:sz w:val="28"/>
          <w:szCs w:val="28"/>
          <w:lang w:eastAsia="ru-RU"/>
        </w:rPr>
        <w:t xml:space="preserve"> нормативно-правових актів Національної комісії з цінних паперів та фондового ринку у відповідність до вимог </w:t>
      </w:r>
      <w:r w:rsidR="00021441" w:rsidRPr="00021441">
        <w:rPr>
          <w:b w:val="0"/>
          <w:bCs w:val="0"/>
          <w:sz w:val="28"/>
          <w:szCs w:val="28"/>
          <w:lang w:eastAsia="ru-RU"/>
        </w:rPr>
        <w:t>Закону України від 06 грудня 2019 року № 361-ІХ «Про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знищення»</w:t>
      </w:r>
      <w:r w:rsidR="00021441">
        <w:rPr>
          <w:b w:val="0"/>
          <w:bCs w:val="0"/>
          <w:sz w:val="28"/>
          <w:szCs w:val="28"/>
          <w:lang w:eastAsia="ru-RU"/>
        </w:rPr>
        <w:t xml:space="preserve"> та</w:t>
      </w:r>
      <w:r w:rsidR="00021441" w:rsidRPr="00021441">
        <w:rPr>
          <w:b w:val="0"/>
          <w:bCs w:val="0"/>
          <w:sz w:val="28"/>
          <w:szCs w:val="28"/>
          <w:lang w:eastAsia="ru-RU"/>
        </w:rPr>
        <w:t xml:space="preserve"> Закону України від 12 вересня 2019 року № 79-ІХ «Про внесення змін до деяких законодавчих актів України щодо удосконалення функцій із державного регулювання ринків фінансових послуг»</w:t>
      </w:r>
      <w:r w:rsidR="00021441">
        <w:rPr>
          <w:b w:val="0"/>
          <w:bCs w:val="0"/>
          <w:sz w:val="28"/>
          <w:szCs w:val="28"/>
          <w:lang w:eastAsia="ru-RU"/>
        </w:rPr>
        <w:t>.</w:t>
      </w:r>
    </w:p>
    <w:p w:rsidR="007D381D" w:rsidRPr="00151D05" w:rsidRDefault="007D381D" w:rsidP="00557A97">
      <w:pPr>
        <w:keepNext/>
        <w:widowControl w:val="0"/>
        <w:tabs>
          <w:tab w:val="left" w:pos="0"/>
          <w:tab w:val="left" w:pos="4536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1D05">
        <w:rPr>
          <w:sz w:val="28"/>
          <w:szCs w:val="28"/>
        </w:rPr>
        <w:t>Про</w:t>
      </w:r>
      <w:r w:rsidR="00133248">
        <w:rPr>
          <w:sz w:val="28"/>
          <w:szCs w:val="28"/>
        </w:rPr>
        <w:t>є</w:t>
      </w:r>
      <w:r w:rsidRPr="00151D05">
        <w:rPr>
          <w:sz w:val="28"/>
          <w:szCs w:val="28"/>
        </w:rPr>
        <w:t xml:space="preserve">кт матиме вплив на інтереси окремих верств (груп) населення, об’єднаних спільними інтересами, суб’єктів господарювання тощо у зв’язку з </w:t>
      </w:r>
      <w:r>
        <w:rPr>
          <w:sz w:val="28"/>
          <w:szCs w:val="28"/>
        </w:rPr>
        <w:t>підвищенням якості надання</w:t>
      </w:r>
      <w:r w:rsidRPr="00151D05">
        <w:rPr>
          <w:sz w:val="28"/>
          <w:szCs w:val="28"/>
        </w:rPr>
        <w:t xml:space="preserve"> послуг, які </w:t>
      </w:r>
      <w:r w:rsidR="00857B88">
        <w:rPr>
          <w:sz w:val="28"/>
          <w:szCs w:val="28"/>
        </w:rPr>
        <w:t>надають</w:t>
      </w:r>
      <w:r w:rsidRPr="00151D05">
        <w:rPr>
          <w:sz w:val="28"/>
          <w:szCs w:val="28"/>
        </w:rPr>
        <w:t>ся професійними учасниками депозитарної системи України під час обслуговування інвесторів.</w:t>
      </w:r>
    </w:p>
    <w:p w:rsidR="00BD3A67" w:rsidRDefault="007D381D" w:rsidP="00557A97">
      <w:pPr>
        <w:keepNext/>
        <w:widowControl w:val="0"/>
        <w:tabs>
          <w:tab w:val="left" w:pos="0"/>
          <w:tab w:val="left" w:pos="4536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n1731"/>
      <w:bookmarkStart w:id="2" w:name="n1732"/>
      <w:bookmarkEnd w:id="1"/>
      <w:bookmarkEnd w:id="2"/>
      <w:r w:rsidRPr="00151D05">
        <w:rPr>
          <w:sz w:val="28"/>
          <w:szCs w:val="28"/>
        </w:rPr>
        <w:t>Про</w:t>
      </w:r>
      <w:r w:rsidR="00133248">
        <w:rPr>
          <w:sz w:val="28"/>
          <w:szCs w:val="28"/>
        </w:rPr>
        <w:t>є</w:t>
      </w:r>
      <w:r w:rsidRPr="00151D05">
        <w:rPr>
          <w:sz w:val="28"/>
          <w:szCs w:val="28"/>
        </w:rPr>
        <w:t xml:space="preserve">кт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</w:t>
      </w:r>
      <w:bookmarkStart w:id="3" w:name="n1733"/>
      <w:bookmarkEnd w:id="3"/>
      <w:r w:rsidRPr="00151D05">
        <w:rPr>
          <w:sz w:val="28"/>
          <w:szCs w:val="28"/>
        </w:rPr>
        <w:t>сфери наукової та науково-технічної діяльності.</w:t>
      </w:r>
      <w:bookmarkStart w:id="4" w:name="n1748"/>
      <w:bookmarkEnd w:id="4"/>
    </w:p>
    <w:p w:rsidR="00557A97" w:rsidRDefault="00933ECE" w:rsidP="00557A97">
      <w:pPr>
        <w:keepNext/>
        <w:widowControl w:val="0"/>
        <w:tabs>
          <w:tab w:val="left" w:pos="0"/>
          <w:tab w:val="left" w:pos="4536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3A67">
        <w:rPr>
          <w:sz w:val="28"/>
          <w:szCs w:val="28"/>
        </w:rPr>
        <w:t>П</w:t>
      </w:r>
      <w:r w:rsidR="00617E71" w:rsidRPr="00BD3A67">
        <w:rPr>
          <w:sz w:val="28"/>
          <w:szCs w:val="28"/>
        </w:rPr>
        <w:t>рогноз результатів реалізації акта визначається в якісному вимірі та є позитивним для усіх заінтересованих сторін: держави, професі</w:t>
      </w:r>
      <w:r w:rsidR="00857B88">
        <w:rPr>
          <w:sz w:val="28"/>
          <w:szCs w:val="28"/>
        </w:rPr>
        <w:t>йних учасників фондового ринку.</w:t>
      </w:r>
    </w:p>
    <w:p w:rsidR="00857B88" w:rsidRPr="00BD3A67" w:rsidRDefault="00857B88" w:rsidP="00557A97">
      <w:pPr>
        <w:keepNext/>
        <w:widowControl w:val="0"/>
        <w:tabs>
          <w:tab w:val="left" w:pos="0"/>
          <w:tab w:val="left" w:pos="4536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3D6E" w:rsidRDefault="000C6EBA" w:rsidP="00557A97">
      <w:pPr>
        <w:keepNext/>
        <w:widowControl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763D6E" w:rsidRPr="00763D6E">
        <w:rPr>
          <w:b/>
          <w:sz w:val="28"/>
          <w:szCs w:val="28"/>
        </w:rPr>
        <w:t xml:space="preserve">Позиція заінтересованих </w:t>
      </w:r>
      <w:r w:rsidR="00617BAF">
        <w:rPr>
          <w:b/>
          <w:sz w:val="28"/>
          <w:szCs w:val="28"/>
        </w:rPr>
        <w:t>органів</w:t>
      </w:r>
    </w:p>
    <w:p w:rsidR="00557A97" w:rsidRPr="00763D6E" w:rsidRDefault="00557A97" w:rsidP="00557A97">
      <w:pPr>
        <w:keepNext/>
        <w:widowControl w:val="0"/>
        <w:ind w:firstLine="709"/>
        <w:jc w:val="both"/>
        <w:rPr>
          <w:b/>
          <w:sz w:val="28"/>
          <w:szCs w:val="28"/>
        </w:rPr>
      </w:pPr>
    </w:p>
    <w:p w:rsidR="000E1660" w:rsidRDefault="000E1660" w:rsidP="00557A97">
      <w:pPr>
        <w:keepNext/>
        <w:widowControl w:val="0"/>
        <w:tabs>
          <w:tab w:val="left" w:pos="0"/>
          <w:tab w:val="left" w:pos="4536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1660">
        <w:rPr>
          <w:sz w:val="28"/>
          <w:szCs w:val="28"/>
        </w:rPr>
        <w:t>Про</w:t>
      </w:r>
      <w:r w:rsidR="00133248">
        <w:rPr>
          <w:sz w:val="28"/>
          <w:szCs w:val="28"/>
        </w:rPr>
        <w:t>є</w:t>
      </w:r>
      <w:r w:rsidRPr="000E1660">
        <w:rPr>
          <w:sz w:val="28"/>
          <w:szCs w:val="28"/>
        </w:rPr>
        <w:t xml:space="preserve">кт відповідно до законодавства </w:t>
      </w:r>
      <w:r w:rsidR="00557A97">
        <w:rPr>
          <w:sz w:val="28"/>
          <w:szCs w:val="28"/>
        </w:rPr>
        <w:t xml:space="preserve">не </w:t>
      </w:r>
      <w:r w:rsidRPr="000E1660">
        <w:rPr>
          <w:sz w:val="28"/>
          <w:szCs w:val="28"/>
        </w:rPr>
        <w:t>потребує погодження з</w:t>
      </w:r>
      <w:r w:rsidR="00557A97">
        <w:rPr>
          <w:sz w:val="28"/>
          <w:szCs w:val="28"/>
        </w:rPr>
        <w:t xml:space="preserve"> заінтересованими органами</w:t>
      </w:r>
      <w:r w:rsidRPr="000E1660">
        <w:rPr>
          <w:sz w:val="28"/>
          <w:szCs w:val="28"/>
        </w:rPr>
        <w:t>.</w:t>
      </w:r>
    </w:p>
    <w:p w:rsidR="00557A97" w:rsidRPr="000E1660" w:rsidRDefault="00557A97" w:rsidP="00557A97">
      <w:pPr>
        <w:keepNext/>
        <w:widowControl w:val="0"/>
        <w:tabs>
          <w:tab w:val="left" w:pos="0"/>
          <w:tab w:val="left" w:pos="4536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E7DE9" w:rsidRDefault="005F770C" w:rsidP="00557A97">
      <w:pPr>
        <w:keepNext/>
        <w:widowControl w:val="0"/>
        <w:ind w:firstLine="709"/>
        <w:jc w:val="both"/>
        <w:rPr>
          <w:b/>
          <w:sz w:val="28"/>
          <w:szCs w:val="28"/>
        </w:rPr>
      </w:pPr>
      <w:r w:rsidRPr="005F770C">
        <w:rPr>
          <w:b/>
          <w:sz w:val="28"/>
          <w:szCs w:val="28"/>
        </w:rPr>
        <w:t>8. Ризики та обмеження</w:t>
      </w:r>
    </w:p>
    <w:p w:rsidR="00557A97" w:rsidRDefault="00557A97" w:rsidP="00557A97">
      <w:pPr>
        <w:keepNext/>
        <w:widowControl w:val="0"/>
        <w:ind w:firstLine="709"/>
        <w:jc w:val="both"/>
        <w:rPr>
          <w:b/>
          <w:sz w:val="28"/>
          <w:szCs w:val="28"/>
        </w:rPr>
      </w:pPr>
    </w:p>
    <w:p w:rsidR="005E1895" w:rsidRPr="005E1895" w:rsidRDefault="005E1895" w:rsidP="00557A97">
      <w:pPr>
        <w:tabs>
          <w:tab w:val="left" w:pos="0"/>
          <w:tab w:val="left" w:pos="4536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895">
        <w:rPr>
          <w:sz w:val="28"/>
          <w:szCs w:val="28"/>
        </w:rPr>
        <w:t>Про</w:t>
      </w:r>
      <w:r w:rsidR="00133248">
        <w:rPr>
          <w:sz w:val="28"/>
          <w:szCs w:val="28"/>
        </w:rPr>
        <w:t>є</w:t>
      </w:r>
      <w:r w:rsidRPr="005E1895">
        <w:rPr>
          <w:sz w:val="28"/>
          <w:szCs w:val="28"/>
        </w:rPr>
        <w:t>кт не потребує проведення правової експертизи Міністерства юстиції України.</w:t>
      </w:r>
    </w:p>
    <w:p w:rsidR="005E1895" w:rsidRPr="005E1895" w:rsidRDefault="005E1895" w:rsidP="00557A97">
      <w:pPr>
        <w:shd w:val="clear" w:color="auto" w:fill="FFFFFF"/>
        <w:tabs>
          <w:tab w:val="left" w:pos="0"/>
        </w:tabs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5E1895">
        <w:rPr>
          <w:rFonts w:eastAsia="Calibri"/>
          <w:sz w:val="28"/>
          <w:szCs w:val="28"/>
          <w:lang w:eastAsia="en-US"/>
        </w:rPr>
        <w:t>Правову експертизу про</w:t>
      </w:r>
      <w:r w:rsidR="00133248">
        <w:rPr>
          <w:rFonts w:eastAsia="Calibri"/>
          <w:sz w:val="28"/>
          <w:szCs w:val="28"/>
          <w:lang w:eastAsia="en-US"/>
        </w:rPr>
        <w:t>є</w:t>
      </w:r>
      <w:r w:rsidRPr="005E1895">
        <w:rPr>
          <w:rFonts w:eastAsia="Calibri"/>
          <w:sz w:val="28"/>
          <w:szCs w:val="28"/>
          <w:lang w:eastAsia="en-US"/>
        </w:rPr>
        <w:t xml:space="preserve">кту акта буде проведено юридичним департаментом </w:t>
      </w:r>
      <w:r w:rsidRPr="005E1895">
        <w:rPr>
          <w:rFonts w:eastAsia="Calibri"/>
          <w:bCs/>
          <w:color w:val="000000"/>
          <w:sz w:val="28"/>
          <w:szCs w:val="28"/>
          <w:lang w:eastAsia="en-US"/>
        </w:rPr>
        <w:t>Національної комісії з цінних паперів та фондового ринку.</w:t>
      </w:r>
    </w:p>
    <w:p w:rsidR="005E1895" w:rsidRPr="005E1895" w:rsidRDefault="005E1895" w:rsidP="00557A97">
      <w:pPr>
        <w:tabs>
          <w:tab w:val="left" w:pos="0"/>
          <w:tab w:val="left" w:pos="4536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895">
        <w:rPr>
          <w:sz w:val="28"/>
          <w:szCs w:val="28"/>
        </w:rPr>
        <w:t>У Про</w:t>
      </w:r>
      <w:r w:rsidR="00133248">
        <w:rPr>
          <w:sz w:val="28"/>
          <w:szCs w:val="28"/>
        </w:rPr>
        <w:t>є</w:t>
      </w:r>
      <w:r w:rsidRPr="005E1895">
        <w:rPr>
          <w:sz w:val="28"/>
          <w:szCs w:val="28"/>
        </w:rPr>
        <w:t>кті відсутні положення, які містять ознаки дискримінації.</w:t>
      </w:r>
    </w:p>
    <w:p w:rsidR="005E1895" w:rsidRPr="005E1895" w:rsidRDefault="005E1895" w:rsidP="00557A97">
      <w:pPr>
        <w:shd w:val="clear" w:color="auto" w:fill="FFFFFF"/>
        <w:tabs>
          <w:tab w:val="left" w:pos="0"/>
        </w:tabs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5E1895">
        <w:rPr>
          <w:rFonts w:eastAsia="Calibri"/>
          <w:sz w:val="28"/>
          <w:szCs w:val="28"/>
          <w:lang w:eastAsia="en-US"/>
        </w:rPr>
        <w:t>Антидискримінаційну експертизу про</w:t>
      </w:r>
      <w:r w:rsidR="00133248">
        <w:rPr>
          <w:rFonts w:eastAsia="Calibri"/>
          <w:sz w:val="28"/>
          <w:szCs w:val="28"/>
          <w:lang w:eastAsia="en-US"/>
        </w:rPr>
        <w:t>є</w:t>
      </w:r>
      <w:r w:rsidRPr="005E1895">
        <w:rPr>
          <w:rFonts w:eastAsia="Calibri"/>
          <w:sz w:val="28"/>
          <w:szCs w:val="28"/>
          <w:lang w:eastAsia="en-US"/>
        </w:rPr>
        <w:t xml:space="preserve">кту акта буде проведено юридичним департаментом </w:t>
      </w:r>
      <w:r w:rsidRPr="005E1895">
        <w:rPr>
          <w:rFonts w:eastAsia="Calibri"/>
          <w:bCs/>
          <w:color w:val="000000"/>
          <w:sz w:val="28"/>
          <w:szCs w:val="28"/>
          <w:lang w:eastAsia="en-US"/>
        </w:rPr>
        <w:t>Національної комісії з цінних паперів та фондового ринку.</w:t>
      </w:r>
    </w:p>
    <w:p w:rsidR="005E1895" w:rsidRPr="005E1895" w:rsidRDefault="005E1895" w:rsidP="00557A97">
      <w:pPr>
        <w:shd w:val="clear" w:color="auto" w:fill="FFFFFF"/>
        <w:tabs>
          <w:tab w:val="left" w:pos="0"/>
        </w:tabs>
        <w:spacing w:line="216" w:lineRule="auto"/>
        <w:ind w:firstLine="709"/>
        <w:jc w:val="both"/>
        <w:textAlignment w:val="baseline"/>
        <w:rPr>
          <w:rFonts w:eastAsia="Calibri"/>
          <w:bCs/>
          <w:color w:val="000000"/>
          <w:sz w:val="28"/>
          <w:szCs w:val="28"/>
          <w:lang w:eastAsia="en-US"/>
        </w:rPr>
      </w:pPr>
      <w:r w:rsidRPr="005E1895">
        <w:rPr>
          <w:rFonts w:eastAsia="Calibri"/>
          <w:bCs/>
          <w:color w:val="000000"/>
          <w:sz w:val="28"/>
          <w:szCs w:val="28"/>
          <w:lang w:eastAsia="en-US"/>
        </w:rPr>
        <w:t>Гендерно-правову експертизу про</w:t>
      </w:r>
      <w:r w:rsidR="00133248">
        <w:rPr>
          <w:rFonts w:eastAsia="Calibri"/>
          <w:bCs/>
          <w:color w:val="000000"/>
          <w:sz w:val="28"/>
          <w:szCs w:val="28"/>
          <w:lang w:eastAsia="en-US"/>
        </w:rPr>
        <w:t>є</w:t>
      </w:r>
      <w:r w:rsidRPr="005E1895">
        <w:rPr>
          <w:rFonts w:eastAsia="Calibri"/>
          <w:bCs/>
          <w:color w:val="000000"/>
          <w:sz w:val="28"/>
          <w:szCs w:val="28"/>
          <w:lang w:eastAsia="en-US"/>
        </w:rPr>
        <w:t>кту акта буде проведено юридичним департаментом Національної комісії з цінних паперів та фондового ринку.</w:t>
      </w:r>
    </w:p>
    <w:p w:rsidR="00324F5E" w:rsidRDefault="005E1895" w:rsidP="00557A97">
      <w:pPr>
        <w:tabs>
          <w:tab w:val="left" w:pos="0"/>
          <w:tab w:val="left" w:pos="4536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895">
        <w:rPr>
          <w:sz w:val="28"/>
          <w:szCs w:val="28"/>
        </w:rPr>
        <w:t>У Про</w:t>
      </w:r>
      <w:r w:rsidR="00133248">
        <w:rPr>
          <w:sz w:val="28"/>
          <w:szCs w:val="28"/>
        </w:rPr>
        <w:t>є</w:t>
      </w:r>
      <w:r w:rsidRPr="005E1895">
        <w:rPr>
          <w:sz w:val="28"/>
          <w:szCs w:val="28"/>
        </w:rPr>
        <w:t>кті відсутні норми, які можуть містити ризики вчинення корупційних правопорушень та правопорушень, пов’язаних з корупцією.</w:t>
      </w:r>
    </w:p>
    <w:p w:rsidR="00FF0B17" w:rsidRDefault="00FF0B17" w:rsidP="00557A97">
      <w:pPr>
        <w:tabs>
          <w:tab w:val="left" w:pos="0"/>
          <w:tab w:val="left" w:pos="4536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Проєкт не стосується питань інформатизації, електронного урядування, формування і використання національних електронних інформаційних ресурсів, розвитку інформаційного суспільства, електронної демократії, надання адміністративних послуг або цифрового розвитку, тому не потребує отримання висновку Міністерства цифрової трансформації України.</w:t>
      </w:r>
    </w:p>
    <w:p w:rsidR="00C922DB" w:rsidRDefault="00C922DB" w:rsidP="00557A97">
      <w:pPr>
        <w:tabs>
          <w:tab w:val="left" w:pos="0"/>
          <w:tab w:val="left" w:pos="4536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0B17">
        <w:rPr>
          <w:sz w:val="28"/>
          <w:szCs w:val="28"/>
        </w:rPr>
        <w:t>Проєкт</w:t>
      </w:r>
      <w:r w:rsidR="00DB7270" w:rsidRPr="00FF0B17">
        <w:rPr>
          <w:sz w:val="28"/>
          <w:szCs w:val="28"/>
        </w:rPr>
        <w:t xml:space="preserve"> не </w:t>
      </w:r>
      <w:r w:rsidR="0060166E" w:rsidRPr="00FF0B17">
        <w:rPr>
          <w:sz w:val="28"/>
          <w:szCs w:val="28"/>
        </w:rPr>
        <w:t>передбачає надання державної допомоги суб’єктам господарювання</w:t>
      </w:r>
      <w:r w:rsidR="00FF0B17" w:rsidRPr="00FF0B17">
        <w:rPr>
          <w:sz w:val="28"/>
          <w:szCs w:val="28"/>
        </w:rPr>
        <w:t>, у зв’язку з цим на проєкт не</w:t>
      </w:r>
      <w:r w:rsidR="0060166E" w:rsidRPr="00FF0B17">
        <w:rPr>
          <w:sz w:val="28"/>
          <w:szCs w:val="28"/>
        </w:rPr>
        <w:t xml:space="preserve"> </w:t>
      </w:r>
      <w:r w:rsidR="00DB7270" w:rsidRPr="00FF0B17">
        <w:rPr>
          <w:sz w:val="28"/>
          <w:szCs w:val="28"/>
        </w:rPr>
        <w:t>поширюється дія Закону України «Про державну допомогу суб’єтам господарювання»</w:t>
      </w:r>
      <w:r w:rsidRPr="00FF0B1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57A97" w:rsidRDefault="00557A97" w:rsidP="00557A97">
      <w:pPr>
        <w:tabs>
          <w:tab w:val="left" w:pos="0"/>
          <w:tab w:val="left" w:pos="4536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24F5E" w:rsidRDefault="00324F5E" w:rsidP="00557A97">
      <w:pPr>
        <w:tabs>
          <w:tab w:val="left" w:pos="0"/>
          <w:tab w:val="left" w:pos="4536"/>
        </w:tabs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F770C">
        <w:rPr>
          <w:b/>
          <w:sz w:val="28"/>
          <w:szCs w:val="28"/>
        </w:rPr>
        <w:t>9. Підстава розроблення про</w:t>
      </w:r>
      <w:r w:rsidR="00133248">
        <w:rPr>
          <w:b/>
          <w:sz w:val="28"/>
          <w:szCs w:val="28"/>
        </w:rPr>
        <w:t>є</w:t>
      </w:r>
      <w:r w:rsidRPr="005F770C">
        <w:rPr>
          <w:b/>
          <w:sz w:val="28"/>
          <w:szCs w:val="28"/>
        </w:rPr>
        <w:t>кту акта</w:t>
      </w:r>
      <w:r>
        <w:rPr>
          <w:b/>
          <w:sz w:val="28"/>
          <w:szCs w:val="28"/>
        </w:rPr>
        <w:t xml:space="preserve"> </w:t>
      </w:r>
    </w:p>
    <w:p w:rsidR="00557A97" w:rsidRDefault="00557A97" w:rsidP="00557A97">
      <w:pPr>
        <w:tabs>
          <w:tab w:val="left" w:pos="0"/>
          <w:tab w:val="left" w:pos="4536"/>
        </w:tabs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324F5E" w:rsidRDefault="00324F5E" w:rsidP="00557A97">
      <w:pPr>
        <w:tabs>
          <w:tab w:val="left" w:pos="0"/>
          <w:tab w:val="left" w:pos="4536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Необхідність </w:t>
      </w:r>
      <w:r w:rsidRPr="0078298D">
        <w:rPr>
          <w:sz w:val="28"/>
          <w:szCs w:val="28"/>
        </w:rPr>
        <w:t xml:space="preserve">приведення деяких нормативно-правових актів </w:t>
      </w:r>
      <w:r w:rsidRPr="008A6ACB">
        <w:rPr>
          <w:sz w:val="28"/>
          <w:szCs w:val="28"/>
          <w:lang w:eastAsia="ru-RU"/>
        </w:rPr>
        <w:t xml:space="preserve">Національної комісії з цінних паперів та фондового ринку </w:t>
      </w:r>
      <w:r w:rsidRPr="0078298D">
        <w:rPr>
          <w:sz w:val="28"/>
          <w:szCs w:val="28"/>
          <w:lang w:eastAsia="ru-RU"/>
        </w:rPr>
        <w:t xml:space="preserve">у відповідність до вимог Закону України </w:t>
      </w:r>
      <w:r w:rsidRPr="0023703B">
        <w:rPr>
          <w:sz w:val="28"/>
          <w:szCs w:val="28"/>
          <w:lang w:eastAsia="ru-RU"/>
        </w:rPr>
        <w:t>від 06 грудня 2019 року № 361-ІХ «Про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знищення» та Закону України від 12 вересня 2019 року № 79-ІХ «Про внесення змін до деяких законодавчих актів України щодо удосконалення функцій із державного регулювання ринків фінансових послуг»</w:t>
      </w:r>
      <w:r w:rsidRPr="0023703B">
        <w:rPr>
          <w:sz w:val="28"/>
          <w:szCs w:val="28"/>
        </w:rPr>
        <w:t xml:space="preserve"> </w:t>
      </w:r>
      <w:r>
        <w:rPr>
          <w:sz w:val="28"/>
          <w:szCs w:val="28"/>
        </w:rPr>
        <w:t>якими</w:t>
      </w:r>
      <w:r w:rsidRPr="00D025D0">
        <w:rPr>
          <w:sz w:val="28"/>
          <w:szCs w:val="28"/>
        </w:rPr>
        <w:t xml:space="preserve"> </w:t>
      </w:r>
      <w:r w:rsidRPr="0078298D">
        <w:rPr>
          <w:sz w:val="28"/>
          <w:szCs w:val="28"/>
        </w:rPr>
        <w:t>внесено зміни</w:t>
      </w:r>
      <w:r>
        <w:rPr>
          <w:sz w:val="28"/>
          <w:szCs w:val="28"/>
        </w:rPr>
        <w:t>, зокрема,</w:t>
      </w:r>
      <w:r w:rsidRPr="0078298D">
        <w:rPr>
          <w:sz w:val="28"/>
          <w:szCs w:val="28"/>
        </w:rPr>
        <w:t xml:space="preserve"> до </w:t>
      </w:r>
      <w:r w:rsidRPr="002B433B">
        <w:rPr>
          <w:sz w:val="28"/>
          <w:szCs w:val="28"/>
        </w:rPr>
        <w:t>Господарськ</w:t>
      </w:r>
      <w:r>
        <w:rPr>
          <w:sz w:val="28"/>
          <w:szCs w:val="28"/>
        </w:rPr>
        <w:t>ого</w:t>
      </w:r>
      <w:r w:rsidRPr="002B433B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у</w:t>
      </w:r>
      <w:r w:rsidRPr="002B433B">
        <w:rPr>
          <w:sz w:val="28"/>
          <w:szCs w:val="28"/>
        </w:rPr>
        <w:t xml:space="preserve"> України</w:t>
      </w:r>
      <w:r>
        <w:rPr>
          <w:sz w:val="28"/>
          <w:szCs w:val="28"/>
        </w:rPr>
        <w:t xml:space="preserve">, </w:t>
      </w:r>
      <w:r w:rsidRPr="0078298D">
        <w:rPr>
          <w:sz w:val="28"/>
          <w:szCs w:val="28"/>
        </w:rPr>
        <w:t>Закон</w:t>
      </w:r>
      <w:r>
        <w:rPr>
          <w:sz w:val="28"/>
          <w:szCs w:val="28"/>
        </w:rPr>
        <w:t>у</w:t>
      </w:r>
      <w:r w:rsidRPr="0078298D">
        <w:rPr>
          <w:sz w:val="28"/>
          <w:szCs w:val="28"/>
        </w:rPr>
        <w:t xml:space="preserve"> України</w:t>
      </w:r>
      <w:r>
        <w:rPr>
          <w:sz w:val="28"/>
          <w:szCs w:val="28"/>
        </w:rPr>
        <w:t xml:space="preserve"> </w:t>
      </w:r>
      <w:r w:rsidR="00E557D2">
        <w:rPr>
          <w:sz w:val="28"/>
          <w:szCs w:val="28"/>
        </w:rPr>
        <w:t>«</w:t>
      </w:r>
      <w:r w:rsidRPr="00021441">
        <w:rPr>
          <w:sz w:val="28"/>
          <w:szCs w:val="28"/>
        </w:rPr>
        <w:t>Про депозитарну систему України</w:t>
      </w:r>
      <w:r w:rsidR="00E557D2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FF0B17">
        <w:rPr>
          <w:sz w:val="28"/>
          <w:szCs w:val="28"/>
        </w:rPr>
        <w:t>з метою</w:t>
      </w:r>
      <w:r>
        <w:rPr>
          <w:sz w:val="28"/>
          <w:szCs w:val="28"/>
        </w:rPr>
        <w:t xml:space="preserve"> забезпечення</w:t>
      </w:r>
      <w:r w:rsidRPr="00D025D0">
        <w:rPr>
          <w:sz w:val="28"/>
          <w:szCs w:val="28"/>
        </w:rPr>
        <w:t xml:space="preserve"> дотримання учасниками депозитарної системи України вимог актів законодавства.</w:t>
      </w:r>
    </w:p>
    <w:p w:rsidR="0023703B" w:rsidRDefault="0023703B" w:rsidP="00557A97">
      <w:pPr>
        <w:pStyle w:val="a8"/>
        <w:keepNext/>
        <w:widowControl w:val="0"/>
        <w:tabs>
          <w:tab w:val="left" w:pos="0"/>
        </w:tabs>
        <w:spacing w:after="0"/>
        <w:ind w:firstLine="425"/>
        <w:jc w:val="both"/>
        <w:rPr>
          <w:sz w:val="28"/>
          <w:szCs w:val="28"/>
        </w:rPr>
      </w:pPr>
    </w:p>
    <w:p w:rsidR="00324F5E" w:rsidRDefault="00324F5E" w:rsidP="00324F5E">
      <w:pPr>
        <w:pStyle w:val="a8"/>
        <w:keepNext/>
        <w:widowControl w:val="0"/>
        <w:tabs>
          <w:tab w:val="left" w:pos="0"/>
        </w:tabs>
        <w:spacing w:after="0"/>
        <w:ind w:firstLine="426"/>
        <w:jc w:val="both"/>
        <w:rPr>
          <w:sz w:val="28"/>
          <w:szCs w:val="28"/>
        </w:rPr>
      </w:pPr>
    </w:p>
    <w:p w:rsidR="00324F5E" w:rsidRDefault="00324F5E" w:rsidP="00324F5E">
      <w:pPr>
        <w:pStyle w:val="a8"/>
        <w:keepNext/>
        <w:widowControl w:val="0"/>
        <w:tabs>
          <w:tab w:val="left" w:pos="0"/>
        </w:tabs>
        <w:spacing w:after="0"/>
        <w:ind w:firstLine="426"/>
        <w:jc w:val="both"/>
        <w:rPr>
          <w:sz w:val="28"/>
          <w:szCs w:val="28"/>
        </w:rPr>
      </w:pPr>
    </w:p>
    <w:p w:rsidR="000925F0" w:rsidRPr="000925F0" w:rsidRDefault="000925F0" w:rsidP="00324F5E">
      <w:pPr>
        <w:keepNext/>
        <w:keepLines/>
        <w:widowControl w:val="0"/>
        <w:ind w:firstLine="426"/>
        <w:jc w:val="both"/>
        <w:rPr>
          <w:sz w:val="28"/>
          <w:szCs w:val="28"/>
        </w:rPr>
      </w:pPr>
      <w:r w:rsidRPr="000925F0">
        <w:rPr>
          <w:sz w:val="28"/>
          <w:szCs w:val="28"/>
        </w:rPr>
        <w:t xml:space="preserve">Директор департаменту методології </w:t>
      </w:r>
    </w:p>
    <w:p w:rsidR="000925F0" w:rsidRPr="000925F0" w:rsidRDefault="000925F0" w:rsidP="00324F5E">
      <w:pPr>
        <w:keepNext/>
        <w:keepLines/>
        <w:widowControl w:val="0"/>
        <w:ind w:firstLine="426"/>
        <w:jc w:val="both"/>
        <w:rPr>
          <w:sz w:val="28"/>
          <w:szCs w:val="28"/>
        </w:rPr>
      </w:pPr>
      <w:r w:rsidRPr="000925F0">
        <w:rPr>
          <w:sz w:val="28"/>
          <w:szCs w:val="28"/>
        </w:rPr>
        <w:t xml:space="preserve">регулювання професійних учасників </w:t>
      </w:r>
    </w:p>
    <w:p w:rsidR="000925F0" w:rsidRPr="000925F0" w:rsidRDefault="000925F0" w:rsidP="00324F5E">
      <w:pPr>
        <w:keepNext/>
        <w:keepLines/>
        <w:widowControl w:val="0"/>
        <w:ind w:firstLine="426"/>
        <w:jc w:val="both"/>
        <w:rPr>
          <w:sz w:val="28"/>
          <w:szCs w:val="28"/>
        </w:rPr>
      </w:pPr>
      <w:r w:rsidRPr="000925F0">
        <w:rPr>
          <w:sz w:val="28"/>
          <w:szCs w:val="28"/>
        </w:rPr>
        <w:t>ринку цінних паперів</w:t>
      </w:r>
      <w:r w:rsidRPr="000925F0">
        <w:rPr>
          <w:sz w:val="28"/>
          <w:szCs w:val="28"/>
        </w:rPr>
        <w:tab/>
      </w:r>
      <w:r w:rsidRPr="000925F0">
        <w:rPr>
          <w:sz w:val="28"/>
          <w:szCs w:val="28"/>
        </w:rPr>
        <w:tab/>
      </w:r>
      <w:r w:rsidRPr="000925F0">
        <w:rPr>
          <w:sz w:val="28"/>
          <w:szCs w:val="28"/>
        </w:rPr>
        <w:tab/>
      </w:r>
      <w:r w:rsidRPr="000925F0">
        <w:rPr>
          <w:sz w:val="28"/>
          <w:szCs w:val="28"/>
        </w:rPr>
        <w:tab/>
      </w:r>
      <w:r w:rsidRPr="000925F0">
        <w:rPr>
          <w:sz w:val="28"/>
          <w:szCs w:val="28"/>
        </w:rPr>
        <w:tab/>
      </w:r>
      <w:r w:rsidRPr="000925F0">
        <w:rPr>
          <w:sz w:val="28"/>
          <w:szCs w:val="28"/>
        </w:rPr>
        <w:tab/>
      </w:r>
      <w:r w:rsidRPr="000925F0">
        <w:rPr>
          <w:sz w:val="28"/>
          <w:szCs w:val="28"/>
        </w:rPr>
        <w:tab/>
        <w:t>І. Курочкіна</w:t>
      </w:r>
    </w:p>
    <w:sectPr w:rsidR="000925F0" w:rsidRPr="000925F0" w:rsidSect="00CB373B">
      <w:headerReference w:type="even" r:id="rId7"/>
      <w:headerReference w:type="default" r:id="rId8"/>
      <w:pgSz w:w="11906" w:h="16838"/>
      <w:pgMar w:top="1135" w:right="991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148" w:rsidRDefault="00B53148">
      <w:r>
        <w:separator/>
      </w:r>
    </w:p>
  </w:endnote>
  <w:endnote w:type="continuationSeparator" w:id="0">
    <w:p w:rsidR="00B53148" w:rsidRDefault="00B53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148" w:rsidRDefault="00B53148">
      <w:r>
        <w:separator/>
      </w:r>
    </w:p>
  </w:footnote>
  <w:footnote w:type="continuationSeparator" w:id="0">
    <w:p w:rsidR="00B53148" w:rsidRDefault="00B53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D0C" w:rsidRDefault="00673D0C" w:rsidP="00452D75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73D0C" w:rsidRDefault="00673D0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D0C" w:rsidRDefault="00673D0C" w:rsidP="00452D75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B4494">
      <w:rPr>
        <w:rStyle w:val="ad"/>
        <w:noProof/>
      </w:rPr>
      <w:t>4</w:t>
    </w:r>
    <w:r>
      <w:rPr>
        <w:rStyle w:val="ad"/>
      </w:rPr>
      <w:fldChar w:fldCharType="end"/>
    </w:r>
  </w:p>
  <w:p w:rsidR="00093EB9" w:rsidRDefault="00093EB9" w:rsidP="005F141F">
    <w:pPr>
      <w:pStyle w:val="aa"/>
    </w:pPr>
  </w:p>
  <w:p w:rsidR="004D5134" w:rsidRDefault="004D5134" w:rsidP="005F141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A579C"/>
    <w:multiLevelType w:val="hybridMultilevel"/>
    <w:tmpl w:val="F056A00A"/>
    <w:lvl w:ilvl="0" w:tplc="A49A2A1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900A6F"/>
    <w:multiLevelType w:val="hybridMultilevel"/>
    <w:tmpl w:val="7F60FE14"/>
    <w:lvl w:ilvl="0" w:tplc="F3D280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A3457FF"/>
    <w:multiLevelType w:val="hybridMultilevel"/>
    <w:tmpl w:val="88B87396"/>
    <w:lvl w:ilvl="0" w:tplc="72189FA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AC03082"/>
    <w:multiLevelType w:val="hybridMultilevel"/>
    <w:tmpl w:val="46B85E52"/>
    <w:lvl w:ilvl="0" w:tplc="3A04FCB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655118CC"/>
    <w:multiLevelType w:val="hybridMultilevel"/>
    <w:tmpl w:val="EC867B8C"/>
    <w:lvl w:ilvl="0" w:tplc="8528DEB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F64B68"/>
    <w:multiLevelType w:val="hybridMultilevel"/>
    <w:tmpl w:val="3AE25586"/>
    <w:lvl w:ilvl="0" w:tplc="84BCB04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A4226A0"/>
    <w:multiLevelType w:val="singleLevel"/>
    <w:tmpl w:val="9F6C682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0FB1DF4"/>
    <w:multiLevelType w:val="hybridMultilevel"/>
    <w:tmpl w:val="1D1E743A"/>
    <w:lvl w:ilvl="0" w:tplc="022EF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6666"/>
    <w:rsid w:val="00000B0B"/>
    <w:rsid w:val="00005697"/>
    <w:rsid w:val="00013A18"/>
    <w:rsid w:val="00021441"/>
    <w:rsid w:val="0002705A"/>
    <w:rsid w:val="0004004C"/>
    <w:rsid w:val="00042027"/>
    <w:rsid w:val="00044F6A"/>
    <w:rsid w:val="00062960"/>
    <w:rsid w:val="00062AEE"/>
    <w:rsid w:val="000631BE"/>
    <w:rsid w:val="00072525"/>
    <w:rsid w:val="00073269"/>
    <w:rsid w:val="0007489E"/>
    <w:rsid w:val="000749A5"/>
    <w:rsid w:val="00075301"/>
    <w:rsid w:val="00080164"/>
    <w:rsid w:val="0008171A"/>
    <w:rsid w:val="00084102"/>
    <w:rsid w:val="00086390"/>
    <w:rsid w:val="00086468"/>
    <w:rsid w:val="000925F0"/>
    <w:rsid w:val="00093EB9"/>
    <w:rsid w:val="000B0149"/>
    <w:rsid w:val="000B4195"/>
    <w:rsid w:val="000C06A4"/>
    <w:rsid w:val="000C6EBA"/>
    <w:rsid w:val="000E1660"/>
    <w:rsid w:val="000F0F0D"/>
    <w:rsid w:val="0010066E"/>
    <w:rsid w:val="00101A12"/>
    <w:rsid w:val="00104ABD"/>
    <w:rsid w:val="0010529C"/>
    <w:rsid w:val="00107881"/>
    <w:rsid w:val="00117313"/>
    <w:rsid w:val="00117C4D"/>
    <w:rsid w:val="00120AA2"/>
    <w:rsid w:val="00122B83"/>
    <w:rsid w:val="00126AFD"/>
    <w:rsid w:val="0013093D"/>
    <w:rsid w:val="001322C2"/>
    <w:rsid w:val="00133248"/>
    <w:rsid w:val="00134BAA"/>
    <w:rsid w:val="00134F95"/>
    <w:rsid w:val="001372AF"/>
    <w:rsid w:val="00141FD9"/>
    <w:rsid w:val="00151D05"/>
    <w:rsid w:val="00154A2F"/>
    <w:rsid w:val="001661B6"/>
    <w:rsid w:val="00166259"/>
    <w:rsid w:val="00173A29"/>
    <w:rsid w:val="00174612"/>
    <w:rsid w:val="0017698D"/>
    <w:rsid w:val="00176BED"/>
    <w:rsid w:val="00187FEF"/>
    <w:rsid w:val="00192B47"/>
    <w:rsid w:val="001A2F02"/>
    <w:rsid w:val="001B3E0F"/>
    <w:rsid w:val="001C2164"/>
    <w:rsid w:val="001C24F4"/>
    <w:rsid w:val="001D13AE"/>
    <w:rsid w:val="001D1FE0"/>
    <w:rsid w:val="001D2B38"/>
    <w:rsid w:val="001E414E"/>
    <w:rsid w:val="001E6666"/>
    <w:rsid w:val="001E796F"/>
    <w:rsid w:val="001F47F1"/>
    <w:rsid w:val="00201120"/>
    <w:rsid w:val="0020761D"/>
    <w:rsid w:val="00220B5C"/>
    <w:rsid w:val="00221D3A"/>
    <w:rsid w:val="0022219C"/>
    <w:rsid w:val="00230FC6"/>
    <w:rsid w:val="00231987"/>
    <w:rsid w:val="0023703B"/>
    <w:rsid w:val="002402DC"/>
    <w:rsid w:val="002453E8"/>
    <w:rsid w:val="00245DF5"/>
    <w:rsid w:val="0025009A"/>
    <w:rsid w:val="00252159"/>
    <w:rsid w:val="00264A9B"/>
    <w:rsid w:val="0026736F"/>
    <w:rsid w:val="00271435"/>
    <w:rsid w:val="00281176"/>
    <w:rsid w:val="00281510"/>
    <w:rsid w:val="00281BF9"/>
    <w:rsid w:val="0028360A"/>
    <w:rsid w:val="002915B7"/>
    <w:rsid w:val="0029236C"/>
    <w:rsid w:val="002A0059"/>
    <w:rsid w:val="002A6C95"/>
    <w:rsid w:val="002B433B"/>
    <w:rsid w:val="002D0E9E"/>
    <w:rsid w:val="002D4827"/>
    <w:rsid w:val="002D4A77"/>
    <w:rsid w:val="002D7794"/>
    <w:rsid w:val="002E3261"/>
    <w:rsid w:val="002E67CB"/>
    <w:rsid w:val="002E7DE9"/>
    <w:rsid w:val="002F0A63"/>
    <w:rsid w:val="002F2EB2"/>
    <w:rsid w:val="002F6500"/>
    <w:rsid w:val="00302915"/>
    <w:rsid w:val="00304EB1"/>
    <w:rsid w:val="00307E26"/>
    <w:rsid w:val="00310EC3"/>
    <w:rsid w:val="0031318E"/>
    <w:rsid w:val="00315A0A"/>
    <w:rsid w:val="00324F5E"/>
    <w:rsid w:val="00330DBE"/>
    <w:rsid w:val="0033371C"/>
    <w:rsid w:val="0034114A"/>
    <w:rsid w:val="00342649"/>
    <w:rsid w:val="00351139"/>
    <w:rsid w:val="003527E7"/>
    <w:rsid w:val="00353095"/>
    <w:rsid w:val="0035437C"/>
    <w:rsid w:val="00354531"/>
    <w:rsid w:val="00356801"/>
    <w:rsid w:val="00356FB8"/>
    <w:rsid w:val="00364C49"/>
    <w:rsid w:val="003713B0"/>
    <w:rsid w:val="00371E87"/>
    <w:rsid w:val="00372FC1"/>
    <w:rsid w:val="003738DE"/>
    <w:rsid w:val="003825C8"/>
    <w:rsid w:val="003829A2"/>
    <w:rsid w:val="00390B15"/>
    <w:rsid w:val="00393734"/>
    <w:rsid w:val="00394DCA"/>
    <w:rsid w:val="003A576A"/>
    <w:rsid w:val="003B79C4"/>
    <w:rsid w:val="003B7D81"/>
    <w:rsid w:val="003C2362"/>
    <w:rsid w:val="003C3124"/>
    <w:rsid w:val="003C322D"/>
    <w:rsid w:val="003C6D91"/>
    <w:rsid w:val="003C7FEF"/>
    <w:rsid w:val="003D3490"/>
    <w:rsid w:val="003D5CC8"/>
    <w:rsid w:val="003E20AD"/>
    <w:rsid w:val="003E2A05"/>
    <w:rsid w:val="003E2F34"/>
    <w:rsid w:val="003E6A46"/>
    <w:rsid w:val="003E794E"/>
    <w:rsid w:val="003F2738"/>
    <w:rsid w:val="004030F1"/>
    <w:rsid w:val="00430245"/>
    <w:rsid w:val="00435E15"/>
    <w:rsid w:val="004414FF"/>
    <w:rsid w:val="00451FAA"/>
    <w:rsid w:val="00452D75"/>
    <w:rsid w:val="00454A6F"/>
    <w:rsid w:val="004703EF"/>
    <w:rsid w:val="00477574"/>
    <w:rsid w:val="00485538"/>
    <w:rsid w:val="00490FDC"/>
    <w:rsid w:val="00493D0E"/>
    <w:rsid w:val="00497804"/>
    <w:rsid w:val="004A4A6A"/>
    <w:rsid w:val="004A4B39"/>
    <w:rsid w:val="004B4494"/>
    <w:rsid w:val="004B62E1"/>
    <w:rsid w:val="004B7B7E"/>
    <w:rsid w:val="004C06D2"/>
    <w:rsid w:val="004C23D3"/>
    <w:rsid w:val="004C5336"/>
    <w:rsid w:val="004C7714"/>
    <w:rsid w:val="004D0DE6"/>
    <w:rsid w:val="004D24DC"/>
    <w:rsid w:val="004D2EC3"/>
    <w:rsid w:val="004D5134"/>
    <w:rsid w:val="004D6A8C"/>
    <w:rsid w:val="004E6631"/>
    <w:rsid w:val="004F5EDB"/>
    <w:rsid w:val="004F6E80"/>
    <w:rsid w:val="00505F56"/>
    <w:rsid w:val="00510F2B"/>
    <w:rsid w:val="00512C33"/>
    <w:rsid w:val="0051306D"/>
    <w:rsid w:val="00513A57"/>
    <w:rsid w:val="00514045"/>
    <w:rsid w:val="005142CE"/>
    <w:rsid w:val="005242DA"/>
    <w:rsid w:val="00526C77"/>
    <w:rsid w:val="0053265B"/>
    <w:rsid w:val="005333B9"/>
    <w:rsid w:val="0053371B"/>
    <w:rsid w:val="00543E14"/>
    <w:rsid w:val="00553814"/>
    <w:rsid w:val="005562BD"/>
    <w:rsid w:val="00557A97"/>
    <w:rsid w:val="00562D92"/>
    <w:rsid w:val="00565B2C"/>
    <w:rsid w:val="00566C63"/>
    <w:rsid w:val="0056767C"/>
    <w:rsid w:val="00577531"/>
    <w:rsid w:val="00581355"/>
    <w:rsid w:val="0058641B"/>
    <w:rsid w:val="00593D49"/>
    <w:rsid w:val="00597323"/>
    <w:rsid w:val="005A0448"/>
    <w:rsid w:val="005A4760"/>
    <w:rsid w:val="005B2F2D"/>
    <w:rsid w:val="005B3722"/>
    <w:rsid w:val="005B617D"/>
    <w:rsid w:val="005C5468"/>
    <w:rsid w:val="005D1239"/>
    <w:rsid w:val="005D7A07"/>
    <w:rsid w:val="005E1895"/>
    <w:rsid w:val="005F0236"/>
    <w:rsid w:val="005F086B"/>
    <w:rsid w:val="005F141F"/>
    <w:rsid w:val="005F5840"/>
    <w:rsid w:val="005F724F"/>
    <w:rsid w:val="005F73EC"/>
    <w:rsid w:val="005F770C"/>
    <w:rsid w:val="0060166E"/>
    <w:rsid w:val="00602255"/>
    <w:rsid w:val="00615374"/>
    <w:rsid w:val="00617BAF"/>
    <w:rsid w:val="00617E71"/>
    <w:rsid w:val="00627BE7"/>
    <w:rsid w:val="00627EE0"/>
    <w:rsid w:val="0063593E"/>
    <w:rsid w:val="006407F0"/>
    <w:rsid w:val="006423F3"/>
    <w:rsid w:val="006522F4"/>
    <w:rsid w:val="00654641"/>
    <w:rsid w:val="00661AD9"/>
    <w:rsid w:val="00664C7F"/>
    <w:rsid w:val="006724CB"/>
    <w:rsid w:val="00673D0C"/>
    <w:rsid w:val="00692AF3"/>
    <w:rsid w:val="00695F5A"/>
    <w:rsid w:val="006A5B75"/>
    <w:rsid w:val="006B2A8E"/>
    <w:rsid w:val="006B473E"/>
    <w:rsid w:val="006B5410"/>
    <w:rsid w:val="006B554F"/>
    <w:rsid w:val="006B61EE"/>
    <w:rsid w:val="006C0EAA"/>
    <w:rsid w:val="006D014B"/>
    <w:rsid w:val="006D473D"/>
    <w:rsid w:val="006E2264"/>
    <w:rsid w:val="006E403D"/>
    <w:rsid w:val="006E5DB6"/>
    <w:rsid w:val="006E7843"/>
    <w:rsid w:val="006F1303"/>
    <w:rsid w:val="0070261B"/>
    <w:rsid w:val="00706885"/>
    <w:rsid w:val="00713BA0"/>
    <w:rsid w:val="00715486"/>
    <w:rsid w:val="007167EC"/>
    <w:rsid w:val="00717973"/>
    <w:rsid w:val="00724C3C"/>
    <w:rsid w:val="00726FDF"/>
    <w:rsid w:val="00730464"/>
    <w:rsid w:val="00733D6A"/>
    <w:rsid w:val="007421D6"/>
    <w:rsid w:val="00756CD0"/>
    <w:rsid w:val="00757985"/>
    <w:rsid w:val="00757F1B"/>
    <w:rsid w:val="00763D6E"/>
    <w:rsid w:val="00763F41"/>
    <w:rsid w:val="007670DF"/>
    <w:rsid w:val="0078245A"/>
    <w:rsid w:val="0078298D"/>
    <w:rsid w:val="0079013E"/>
    <w:rsid w:val="007906CA"/>
    <w:rsid w:val="007A537C"/>
    <w:rsid w:val="007B49DE"/>
    <w:rsid w:val="007D146B"/>
    <w:rsid w:val="007D381D"/>
    <w:rsid w:val="007D6C32"/>
    <w:rsid w:val="007E20F4"/>
    <w:rsid w:val="007E4DA7"/>
    <w:rsid w:val="007F61F7"/>
    <w:rsid w:val="008007DD"/>
    <w:rsid w:val="0080364E"/>
    <w:rsid w:val="00803919"/>
    <w:rsid w:val="00804CA3"/>
    <w:rsid w:val="0081238A"/>
    <w:rsid w:val="00814B67"/>
    <w:rsid w:val="00823FA0"/>
    <w:rsid w:val="00832004"/>
    <w:rsid w:val="008329AD"/>
    <w:rsid w:val="0083348E"/>
    <w:rsid w:val="00835AC3"/>
    <w:rsid w:val="00844DB3"/>
    <w:rsid w:val="00847A37"/>
    <w:rsid w:val="00850D5F"/>
    <w:rsid w:val="00851CAD"/>
    <w:rsid w:val="00855C0C"/>
    <w:rsid w:val="00857B88"/>
    <w:rsid w:val="00860A85"/>
    <w:rsid w:val="00870A43"/>
    <w:rsid w:val="0088315B"/>
    <w:rsid w:val="00885919"/>
    <w:rsid w:val="0089064C"/>
    <w:rsid w:val="008921A8"/>
    <w:rsid w:val="008921DE"/>
    <w:rsid w:val="00893F6F"/>
    <w:rsid w:val="00897328"/>
    <w:rsid w:val="008A2023"/>
    <w:rsid w:val="008A209D"/>
    <w:rsid w:val="008A65E1"/>
    <w:rsid w:val="008A6ACB"/>
    <w:rsid w:val="008B0BE5"/>
    <w:rsid w:val="008B5FB7"/>
    <w:rsid w:val="008B6055"/>
    <w:rsid w:val="008B6841"/>
    <w:rsid w:val="008B7C2C"/>
    <w:rsid w:val="008B7DCD"/>
    <w:rsid w:val="008C4ABB"/>
    <w:rsid w:val="008C78AE"/>
    <w:rsid w:val="008D5A2E"/>
    <w:rsid w:val="008E2191"/>
    <w:rsid w:val="008E3593"/>
    <w:rsid w:val="008F0FC3"/>
    <w:rsid w:val="009042CA"/>
    <w:rsid w:val="009069F3"/>
    <w:rsid w:val="009071F1"/>
    <w:rsid w:val="00907230"/>
    <w:rsid w:val="00916874"/>
    <w:rsid w:val="0092651A"/>
    <w:rsid w:val="00927B0C"/>
    <w:rsid w:val="00927D56"/>
    <w:rsid w:val="009300DE"/>
    <w:rsid w:val="00933ECE"/>
    <w:rsid w:val="00943C32"/>
    <w:rsid w:val="00947F2F"/>
    <w:rsid w:val="00955CD8"/>
    <w:rsid w:val="00957F68"/>
    <w:rsid w:val="00961450"/>
    <w:rsid w:val="00964014"/>
    <w:rsid w:val="00964F2A"/>
    <w:rsid w:val="009677AD"/>
    <w:rsid w:val="00970103"/>
    <w:rsid w:val="009721E5"/>
    <w:rsid w:val="00983127"/>
    <w:rsid w:val="00983B3B"/>
    <w:rsid w:val="00990F85"/>
    <w:rsid w:val="00991370"/>
    <w:rsid w:val="00997CF7"/>
    <w:rsid w:val="009A37EA"/>
    <w:rsid w:val="009A4A76"/>
    <w:rsid w:val="009C0B82"/>
    <w:rsid w:val="009C7CEB"/>
    <w:rsid w:val="009D4DAF"/>
    <w:rsid w:val="009E0B29"/>
    <w:rsid w:val="009E157E"/>
    <w:rsid w:val="009E5D53"/>
    <w:rsid w:val="009F70E1"/>
    <w:rsid w:val="00A01903"/>
    <w:rsid w:val="00A01E06"/>
    <w:rsid w:val="00A17E7C"/>
    <w:rsid w:val="00A241B6"/>
    <w:rsid w:val="00A25A25"/>
    <w:rsid w:val="00A26768"/>
    <w:rsid w:val="00A2697F"/>
    <w:rsid w:val="00A31051"/>
    <w:rsid w:val="00A31731"/>
    <w:rsid w:val="00A34274"/>
    <w:rsid w:val="00A36B7B"/>
    <w:rsid w:val="00A37866"/>
    <w:rsid w:val="00A579E6"/>
    <w:rsid w:val="00A65A86"/>
    <w:rsid w:val="00A7180D"/>
    <w:rsid w:val="00A7352F"/>
    <w:rsid w:val="00A74383"/>
    <w:rsid w:val="00A74C0B"/>
    <w:rsid w:val="00A844DE"/>
    <w:rsid w:val="00A919BC"/>
    <w:rsid w:val="00A95503"/>
    <w:rsid w:val="00AB2753"/>
    <w:rsid w:val="00AB7338"/>
    <w:rsid w:val="00AC3E87"/>
    <w:rsid w:val="00AC408A"/>
    <w:rsid w:val="00AD14AC"/>
    <w:rsid w:val="00AE0BF6"/>
    <w:rsid w:val="00AF52DA"/>
    <w:rsid w:val="00AF5DE1"/>
    <w:rsid w:val="00AF6BD7"/>
    <w:rsid w:val="00B0165F"/>
    <w:rsid w:val="00B17E0B"/>
    <w:rsid w:val="00B206E8"/>
    <w:rsid w:val="00B2219C"/>
    <w:rsid w:val="00B40594"/>
    <w:rsid w:val="00B42ACD"/>
    <w:rsid w:val="00B431D9"/>
    <w:rsid w:val="00B526DE"/>
    <w:rsid w:val="00B53148"/>
    <w:rsid w:val="00B576F2"/>
    <w:rsid w:val="00B64D2A"/>
    <w:rsid w:val="00B65014"/>
    <w:rsid w:val="00B66265"/>
    <w:rsid w:val="00B70407"/>
    <w:rsid w:val="00B77746"/>
    <w:rsid w:val="00B80110"/>
    <w:rsid w:val="00B836D4"/>
    <w:rsid w:val="00B933A2"/>
    <w:rsid w:val="00B966E2"/>
    <w:rsid w:val="00B96C1A"/>
    <w:rsid w:val="00BA10B3"/>
    <w:rsid w:val="00BA7774"/>
    <w:rsid w:val="00BB039B"/>
    <w:rsid w:val="00BB1B14"/>
    <w:rsid w:val="00BC59CB"/>
    <w:rsid w:val="00BD166C"/>
    <w:rsid w:val="00BD2FF9"/>
    <w:rsid w:val="00BD3A67"/>
    <w:rsid w:val="00BD57FF"/>
    <w:rsid w:val="00BE0002"/>
    <w:rsid w:val="00BE01F9"/>
    <w:rsid w:val="00BE210E"/>
    <w:rsid w:val="00BE2FB4"/>
    <w:rsid w:val="00BE47F9"/>
    <w:rsid w:val="00BF054C"/>
    <w:rsid w:val="00BF36B2"/>
    <w:rsid w:val="00C0110A"/>
    <w:rsid w:val="00C011AB"/>
    <w:rsid w:val="00C029B8"/>
    <w:rsid w:val="00C12449"/>
    <w:rsid w:val="00C13592"/>
    <w:rsid w:val="00C2248E"/>
    <w:rsid w:val="00C31E0D"/>
    <w:rsid w:val="00C33F82"/>
    <w:rsid w:val="00C35F86"/>
    <w:rsid w:val="00C36ABA"/>
    <w:rsid w:val="00C45F7A"/>
    <w:rsid w:val="00C6190C"/>
    <w:rsid w:val="00C668DE"/>
    <w:rsid w:val="00C67407"/>
    <w:rsid w:val="00C6741A"/>
    <w:rsid w:val="00C67814"/>
    <w:rsid w:val="00C757B3"/>
    <w:rsid w:val="00C8680B"/>
    <w:rsid w:val="00C922DB"/>
    <w:rsid w:val="00CA0E6A"/>
    <w:rsid w:val="00CB2DDE"/>
    <w:rsid w:val="00CB373B"/>
    <w:rsid w:val="00CB4B17"/>
    <w:rsid w:val="00CC1D69"/>
    <w:rsid w:val="00CC2662"/>
    <w:rsid w:val="00CC50E1"/>
    <w:rsid w:val="00CE1F75"/>
    <w:rsid w:val="00CE35DB"/>
    <w:rsid w:val="00CE5AA9"/>
    <w:rsid w:val="00CE6938"/>
    <w:rsid w:val="00D01131"/>
    <w:rsid w:val="00D01F01"/>
    <w:rsid w:val="00D025D0"/>
    <w:rsid w:val="00D04FE2"/>
    <w:rsid w:val="00D05148"/>
    <w:rsid w:val="00D066E4"/>
    <w:rsid w:val="00D10D0A"/>
    <w:rsid w:val="00D127C8"/>
    <w:rsid w:val="00D25C0E"/>
    <w:rsid w:val="00D25F5F"/>
    <w:rsid w:val="00D2710A"/>
    <w:rsid w:val="00D31FD3"/>
    <w:rsid w:val="00D33B6D"/>
    <w:rsid w:val="00D34898"/>
    <w:rsid w:val="00D34A5F"/>
    <w:rsid w:val="00D45C63"/>
    <w:rsid w:val="00D501B1"/>
    <w:rsid w:val="00D526FE"/>
    <w:rsid w:val="00D52846"/>
    <w:rsid w:val="00D55C82"/>
    <w:rsid w:val="00D6633A"/>
    <w:rsid w:val="00D67579"/>
    <w:rsid w:val="00D72A0F"/>
    <w:rsid w:val="00D854F4"/>
    <w:rsid w:val="00DA33E0"/>
    <w:rsid w:val="00DA3C71"/>
    <w:rsid w:val="00DA3FB5"/>
    <w:rsid w:val="00DA5EAB"/>
    <w:rsid w:val="00DB0DB4"/>
    <w:rsid w:val="00DB1776"/>
    <w:rsid w:val="00DB64C9"/>
    <w:rsid w:val="00DB7270"/>
    <w:rsid w:val="00DC112B"/>
    <w:rsid w:val="00DC4F79"/>
    <w:rsid w:val="00DE43DD"/>
    <w:rsid w:val="00DF168D"/>
    <w:rsid w:val="00DF1ED3"/>
    <w:rsid w:val="00E008FC"/>
    <w:rsid w:val="00E0095E"/>
    <w:rsid w:val="00E00CDF"/>
    <w:rsid w:val="00E06DCF"/>
    <w:rsid w:val="00E13B7C"/>
    <w:rsid w:val="00E24700"/>
    <w:rsid w:val="00E275C0"/>
    <w:rsid w:val="00E359DD"/>
    <w:rsid w:val="00E40468"/>
    <w:rsid w:val="00E51EE1"/>
    <w:rsid w:val="00E557D2"/>
    <w:rsid w:val="00E55DC0"/>
    <w:rsid w:val="00E62B2C"/>
    <w:rsid w:val="00E640FD"/>
    <w:rsid w:val="00E65188"/>
    <w:rsid w:val="00E7322C"/>
    <w:rsid w:val="00E733C8"/>
    <w:rsid w:val="00E73EFA"/>
    <w:rsid w:val="00E76A82"/>
    <w:rsid w:val="00E807E1"/>
    <w:rsid w:val="00E81148"/>
    <w:rsid w:val="00E87EC9"/>
    <w:rsid w:val="00E92B1B"/>
    <w:rsid w:val="00EA3EA1"/>
    <w:rsid w:val="00EB0130"/>
    <w:rsid w:val="00EB11E8"/>
    <w:rsid w:val="00EB7967"/>
    <w:rsid w:val="00EB7DE6"/>
    <w:rsid w:val="00EC0BB5"/>
    <w:rsid w:val="00EC5E54"/>
    <w:rsid w:val="00ED3D63"/>
    <w:rsid w:val="00ED5BCA"/>
    <w:rsid w:val="00EE4632"/>
    <w:rsid w:val="00EE5875"/>
    <w:rsid w:val="00EE65FF"/>
    <w:rsid w:val="00EE6C03"/>
    <w:rsid w:val="00EF2945"/>
    <w:rsid w:val="00EF2EFC"/>
    <w:rsid w:val="00EF675F"/>
    <w:rsid w:val="00F02FD1"/>
    <w:rsid w:val="00F036A3"/>
    <w:rsid w:val="00F0391D"/>
    <w:rsid w:val="00F12E15"/>
    <w:rsid w:val="00F160BB"/>
    <w:rsid w:val="00F1789B"/>
    <w:rsid w:val="00F20C05"/>
    <w:rsid w:val="00F22771"/>
    <w:rsid w:val="00F26CE4"/>
    <w:rsid w:val="00F31526"/>
    <w:rsid w:val="00F42333"/>
    <w:rsid w:val="00F45DFD"/>
    <w:rsid w:val="00F65513"/>
    <w:rsid w:val="00F66B18"/>
    <w:rsid w:val="00F80405"/>
    <w:rsid w:val="00F85596"/>
    <w:rsid w:val="00F90197"/>
    <w:rsid w:val="00F9539C"/>
    <w:rsid w:val="00F95BD2"/>
    <w:rsid w:val="00FA10E1"/>
    <w:rsid w:val="00FB2913"/>
    <w:rsid w:val="00FB4CAF"/>
    <w:rsid w:val="00FC2F97"/>
    <w:rsid w:val="00FC64FE"/>
    <w:rsid w:val="00FC68AC"/>
    <w:rsid w:val="00FE1C9A"/>
    <w:rsid w:val="00FE4C51"/>
    <w:rsid w:val="00FE583E"/>
    <w:rsid w:val="00FE60C6"/>
    <w:rsid w:val="00FE61B8"/>
    <w:rsid w:val="00FF0B17"/>
    <w:rsid w:val="00FF4896"/>
    <w:rsid w:val="00FF4AF1"/>
    <w:rsid w:val="00FF61E8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92768-99FC-48CC-942D-CE0310125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FC3"/>
    <w:rPr>
      <w:sz w:val="24"/>
      <w:szCs w:val="24"/>
      <w:lang w:val="uk-UA" w:eastAsia="uk-UA"/>
    </w:rPr>
  </w:style>
  <w:style w:type="paragraph" w:styleId="1">
    <w:name w:val="heading 1"/>
    <w:basedOn w:val="a"/>
    <w:next w:val="a"/>
    <w:qFormat/>
    <w:rsid w:val="00FC2F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1E666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E6666"/>
    <w:pPr>
      <w:spacing w:before="100" w:beforeAutospacing="1" w:after="100" w:afterAutospacing="1"/>
    </w:pPr>
  </w:style>
  <w:style w:type="paragraph" w:customStyle="1" w:styleId="a4">
    <w:basedOn w:val="a"/>
    <w:rsid w:val="00C35F86"/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rsid w:val="00C35F86"/>
    <w:pPr>
      <w:spacing w:after="120" w:line="480" w:lineRule="auto"/>
      <w:ind w:left="283"/>
    </w:pPr>
    <w:rPr>
      <w:sz w:val="20"/>
      <w:szCs w:val="20"/>
      <w:lang w:val="ru-RU" w:eastAsia="ru-RU"/>
    </w:rPr>
  </w:style>
  <w:style w:type="paragraph" w:styleId="a5">
    <w:name w:val="Body Text Indent"/>
    <w:basedOn w:val="a"/>
    <w:rsid w:val="00F1789B"/>
    <w:pPr>
      <w:spacing w:after="120"/>
      <w:ind w:left="283"/>
    </w:pPr>
  </w:style>
  <w:style w:type="paragraph" w:customStyle="1" w:styleId="a6">
    <w:name w:val="Стиль Знак Знак"/>
    <w:basedOn w:val="a"/>
    <w:rsid w:val="00F1789B"/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rsid w:val="00BA7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EE4632"/>
    <w:pPr>
      <w:spacing w:after="120"/>
    </w:pPr>
  </w:style>
  <w:style w:type="paragraph" w:styleId="aa">
    <w:name w:val="header"/>
    <w:basedOn w:val="a"/>
    <w:link w:val="ab"/>
    <w:rsid w:val="00FC2F97"/>
    <w:pPr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ac">
    <w:name w:val=" Знак"/>
    <w:basedOn w:val="a"/>
    <w:rsid w:val="00FC2F97"/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"/>
    <w:basedOn w:val="a"/>
    <w:rsid w:val="001D13AE"/>
    <w:rPr>
      <w:rFonts w:ascii="Verdana" w:hAnsi="Verdana" w:cs="Verdana"/>
      <w:sz w:val="20"/>
      <w:szCs w:val="20"/>
      <w:lang w:val="en-US" w:eastAsia="en-US"/>
    </w:rPr>
  </w:style>
  <w:style w:type="character" w:styleId="ad">
    <w:name w:val="page number"/>
    <w:basedOn w:val="a0"/>
    <w:rsid w:val="003829A2"/>
  </w:style>
  <w:style w:type="paragraph" w:styleId="HTML">
    <w:name w:val="HTML Preformatted"/>
    <w:basedOn w:val="a"/>
    <w:rsid w:val="00CE1F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rvts0">
    <w:name w:val="rvts0"/>
    <w:basedOn w:val="a0"/>
    <w:rsid w:val="00EA3EA1"/>
  </w:style>
  <w:style w:type="paragraph" w:styleId="20">
    <w:name w:val="Body Text 2"/>
    <w:basedOn w:val="a"/>
    <w:rsid w:val="00850D5F"/>
    <w:pPr>
      <w:spacing w:after="120" w:line="480" w:lineRule="auto"/>
    </w:pPr>
  </w:style>
  <w:style w:type="paragraph" w:styleId="ae">
    <w:name w:val="Plain Text"/>
    <w:basedOn w:val="a"/>
    <w:rsid w:val="00AC3E87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val="ru-RU" w:eastAsia="ru-RU"/>
    </w:rPr>
  </w:style>
  <w:style w:type="paragraph" w:styleId="af">
    <w:name w:val="Title"/>
    <w:basedOn w:val="a"/>
    <w:qFormat/>
    <w:rsid w:val="00A919BC"/>
    <w:pPr>
      <w:jc w:val="center"/>
    </w:pPr>
    <w:rPr>
      <w:b/>
      <w:sz w:val="28"/>
      <w:szCs w:val="20"/>
      <w:lang w:eastAsia="ru-RU"/>
    </w:rPr>
  </w:style>
  <w:style w:type="character" w:customStyle="1" w:styleId="rvts23">
    <w:name w:val="rvts23"/>
    <w:basedOn w:val="a0"/>
    <w:rsid w:val="003C322D"/>
  </w:style>
  <w:style w:type="character" w:customStyle="1" w:styleId="rvts9">
    <w:name w:val="rvts9"/>
    <w:basedOn w:val="a0"/>
    <w:rsid w:val="003C322D"/>
  </w:style>
  <w:style w:type="character" w:styleId="af0">
    <w:name w:val="Hyperlink"/>
    <w:rsid w:val="003C322D"/>
    <w:rPr>
      <w:color w:val="0000FF"/>
      <w:u w:val="single"/>
    </w:rPr>
  </w:style>
  <w:style w:type="paragraph" w:styleId="31">
    <w:name w:val="Body Text Indent 3"/>
    <w:basedOn w:val="a"/>
    <w:rsid w:val="008C78AE"/>
    <w:pPr>
      <w:spacing w:after="120"/>
      <w:ind w:left="283"/>
    </w:pPr>
    <w:rPr>
      <w:sz w:val="16"/>
      <w:szCs w:val="16"/>
      <w:lang w:val="ru-RU" w:eastAsia="ru-RU"/>
    </w:rPr>
  </w:style>
  <w:style w:type="character" w:customStyle="1" w:styleId="rvts15">
    <w:name w:val="rvts15"/>
    <w:basedOn w:val="a0"/>
    <w:rsid w:val="0051306D"/>
  </w:style>
  <w:style w:type="character" w:customStyle="1" w:styleId="c2">
    <w:name w:val="c2"/>
    <w:basedOn w:val="a0"/>
    <w:rsid w:val="000C06A4"/>
  </w:style>
  <w:style w:type="paragraph" w:customStyle="1" w:styleId="af1">
    <w:name w:val="Знак Знак Знак Знак Знак Знак Знак Знак Знак Знак Знак Знак"/>
    <w:basedOn w:val="a"/>
    <w:link w:val="a0"/>
    <w:rsid w:val="00602255"/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rsid w:val="00E7322C"/>
    <w:pPr>
      <w:spacing w:before="100" w:beforeAutospacing="1" w:after="100" w:afterAutospacing="1"/>
    </w:pPr>
  </w:style>
  <w:style w:type="paragraph" w:styleId="af2">
    <w:name w:val="footer"/>
    <w:basedOn w:val="a"/>
    <w:link w:val="af3"/>
    <w:rsid w:val="005F141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5F141F"/>
    <w:rPr>
      <w:sz w:val="24"/>
      <w:szCs w:val="24"/>
    </w:rPr>
  </w:style>
  <w:style w:type="character" w:customStyle="1" w:styleId="30">
    <w:name w:val="Заголовок 3 Знак"/>
    <w:link w:val="3"/>
    <w:rsid w:val="005F770C"/>
    <w:rPr>
      <w:b/>
      <w:bCs/>
      <w:sz w:val="27"/>
      <w:szCs w:val="27"/>
    </w:rPr>
  </w:style>
  <w:style w:type="character" w:customStyle="1" w:styleId="a9">
    <w:name w:val="Основной текст Знак"/>
    <w:link w:val="a8"/>
    <w:rsid w:val="00543E14"/>
    <w:rPr>
      <w:sz w:val="24"/>
      <w:szCs w:val="24"/>
    </w:rPr>
  </w:style>
  <w:style w:type="paragraph" w:styleId="af4">
    <w:name w:val="Balloon Text"/>
    <w:basedOn w:val="a"/>
    <w:link w:val="af5"/>
    <w:rsid w:val="00617E71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rsid w:val="00617E71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rsid w:val="004414F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5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1233</Words>
  <Characters>7032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SSMSCU</Company>
  <LinksUpToDate>false</LinksUpToDate>
  <CharactersWithSpaces>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chernomorchenko</dc:creator>
  <cp:keywords/>
  <dc:description/>
  <cp:lastModifiedBy>Руслан Кисляк</cp:lastModifiedBy>
  <cp:revision>2</cp:revision>
  <cp:lastPrinted>2020-03-16T09:30:00Z</cp:lastPrinted>
  <dcterms:created xsi:type="dcterms:W3CDTF">2020-03-25T13:02:00Z</dcterms:created>
  <dcterms:modified xsi:type="dcterms:W3CDTF">2020-03-25T13:02:00Z</dcterms:modified>
</cp:coreProperties>
</file>