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87" w:rsidRPr="00164087" w:rsidRDefault="00164087" w:rsidP="00164087">
      <w:pPr>
        <w:pStyle w:val="a3"/>
        <w:spacing w:before="0" w:after="0"/>
        <w:ind w:left="5400" w:right="0"/>
        <w:rPr>
          <w:sz w:val="28"/>
          <w:szCs w:val="28"/>
          <w:lang w:val="uk-UA"/>
        </w:rPr>
      </w:pPr>
      <w:bookmarkStart w:id="0" w:name="_GoBack"/>
      <w:bookmarkEnd w:id="0"/>
      <w:r w:rsidRPr="00164087">
        <w:rPr>
          <w:sz w:val="28"/>
          <w:szCs w:val="28"/>
          <w:lang w:val="uk-UA"/>
        </w:rPr>
        <w:t>Додаток 15</w:t>
      </w:r>
      <w:r w:rsidRPr="00164087">
        <w:rPr>
          <w:sz w:val="28"/>
          <w:szCs w:val="28"/>
          <w:lang w:val="uk-UA"/>
        </w:rPr>
        <w:br/>
        <w:t>до Положення про розкриття інформації емітентами цінних паперів</w:t>
      </w:r>
      <w:r w:rsidRPr="00164087">
        <w:rPr>
          <w:sz w:val="28"/>
          <w:szCs w:val="28"/>
          <w:lang w:val="uk-UA"/>
        </w:rPr>
        <w:br/>
        <w:t>(пункт 20 глави 1 розділу III)</w:t>
      </w:r>
    </w:p>
    <w:p w:rsidR="00164087" w:rsidRPr="00164087" w:rsidRDefault="00164087" w:rsidP="00164087">
      <w:pPr>
        <w:shd w:val="clear" w:color="auto" w:fill="FFFFFF"/>
        <w:jc w:val="both"/>
        <w:outlineLvl w:val="2"/>
        <w:rPr>
          <w:rFonts w:ascii="Calibri" w:hAnsi="Calibri"/>
          <w:color w:val="293A55"/>
          <w:sz w:val="30"/>
          <w:szCs w:val="30"/>
        </w:rPr>
      </w:pPr>
    </w:p>
    <w:p w:rsidR="00164087" w:rsidRPr="00354BAD" w:rsidRDefault="00164087" w:rsidP="00164087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354BAD">
        <w:rPr>
          <w:sz w:val="28"/>
          <w:szCs w:val="28"/>
        </w:rPr>
        <w:t>1. Відомості про заміну поручителя (страховика, гаранта), що здійснює забезпечення випуску боргових цінних паперів</w:t>
      </w:r>
    </w:p>
    <w:tbl>
      <w:tblPr>
        <w:tblW w:w="513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981"/>
        <w:gridCol w:w="979"/>
        <w:gridCol w:w="695"/>
        <w:gridCol w:w="1036"/>
        <w:gridCol w:w="784"/>
        <w:gridCol w:w="558"/>
        <w:gridCol w:w="979"/>
        <w:gridCol w:w="657"/>
        <w:gridCol w:w="884"/>
        <w:gridCol w:w="558"/>
        <w:gridCol w:w="701"/>
        <w:gridCol w:w="693"/>
      </w:tblGrid>
      <w:tr w:rsidR="00067B5C" w:rsidRPr="001B3534" w:rsidTr="00067B5C">
        <w:trPr>
          <w:jc w:val="center"/>
        </w:trPr>
        <w:tc>
          <w:tcPr>
            <w:tcW w:w="213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AF113F">
            <w:pPr>
              <w:spacing w:before="105" w:after="168"/>
              <w:ind w:firstLine="15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№ з/п</w:t>
            </w:r>
          </w:p>
        </w:tc>
        <w:tc>
          <w:tcPr>
            <w:tcW w:w="494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Дата</w:t>
            </w:r>
            <w:r w:rsidRPr="00AF113F">
              <w:rPr>
                <w:sz w:val="19"/>
                <w:szCs w:val="19"/>
              </w:rPr>
              <w:br/>
              <w:t>реєстрації випуску</w:t>
            </w:r>
          </w:p>
        </w:tc>
        <w:tc>
          <w:tcPr>
            <w:tcW w:w="493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Номер</w:t>
            </w:r>
            <w:r w:rsidRPr="00AF113F">
              <w:rPr>
                <w:sz w:val="19"/>
                <w:szCs w:val="19"/>
              </w:rPr>
              <w:br/>
              <w:t>свідоцтва</w:t>
            </w:r>
            <w:r w:rsidRPr="00AF113F">
              <w:rPr>
                <w:sz w:val="19"/>
                <w:szCs w:val="19"/>
              </w:rPr>
              <w:br/>
              <w:t>про реєстрацію випуску</w:t>
            </w:r>
          </w:p>
        </w:tc>
        <w:tc>
          <w:tcPr>
            <w:tcW w:w="350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Обсяг</w:t>
            </w:r>
            <w:r w:rsidRPr="00AF113F">
              <w:rPr>
                <w:sz w:val="19"/>
                <w:szCs w:val="19"/>
              </w:rPr>
              <w:br/>
              <w:t>випуску (грн)</w:t>
            </w:r>
          </w:p>
        </w:tc>
        <w:tc>
          <w:tcPr>
            <w:tcW w:w="522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067B5C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Вид</w:t>
            </w:r>
            <w:r w:rsidRPr="00AF113F">
              <w:rPr>
                <w:sz w:val="19"/>
                <w:szCs w:val="19"/>
              </w:rPr>
              <w:br/>
              <w:t>забезпе</w:t>
            </w:r>
            <w:r w:rsidR="00067B5C">
              <w:rPr>
                <w:sz w:val="19"/>
                <w:szCs w:val="19"/>
              </w:rPr>
              <w:t xml:space="preserve">   </w:t>
            </w:r>
            <w:r w:rsidRPr="00AF113F">
              <w:rPr>
                <w:sz w:val="19"/>
                <w:szCs w:val="19"/>
              </w:rPr>
              <w:t>чення (порука/</w:t>
            </w:r>
            <w:r w:rsidRPr="00AF113F">
              <w:rPr>
                <w:sz w:val="19"/>
                <w:szCs w:val="19"/>
              </w:rPr>
              <w:br/>
              <w:t>страхування/гарантія)</w:t>
            </w:r>
          </w:p>
        </w:tc>
        <w:tc>
          <w:tcPr>
            <w:tcW w:w="395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Дата</w:t>
            </w:r>
            <w:r w:rsidRPr="00AF113F">
              <w:rPr>
                <w:sz w:val="19"/>
                <w:szCs w:val="19"/>
              </w:rPr>
              <w:br/>
              <w:t>розірвання договору</w:t>
            </w:r>
            <w:r w:rsidRPr="00AF113F">
              <w:rPr>
                <w:sz w:val="19"/>
                <w:szCs w:val="19"/>
              </w:rPr>
              <w:br/>
              <w:t>(відкликання гарантії)</w:t>
            </w:r>
          </w:p>
        </w:tc>
        <w:tc>
          <w:tcPr>
            <w:tcW w:w="11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Поручитель (страховик, гарант),</w:t>
            </w:r>
            <w:r w:rsidRPr="00AF113F">
              <w:rPr>
                <w:sz w:val="19"/>
                <w:szCs w:val="19"/>
              </w:rPr>
              <w:br/>
              <w:t>з яким розірвано договір</w:t>
            </w:r>
          </w:p>
        </w:tc>
        <w:tc>
          <w:tcPr>
            <w:tcW w:w="445" w:type="pct"/>
            <w:vMerge w:val="restart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Дата</w:t>
            </w:r>
            <w:r w:rsidRPr="00AF113F">
              <w:rPr>
                <w:sz w:val="19"/>
                <w:szCs w:val="19"/>
              </w:rPr>
              <w:br/>
              <w:t>укладення нового</w:t>
            </w:r>
            <w:r w:rsidRPr="00AF113F">
              <w:rPr>
                <w:sz w:val="19"/>
                <w:szCs w:val="19"/>
              </w:rPr>
              <w:br/>
              <w:t>договору</w:t>
            </w:r>
            <w:r w:rsidRPr="00AF113F">
              <w:rPr>
                <w:sz w:val="19"/>
                <w:szCs w:val="19"/>
              </w:rPr>
              <w:br/>
              <w:t>(отриман</w:t>
            </w:r>
            <w:r w:rsidR="00067B5C">
              <w:rPr>
                <w:sz w:val="19"/>
                <w:szCs w:val="19"/>
              </w:rPr>
              <w:t xml:space="preserve"> </w:t>
            </w:r>
            <w:r w:rsidRPr="00AF113F">
              <w:rPr>
                <w:sz w:val="19"/>
                <w:szCs w:val="19"/>
              </w:rPr>
              <w:t>ня гарантії)</w:t>
            </w:r>
          </w:p>
        </w:tc>
        <w:tc>
          <w:tcPr>
            <w:tcW w:w="9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13F" w:rsidRPr="00AF113F" w:rsidRDefault="00AF113F" w:rsidP="00AF113F">
            <w:pPr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Поручитель (страховик, гарант), з яким укладено договір</w:t>
            </w:r>
          </w:p>
        </w:tc>
      </w:tr>
      <w:tr w:rsidR="00067B5C" w:rsidRPr="001B3534" w:rsidTr="00067B5C">
        <w:trPr>
          <w:jc w:val="center"/>
        </w:trPr>
        <w:tc>
          <w:tcPr>
            <w:tcW w:w="2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ind w:firstLine="15"/>
              <w:jc w:val="center"/>
              <w:rPr>
                <w:sz w:val="19"/>
                <w:szCs w:val="19"/>
              </w:rPr>
            </w:pPr>
          </w:p>
        </w:tc>
        <w:tc>
          <w:tcPr>
            <w:tcW w:w="4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</w:p>
        </w:tc>
        <w:tc>
          <w:tcPr>
            <w:tcW w:w="4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</w:p>
        </w:tc>
        <w:tc>
          <w:tcPr>
            <w:tcW w:w="3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</w:p>
        </w:tc>
        <w:tc>
          <w:tcPr>
            <w:tcW w:w="5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найменування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13F" w:rsidRPr="00AF113F" w:rsidRDefault="00067B5C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ідентифіка </w:t>
            </w:r>
            <w:r w:rsidR="00AF113F" w:rsidRPr="00AF113F">
              <w:rPr>
                <w:sz w:val="19"/>
                <w:szCs w:val="19"/>
              </w:rPr>
              <w:t>ційний код юридичної особи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13F" w:rsidRPr="00AF113F" w:rsidRDefault="00067B5C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місце </w:t>
            </w:r>
            <w:r w:rsidR="00AF113F" w:rsidRPr="00AF113F">
              <w:rPr>
                <w:sz w:val="19"/>
                <w:szCs w:val="19"/>
              </w:rPr>
              <w:t>знаходження</w:t>
            </w:r>
          </w:p>
        </w:tc>
        <w:tc>
          <w:tcPr>
            <w:tcW w:w="4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найменування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13F" w:rsidRPr="00AF113F" w:rsidRDefault="00067B5C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</w:t>
            </w:r>
            <w:r w:rsidR="00AF113F" w:rsidRPr="00AF113F">
              <w:rPr>
                <w:sz w:val="19"/>
                <w:szCs w:val="19"/>
              </w:rPr>
              <w:t>денти</w:t>
            </w:r>
            <w:r>
              <w:rPr>
                <w:sz w:val="19"/>
                <w:szCs w:val="19"/>
              </w:rPr>
              <w:t xml:space="preserve"> </w:t>
            </w:r>
            <w:r w:rsidR="00AF113F" w:rsidRPr="00AF113F">
              <w:rPr>
                <w:sz w:val="19"/>
                <w:szCs w:val="19"/>
              </w:rPr>
              <w:t>фікацій</w:t>
            </w:r>
            <w:r>
              <w:rPr>
                <w:sz w:val="19"/>
                <w:szCs w:val="19"/>
              </w:rPr>
              <w:t xml:space="preserve"> </w:t>
            </w:r>
            <w:r w:rsidR="00AF113F" w:rsidRPr="00AF113F">
              <w:rPr>
                <w:sz w:val="19"/>
                <w:szCs w:val="19"/>
              </w:rPr>
              <w:t>ний код юридичної особи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13F" w:rsidRPr="00AF113F" w:rsidRDefault="00067B5C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AF113F" w:rsidRPr="00AF113F">
              <w:rPr>
                <w:sz w:val="19"/>
                <w:szCs w:val="19"/>
              </w:rPr>
              <w:t>ісце</w:t>
            </w:r>
            <w:r>
              <w:rPr>
                <w:sz w:val="19"/>
                <w:szCs w:val="19"/>
              </w:rPr>
              <w:t xml:space="preserve"> </w:t>
            </w:r>
            <w:r w:rsidR="00AF113F" w:rsidRPr="00AF113F">
              <w:rPr>
                <w:sz w:val="19"/>
                <w:szCs w:val="19"/>
              </w:rPr>
              <w:t>знаход</w:t>
            </w:r>
            <w:r>
              <w:rPr>
                <w:sz w:val="19"/>
                <w:szCs w:val="19"/>
              </w:rPr>
              <w:t xml:space="preserve"> </w:t>
            </w:r>
            <w:r w:rsidR="00AF113F" w:rsidRPr="00AF113F">
              <w:rPr>
                <w:sz w:val="19"/>
                <w:szCs w:val="19"/>
              </w:rPr>
              <w:t>ження</w:t>
            </w:r>
          </w:p>
        </w:tc>
      </w:tr>
      <w:tr w:rsidR="00067B5C" w:rsidRPr="001B3534" w:rsidTr="00067B5C">
        <w:trPr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4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6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8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9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10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11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12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AF113F" w:rsidRDefault="00AF113F" w:rsidP="00AF113F">
            <w:pPr>
              <w:spacing w:before="105" w:after="168"/>
              <w:jc w:val="center"/>
              <w:rPr>
                <w:sz w:val="19"/>
                <w:szCs w:val="19"/>
              </w:rPr>
            </w:pPr>
            <w:r w:rsidRPr="00AF113F">
              <w:rPr>
                <w:sz w:val="19"/>
                <w:szCs w:val="19"/>
              </w:rPr>
              <w:t>13</w:t>
            </w:r>
          </w:p>
        </w:tc>
      </w:tr>
      <w:tr w:rsidR="00067B5C" w:rsidRPr="001B3534" w:rsidTr="00067B5C">
        <w:trPr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 </w:t>
            </w:r>
          </w:p>
        </w:tc>
      </w:tr>
      <w:tr w:rsidR="00AF113F" w:rsidRPr="001B3534" w:rsidTr="00067B5C">
        <w:tblPrEx>
          <w:jc w:val="left"/>
        </w:tblPrEx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AF113F" w:rsidRPr="001B3534" w:rsidTr="00067B5C">
        <w:tblPrEx>
          <w:jc w:val="left"/>
        </w:tblPrEx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13F" w:rsidRPr="001B3534" w:rsidRDefault="00AF113F" w:rsidP="00AF113F">
            <w:pPr>
              <w:spacing w:before="105" w:after="168"/>
              <w:jc w:val="both"/>
            </w:pPr>
            <w:r>
              <w:t xml:space="preserve">       </w:t>
            </w:r>
            <w:r w:rsidRPr="001B3534">
              <w:t xml:space="preserve">Інформація наводиться в описовій формі з обов'язковим розкриттям питань, визначених пунктом 20 глави 1 розділу III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</w:t>
            </w:r>
            <w:r>
              <w:t>№</w:t>
            </w:r>
            <w:r w:rsidRPr="001B3534">
              <w:t xml:space="preserve"> 2826, зареєстрованого в Міністерстві юстиції України 24 грудня 2013 року за </w:t>
            </w:r>
            <w:r>
              <w:t>№</w:t>
            </w:r>
            <w:r w:rsidRPr="001B3534">
              <w:t xml:space="preserve"> 2180/24712 (далі - Положення).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164087" w:rsidRPr="00354BAD" w:rsidRDefault="00164087" w:rsidP="00164087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354BAD">
        <w:rPr>
          <w:sz w:val="28"/>
          <w:szCs w:val="28"/>
        </w:rPr>
        <w:t>2. Відомості про прийняття рішення про виплату дивідендів</w:t>
      </w:r>
    </w:p>
    <w:tbl>
      <w:tblPr>
        <w:tblW w:w="5138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808"/>
        <w:gridCol w:w="1982"/>
        <w:gridCol w:w="1897"/>
        <w:gridCol w:w="1669"/>
        <w:gridCol w:w="1962"/>
      </w:tblGrid>
      <w:tr w:rsidR="00F42B9B" w:rsidRPr="001B3534" w:rsidTr="00067B5C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B1B" w:rsidRDefault="00F42B9B" w:rsidP="00AF113F">
            <w:pPr>
              <w:spacing w:before="105" w:after="168"/>
              <w:jc w:val="center"/>
            </w:pPr>
            <w:r>
              <w:t>№</w:t>
            </w:r>
          </w:p>
          <w:p w:rsidR="00F42B9B" w:rsidRPr="001B3534" w:rsidRDefault="00F42B9B" w:rsidP="00AF113F">
            <w:pPr>
              <w:spacing w:before="105" w:after="168"/>
              <w:jc w:val="center"/>
            </w:pPr>
            <w:r w:rsidRPr="001B3534">
              <w:t xml:space="preserve"> з/п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B9B" w:rsidRPr="001B3534" w:rsidRDefault="00F42B9B" w:rsidP="00AF113F">
            <w:pPr>
              <w:jc w:val="center"/>
            </w:pPr>
            <w:r w:rsidRPr="001B3534">
              <w:t>Дата вчинення дії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B9B" w:rsidRPr="00F02E69" w:rsidRDefault="00F42B9B" w:rsidP="00AF113F">
            <w:pPr>
              <w:jc w:val="center"/>
            </w:pPr>
            <w:r w:rsidRPr="00F02E69">
              <w:t>Розмір дивідендів, що підлягають виплаті, грн.</w:t>
            </w:r>
          </w:p>
          <w:p w:rsidR="00F42B9B" w:rsidRPr="00F02E69" w:rsidRDefault="00F42B9B" w:rsidP="00AF113F">
            <w:pPr>
              <w:jc w:val="center"/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B9B" w:rsidRPr="00F02E69" w:rsidRDefault="00F42B9B" w:rsidP="00AF113F">
            <w:pPr>
              <w:jc w:val="center"/>
            </w:pPr>
            <w:r w:rsidRPr="00F02E69">
              <w:t>Розмір дивідендів на одну акцію, грн.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B9B" w:rsidRDefault="00F42B9B" w:rsidP="00AF113F">
            <w:pPr>
              <w:jc w:val="center"/>
            </w:pPr>
            <w:r w:rsidRPr="001B3534">
              <w:t>Строк виплати дивідендів</w:t>
            </w:r>
          </w:p>
          <w:p w:rsidR="00F42B9B" w:rsidRPr="001B3534" w:rsidRDefault="00F42B9B" w:rsidP="00AF113F">
            <w:pPr>
              <w:jc w:val="center"/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B9B" w:rsidRPr="001B3534" w:rsidRDefault="00F42B9B" w:rsidP="00AF113F">
            <w:pPr>
              <w:jc w:val="center"/>
            </w:pPr>
            <w:r w:rsidRPr="001B3534">
              <w:t>Спосіб виплати дивідендів</w:t>
            </w:r>
          </w:p>
        </w:tc>
      </w:tr>
      <w:tr w:rsidR="00F42B9B" w:rsidRPr="001B3534" w:rsidTr="00067B5C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546385">
            <w:pPr>
              <w:spacing w:before="105" w:after="168"/>
              <w:jc w:val="center"/>
            </w:pPr>
            <w:r w:rsidRPr="001B3534">
              <w:t>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546385">
            <w:pPr>
              <w:spacing w:before="105" w:after="168"/>
              <w:jc w:val="center"/>
            </w:pPr>
            <w:r w:rsidRPr="001B3534">
              <w:t>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F02E69" w:rsidRDefault="00F42B9B" w:rsidP="00546385">
            <w:pPr>
              <w:spacing w:before="105" w:after="168"/>
              <w:jc w:val="center"/>
            </w:pPr>
            <w:r w:rsidRPr="00F02E69">
              <w:t>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B9B" w:rsidRPr="00F02E69" w:rsidRDefault="00F42B9B" w:rsidP="00546385">
            <w:pPr>
              <w:spacing w:before="105" w:after="168"/>
              <w:jc w:val="center"/>
            </w:pPr>
            <w:r w:rsidRPr="00F02E69">
              <w:t>4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546385">
            <w:pPr>
              <w:spacing w:before="105" w:after="168"/>
              <w:jc w:val="center"/>
            </w:pPr>
            <w:r>
              <w:t>5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546385">
            <w:pPr>
              <w:spacing w:before="105" w:after="168"/>
              <w:jc w:val="center"/>
            </w:pPr>
            <w:r>
              <w:t>6</w:t>
            </w:r>
          </w:p>
        </w:tc>
      </w:tr>
      <w:tr w:rsidR="00F42B9B" w:rsidRPr="001B3534" w:rsidTr="00067B5C"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B9B" w:rsidRPr="001B3534" w:rsidRDefault="00F42B9B" w:rsidP="00164087">
            <w:pPr>
              <w:spacing w:before="105" w:after="168"/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B9B" w:rsidRPr="001B3534" w:rsidRDefault="00F42B9B" w:rsidP="00164087">
            <w:pPr>
              <w:spacing w:before="105" w:after="168"/>
            </w:pPr>
            <w:r w:rsidRPr="001B3534">
              <w:t> </w:t>
            </w:r>
          </w:p>
        </w:tc>
      </w:tr>
      <w:tr w:rsidR="00F42B9B" w:rsidRPr="001B3534" w:rsidTr="00067B5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B9B" w:rsidRPr="001B3534" w:rsidRDefault="00F42B9B" w:rsidP="00164087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F42B9B" w:rsidRPr="001B3534" w:rsidTr="00067B5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B9B" w:rsidRPr="001B3534" w:rsidRDefault="00546385" w:rsidP="00546385">
            <w:pPr>
              <w:spacing w:before="105" w:after="168"/>
              <w:jc w:val="both"/>
            </w:pPr>
            <w:r>
              <w:t xml:space="preserve">       </w:t>
            </w:r>
            <w:r w:rsidR="00F42B9B" w:rsidRPr="001B3534">
              <w:t>Інформація наводиться в описовій формі з обов'язковим розкриттям питань, визначених пунктом 21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164087" w:rsidRDefault="00164087" w:rsidP="00546385">
      <w:pPr>
        <w:shd w:val="clear" w:color="auto" w:fill="FFFFFF"/>
        <w:jc w:val="both"/>
        <w:outlineLvl w:val="2"/>
        <w:rPr>
          <w:rFonts w:ascii="Calibri" w:hAnsi="Calibri"/>
          <w:color w:val="293A55"/>
          <w:sz w:val="30"/>
          <w:szCs w:val="30"/>
        </w:rPr>
      </w:pPr>
    </w:p>
    <w:p w:rsidR="00546385" w:rsidRDefault="00546385" w:rsidP="00546385">
      <w:pPr>
        <w:shd w:val="clear" w:color="auto" w:fill="FFFFFF"/>
        <w:jc w:val="both"/>
        <w:outlineLvl w:val="2"/>
        <w:rPr>
          <w:rFonts w:ascii="Calibri" w:hAnsi="Calibri"/>
          <w:color w:val="293A55"/>
          <w:sz w:val="30"/>
          <w:szCs w:val="30"/>
        </w:rPr>
      </w:pPr>
    </w:p>
    <w:p w:rsidR="00546385" w:rsidRDefault="00546385" w:rsidP="00546385">
      <w:pPr>
        <w:shd w:val="clear" w:color="auto" w:fill="FFFFFF"/>
        <w:jc w:val="both"/>
        <w:outlineLvl w:val="2"/>
        <w:rPr>
          <w:rFonts w:ascii="Calibri" w:hAnsi="Calibri"/>
          <w:color w:val="293A55"/>
          <w:sz w:val="30"/>
          <w:szCs w:val="30"/>
        </w:rPr>
      </w:pPr>
    </w:p>
    <w:p w:rsidR="00546385" w:rsidRPr="00B66B5A" w:rsidRDefault="00B66B5A" w:rsidP="00546385">
      <w:pPr>
        <w:shd w:val="clear" w:color="auto" w:fill="FFFFFF"/>
        <w:jc w:val="both"/>
        <w:outlineLvl w:val="2"/>
        <w:rPr>
          <w:color w:val="293A55"/>
          <w:sz w:val="28"/>
          <w:szCs w:val="28"/>
        </w:rPr>
      </w:pPr>
      <w:r>
        <w:rPr>
          <w:rFonts w:ascii="Calibri" w:hAnsi="Calibri"/>
          <w:color w:val="293A55"/>
          <w:sz w:val="30"/>
          <w:szCs w:val="30"/>
        </w:rPr>
        <w:lastRenderedPageBreak/>
        <w:t xml:space="preserve">                                                                    </w:t>
      </w:r>
      <w:r w:rsidRPr="00B66B5A">
        <w:rPr>
          <w:color w:val="293A55"/>
          <w:sz w:val="28"/>
          <w:szCs w:val="28"/>
        </w:rPr>
        <w:t>2</w:t>
      </w:r>
    </w:p>
    <w:p w:rsidR="00354BAD" w:rsidRDefault="00354BAD" w:rsidP="00164087">
      <w:pPr>
        <w:shd w:val="clear" w:color="auto" w:fill="FFFFFF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Продовження додатк</w:t>
      </w:r>
      <w:r w:rsidR="003B63A8">
        <w:rPr>
          <w:sz w:val="28"/>
          <w:szCs w:val="28"/>
        </w:rPr>
        <w:t>а</w:t>
      </w:r>
      <w:r>
        <w:rPr>
          <w:sz w:val="28"/>
          <w:szCs w:val="28"/>
        </w:rPr>
        <w:t xml:space="preserve"> 15</w:t>
      </w:r>
    </w:p>
    <w:p w:rsidR="00164087" w:rsidRPr="00354BAD" w:rsidRDefault="00164087" w:rsidP="00164087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354BAD">
        <w:rPr>
          <w:sz w:val="28"/>
          <w:szCs w:val="28"/>
        </w:rPr>
        <w:t>3. Відомості про зміну типу акціонерного товариства</w:t>
      </w:r>
    </w:p>
    <w:tbl>
      <w:tblPr>
        <w:tblW w:w="5139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639"/>
        <w:gridCol w:w="3957"/>
        <w:gridCol w:w="3614"/>
      </w:tblGrid>
      <w:tr w:rsidR="00164087" w:rsidRPr="001B3534" w:rsidTr="00875B1B">
        <w:trPr>
          <w:trHeight w:val="850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B1B" w:rsidRDefault="00100507" w:rsidP="00875B1B">
            <w:pPr>
              <w:spacing w:before="105" w:after="168"/>
              <w:jc w:val="center"/>
            </w:pPr>
            <w:r>
              <w:t>№</w:t>
            </w:r>
          </w:p>
          <w:p w:rsidR="00164087" w:rsidRPr="001B3534" w:rsidRDefault="00164087" w:rsidP="00875B1B">
            <w:pPr>
              <w:spacing w:before="105" w:after="168"/>
              <w:jc w:val="center"/>
            </w:pPr>
            <w:r w:rsidRPr="001B3534">
              <w:t>з/п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087" w:rsidRPr="001B3534" w:rsidRDefault="00164087" w:rsidP="00875B1B">
            <w:pPr>
              <w:spacing w:before="105" w:after="168"/>
              <w:jc w:val="center"/>
            </w:pPr>
            <w:r w:rsidRPr="001B3534">
              <w:t>Дата вчинення дії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087" w:rsidRPr="001B3534" w:rsidRDefault="00164087" w:rsidP="00875B1B">
            <w:pPr>
              <w:spacing w:before="105" w:after="168"/>
              <w:jc w:val="center"/>
            </w:pPr>
            <w:r w:rsidRPr="001B3534">
              <w:t>Повне найменування акціонерного товариства до зміни</w:t>
            </w:r>
          </w:p>
        </w:tc>
        <w:tc>
          <w:tcPr>
            <w:tcW w:w="1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087" w:rsidRPr="001B3534" w:rsidRDefault="00164087" w:rsidP="00875B1B">
            <w:pPr>
              <w:spacing w:before="105" w:after="168"/>
              <w:jc w:val="center"/>
            </w:pPr>
            <w:r w:rsidRPr="001B3534">
              <w:t>Повне найменування акціонерного товариства після зміни</w:t>
            </w:r>
          </w:p>
        </w:tc>
      </w:tr>
      <w:tr w:rsidR="00164087" w:rsidRPr="001B3534" w:rsidTr="00875B1B">
        <w:tc>
          <w:tcPr>
            <w:tcW w:w="359" w:type="pct"/>
            <w:tcBorders>
              <w:top w:val="outset" w:sz="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546385">
            <w:pPr>
              <w:spacing w:before="105" w:after="168"/>
              <w:jc w:val="center"/>
            </w:pPr>
            <w:r w:rsidRPr="001B3534">
              <w:t>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546385">
            <w:pPr>
              <w:spacing w:before="105" w:after="168"/>
              <w:jc w:val="center"/>
            </w:pPr>
            <w:r w:rsidRPr="001B3534">
              <w:t>2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546385">
            <w:pPr>
              <w:spacing w:before="105" w:after="168"/>
              <w:jc w:val="center"/>
            </w:pPr>
            <w:r w:rsidRPr="001B3534">
              <w:t>3</w:t>
            </w:r>
          </w:p>
        </w:tc>
        <w:tc>
          <w:tcPr>
            <w:tcW w:w="1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546385">
            <w:pPr>
              <w:spacing w:before="105" w:after="168"/>
              <w:jc w:val="center"/>
            </w:pPr>
            <w:r w:rsidRPr="001B3534">
              <w:t>4</w:t>
            </w:r>
          </w:p>
        </w:tc>
      </w:tr>
      <w:tr w:rsidR="00164087" w:rsidRPr="001B3534" w:rsidTr="00875B1B"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 </w:t>
            </w:r>
          </w:p>
        </w:tc>
        <w:tc>
          <w:tcPr>
            <w:tcW w:w="1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 </w:t>
            </w:r>
          </w:p>
        </w:tc>
      </w:tr>
      <w:tr w:rsidR="00164087" w:rsidRPr="001B3534" w:rsidTr="00875B1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164087" w:rsidRPr="001B3534" w:rsidTr="00875B1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546385" w:rsidP="00546385">
            <w:pPr>
              <w:spacing w:before="105" w:after="168"/>
              <w:jc w:val="both"/>
            </w:pPr>
            <w:r>
              <w:t xml:space="preserve">       </w:t>
            </w:r>
            <w:r w:rsidR="00164087" w:rsidRPr="001B3534">
              <w:t>Інформація наводиться в описовій формі з обов'язковим розкриттям питань, визначених пунктом 22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164087" w:rsidRPr="00354BAD" w:rsidRDefault="00164087" w:rsidP="00164087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354BAD">
        <w:rPr>
          <w:sz w:val="28"/>
          <w:szCs w:val="28"/>
        </w:rPr>
        <w:t>4. Відомості про зміни до статуту приватного акціонерного товариства, пов'язані із переважним правом акціонерів на придбання акцій цього товариства</w:t>
      </w:r>
    </w:p>
    <w:tbl>
      <w:tblPr>
        <w:tblW w:w="5139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164087" w:rsidRPr="001B3534" w:rsidTr="00067B5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164087" w:rsidRPr="001B3534" w:rsidTr="00067B5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546385" w:rsidP="00546385">
            <w:pPr>
              <w:spacing w:before="105" w:after="168"/>
              <w:jc w:val="both"/>
            </w:pPr>
            <w:r>
              <w:t xml:space="preserve">       </w:t>
            </w:r>
            <w:r w:rsidR="00164087" w:rsidRPr="001B3534">
              <w:t>Інформація наводиться в описовій формі з обов'язковим розкриттям питань, визначених пунктом 23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164087" w:rsidRPr="00354BAD" w:rsidRDefault="00164087" w:rsidP="00067B5C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354BAD">
        <w:rPr>
          <w:sz w:val="28"/>
          <w:szCs w:val="28"/>
        </w:rPr>
        <w:t>5. Інформація про затвердження звіту про винагороду членів наглядової ради та/або звіту про винагороду членів виконавчого органу</w:t>
      </w:r>
    </w:p>
    <w:tbl>
      <w:tblPr>
        <w:tblW w:w="5139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164087" w:rsidRPr="001B3534" w:rsidTr="00067B5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164087" w:rsidP="00164087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164087" w:rsidRPr="001B3534" w:rsidTr="00067B5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087" w:rsidRPr="001B3534" w:rsidRDefault="00546385" w:rsidP="00546385">
            <w:pPr>
              <w:spacing w:before="105" w:after="168"/>
              <w:jc w:val="both"/>
            </w:pPr>
            <w:r>
              <w:t xml:space="preserve">      </w:t>
            </w:r>
            <w:r w:rsidR="00164087" w:rsidRPr="001B3534">
              <w:t>Інформація наводиться в описовій формі з обов'язковим розкриттям питань, визначених пунктом 25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C32997" w:rsidRDefault="00C32997"/>
    <w:sectPr w:rsidR="00C329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087"/>
    <w:rsid w:val="00067B5C"/>
    <w:rsid w:val="000A58FE"/>
    <w:rsid w:val="00100507"/>
    <w:rsid w:val="00164087"/>
    <w:rsid w:val="00354BAD"/>
    <w:rsid w:val="003B63A8"/>
    <w:rsid w:val="004E7F43"/>
    <w:rsid w:val="00546385"/>
    <w:rsid w:val="00662564"/>
    <w:rsid w:val="007472FA"/>
    <w:rsid w:val="00875B1B"/>
    <w:rsid w:val="00AF113F"/>
    <w:rsid w:val="00B66B5A"/>
    <w:rsid w:val="00BD24AE"/>
    <w:rsid w:val="00C32997"/>
    <w:rsid w:val="00DE5FCC"/>
    <w:rsid w:val="00F02E69"/>
    <w:rsid w:val="00F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4770-DA89-49F0-AD74-2765905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87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164087"/>
    <w:pPr>
      <w:widowControl w:val="0"/>
      <w:spacing w:before="100" w:after="100"/>
      <w:ind w:left="360" w:right="360"/>
    </w:pPr>
    <w:rPr>
      <w:snapToGrid w:val="0"/>
      <w:szCs w:val="20"/>
      <w:lang w:val="ru-RU" w:eastAsia="ru-RU"/>
    </w:rPr>
  </w:style>
  <w:style w:type="paragraph" w:styleId="a4">
    <w:name w:val="No Spacing"/>
    <w:uiPriority w:val="1"/>
    <w:qFormat/>
    <w:rsid w:val="00875B1B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E676-42C8-419E-9BD0-1EE42066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Будьонний</dc:creator>
  <cp:keywords/>
  <dc:description/>
  <cp:lastModifiedBy>Руслан Кисляк</cp:lastModifiedBy>
  <cp:revision>2</cp:revision>
  <dcterms:created xsi:type="dcterms:W3CDTF">2020-03-13T13:16:00Z</dcterms:created>
  <dcterms:modified xsi:type="dcterms:W3CDTF">2020-03-13T13:16:00Z</dcterms:modified>
</cp:coreProperties>
</file>