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0B" w:rsidRPr="00366C10" w:rsidRDefault="0071790B" w:rsidP="007179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6C10">
        <w:rPr>
          <w:rFonts w:ascii="Times New Roman" w:hAnsi="Times New Roman" w:cs="Times New Roman"/>
          <w:b/>
          <w:sz w:val="28"/>
          <w:szCs w:val="28"/>
        </w:rPr>
        <w:t xml:space="preserve">Порівняльна таблиця до проекту рішення «Про внесення змін до </w:t>
      </w:r>
      <w:r w:rsidR="00366C10" w:rsidRPr="00366C10">
        <w:rPr>
          <w:rFonts w:ascii="Times New Roman" w:hAnsi="Times New Roman" w:cs="Times New Roman"/>
          <w:b/>
          <w:sz w:val="28"/>
          <w:szCs w:val="28"/>
        </w:rPr>
        <w:t>деяких нормативно-правових актів НКЦПФР</w:t>
      </w:r>
      <w:r w:rsidRPr="00366C1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7"/>
        <w:gridCol w:w="7677"/>
      </w:tblGrid>
      <w:tr w:rsidR="009C0B31" w:rsidRPr="00366C10" w:rsidTr="008B555E">
        <w:tc>
          <w:tcPr>
            <w:tcW w:w="15128" w:type="dxa"/>
            <w:gridSpan w:val="2"/>
          </w:tcPr>
          <w:p w:rsidR="009C0B31" w:rsidRPr="00366C10" w:rsidRDefault="009C0B31" w:rsidP="0071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 про об'єднання професійних учасників фондового ринку</w:t>
            </w:r>
            <w:r w:rsidR="007C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1925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Зміст положення (норми) чинного законодавства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Зміст положення (норми) проекту акта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I. Загальні положення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I. Загальні положення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 xml:space="preserve">1. Це Положення, розроблене відповідно до статей 7, 8 Закону України "Про державне регулювання ринку цінних паперів в Україні" та до статей 2, 47 - 49 Закону України "Про цінні папери та фондовий ринок", визначає основні засади та вимоги до функціонування об'єднань професійних учасників фондового ринку та </w:t>
            </w:r>
            <w:proofErr w:type="spellStart"/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саморегулівних</w:t>
            </w:r>
            <w:proofErr w:type="spellEnd"/>
            <w:r w:rsidRPr="00366C10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організацій професійних учасників фондового ринку.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 xml:space="preserve">1. Це Положення, розроблене відповідно до статей 7, 8 Закону України "Про державне регулювання ринку цінних паперів в Україні" та до статей 2, 47 - 49 Закону України "Про цінні папери та фондовий ринок", визначає основні засади та вимоги до функціонування об'єднань професійних учасників фондового ринку </w:t>
            </w: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(далі</w:t>
            </w:r>
            <w:r w:rsidR="002C7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ОПУ)</w:t>
            </w: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саморегулівних</w:t>
            </w:r>
            <w:proofErr w:type="spellEnd"/>
            <w:r w:rsidRPr="00366C10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організацій професійних учасників фондового ринку </w:t>
            </w: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(далі – СРО).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2. У цьому Положенні терміни вживаються в таких значеннях: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2. У цьому Положенні терміни вживаються в таких значеннях: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об'єднання професійних учасників фондового ринку (далі - ОПУ) - неприбуткове об'єднання професійних учасників фондового ринку, які провадять професійну діяльність на ринку цінних паперів, а саме: з торгівлі цінними паперами, депозитарної діяльності та управління активами інституційних інвесторів;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Абзац п</w:t>
            </w:r>
            <w:r w:rsidRPr="00366C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ятий</w:t>
            </w:r>
            <w:proofErr w:type="spellEnd"/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виключити.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саморегулівна</w:t>
            </w:r>
            <w:proofErr w:type="spellEnd"/>
            <w:r w:rsidRPr="00366C10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організація професійних учасників фондового ринку (далі - СРО) - неприбуткове об'єднання учасників фондового ринку, що провадять професійну діяльність на фондовому ринку з торгівлі цінними паперами, управління активами інституційних інвесторів, депозитарну діяльність, крім депозитаріїв, утворене відповідно до критеріїв та вимог, установлених Національною комісією з цінних паперів та фондового ринку (далі - НКЦПФР);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Абзац шостий виключити.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Абзаці сьомий – дев’ятий вважати відповідно п’ятим –сьомим. </w:t>
            </w:r>
          </w:p>
        </w:tc>
      </w:tr>
      <w:tr w:rsidR="00354271" w:rsidRPr="00366C10" w:rsidTr="0071790B">
        <w:tc>
          <w:tcPr>
            <w:tcW w:w="7564" w:type="dxa"/>
          </w:tcPr>
          <w:p w:rsidR="00354271" w:rsidRPr="00354271" w:rsidRDefault="00354271" w:rsidP="00354271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jc w:val="center"/>
              <w:rPr>
                <w:color w:val="000000"/>
              </w:rPr>
            </w:pPr>
            <w:r w:rsidRPr="00354271">
              <w:rPr>
                <w:rStyle w:val="rvts15"/>
                <w:b/>
                <w:bCs/>
                <w:color w:val="000000"/>
              </w:rPr>
              <w:lastRenderedPageBreak/>
              <w:t xml:space="preserve">ІІ.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Об’єднання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професійних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учасників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фондового ринку</w:t>
            </w:r>
          </w:p>
          <w:p w:rsidR="00354271" w:rsidRPr="00354271" w:rsidRDefault="00354271" w:rsidP="00354271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jc w:val="center"/>
              <w:rPr>
                <w:color w:val="000000"/>
              </w:rPr>
            </w:pPr>
            <w:bookmarkStart w:id="1" w:name="n35"/>
            <w:bookmarkEnd w:id="1"/>
            <w:r w:rsidRPr="00354271">
              <w:rPr>
                <w:rStyle w:val="rvts15"/>
                <w:b/>
                <w:bCs/>
                <w:color w:val="000000"/>
              </w:rPr>
              <w:t xml:space="preserve">1.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Умови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реєстрації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та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анулювання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реєстрації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ОПУ</w:t>
            </w:r>
          </w:p>
        </w:tc>
        <w:tc>
          <w:tcPr>
            <w:tcW w:w="7564" w:type="dxa"/>
          </w:tcPr>
          <w:p w:rsidR="00354271" w:rsidRPr="00354271" w:rsidRDefault="00354271" w:rsidP="00354271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jc w:val="center"/>
              <w:rPr>
                <w:color w:val="000000"/>
              </w:rPr>
            </w:pPr>
            <w:r w:rsidRPr="00354271">
              <w:rPr>
                <w:rStyle w:val="rvts15"/>
                <w:b/>
                <w:bCs/>
                <w:color w:val="000000"/>
              </w:rPr>
              <w:t xml:space="preserve">ІІ.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Об’єднання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професійних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учасників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фондового ринку</w:t>
            </w:r>
          </w:p>
          <w:p w:rsidR="00354271" w:rsidRPr="00354271" w:rsidRDefault="00354271" w:rsidP="00354271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jc w:val="center"/>
              <w:rPr>
                <w:color w:val="000000"/>
              </w:rPr>
            </w:pPr>
            <w:r w:rsidRPr="00354271">
              <w:rPr>
                <w:rStyle w:val="rvts15"/>
                <w:b/>
                <w:bCs/>
                <w:color w:val="000000"/>
              </w:rPr>
              <w:t xml:space="preserve">1.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Умови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реєстрації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та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анулювання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354271">
              <w:rPr>
                <w:rStyle w:val="rvts15"/>
                <w:b/>
                <w:bCs/>
                <w:color w:val="000000"/>
              </w:rPr>
              <w:t>реєстрації</w:t>
            </w:r>
            <w:proofErr w:type="spellEnd"/>
            <w:r w:rsidRPr="00354271">
              <w:rPr>
                <w:rStyle w:val="rvts15"/>
                <w:b/>
                <w:bCs/>
                <w:color w:val="000000"/>
              </w:rPr>
              <w:t xml:space="preserve"> ОПУ</w:t>
            </w:r>
          </w:p>
        </w:tc>
      </w:tr>
      <w:tr w:rsidR="00354271" w:rsidRPr="00366C10" w:rsidTr="0071790B">
        <w:tc>
          <w:tcPr>
            <w:tcW w:w="7564" w:type="dxa"/>
          </w:tcPr>
          <w:p w:rsidR="00354271" w:rsidRPr="00354271" w:rsidRDefault="00354271" w:rsidP="003542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354271">
              <w:rPr>
                <w:color w:val="000000"/>
                <w:lang w:val="uk-UA"/>
              </w:rPr>
              <w:t xml:space="preserve">12. У разі зміни найменування </w:t>
            </w:r>
            <w:r w:rsidRPr="00354271">
              <w:rPr>
                <w:b/>
                <w:strike/>
                <w:color w:val="000000"/>
                <w:lang w:val="uk-UA"/>
              </w:rPr>
              <w:t>та/або місцезнаходження</w:t>
            </w:r>
            <w:r w:rsidRPr="00354271">
              <w:rPr>
                <w:color w:val="000000"/>
                <w:lang w:val="uk-UA"/>
              </w:rPr>
              <w:t xml:space="preserve"> ОПУ протягом п’яти робочих днів з дати державної реєстрації змін до відомостей про юридичну особу, що містяться в Єдиному державному реєстрі юридичних осіб, фізичних осіб - підприємців та громадських формувань, подає до НКЦПФР такі документи:</w:t>
            </w:r>
          </w:p>
          <w:bookmarkStart w:id="2" w:name="n590"/>
          <w:bookmarkEnd w:id="2"/>
          <w:p w:rsidR="00354271" w:rsidRDefault="00354271" w:rsidP="003542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"https://zakon.rada.gov.ua/laws/show/z0182-13" \l "n426" </w:instrText>
            </w:r>
            <w:r>
              <w:rPr>
                <w:color w:val="000000"/>
              </w:rPr>
              <w:fldChar w:fldCharType="separate"/>
            </w:r>
            <w:proofErr w:type="spellStart"/>
            <w:r>
              <w:rPr>
                <w:rStyle w:val="a4"/>
                <w:color w:val="006600"/>
              </w:rPr>
              <w:t>заяву</w:t>
            </w:r>
            <w:proofErr w:type="spellEnd"/>
            <w:r>
              <w:rPr>
                <w:rStyle w:val="a4"/>
                <w:color w:val="006600"/>
              </w:rPr>
              <w:t xml:space="preserve"> про </w:t>
            </w:r>
            <w:proofErr w:type="spellStart"/>
            <w:r>
              <w:rPr>
                <w:rStyle w:val="a4"/>
                <w:color w:val="006600"/>
              </w:rPr>
              <w:t>заміну</w:t>
            </w:r>
            <w:proofErr w:type="spellEnd"/>
            <w:r>
              <w:rPr>
                <w:rStyle w:val="a4"/>
                <w:color w:val="006600"/>
              </w:rPr>
              <w:t xml:space="preserve"> </w:t>
            </w:r>
            <w:proofErr w:type="spellStart"/>
            <w:r>
              <w:rPr>
                <w:rStyle w:val="a4"/>
                <w:color w:val="006600"/>
              </w:rPr>
              <w:t>свідоцтва</w:t>
            </w:r>
            <w:proofErr w:type="spellEnd"/>
            <w:r>
              <w:rPr>
                <w:rStyle w:val="a4"/>
                <w:color w:val="006600"/>
              </w:rPr>
              <w:t xml:space="preserve"> про </w:t>
            </w:r>
            <w:proofErr w:type="spellStart"/>
            <w:r>
              <w:rPr>
                <w:rStyle w:val="a4"/>
                <w:color w:val="006600"/>
              </w:rPr>
              <w:t>реєстрацію</w:t>
            </w:r>
            <w:proofErr w:type="spellEnd"/>
            <w:r>
              <w:rPr>
                <w:rStyle w:val="a4"/>
                <w:color w:val="006600"/>
              </w:rPr>
              <w:t xml:space="preserve"> </w:t>
            </w:r>
            <w:proofErr w:type="spellStart"/>
            <w:r>
              <w:rPr>
                <w:rStyle w:val="a4"/>
                <w:color w:val="006600"/>
              </w:rPr>
              <w:t>об’єднання</w:t>
            </w:r>
            <w:proofErr w:type="spellEnd"/>
            <w:r>
              <w:rPr>
                <w:rStyle w:val="a4"/>
                <w:color w:val="006600"/>
              </w:rPr>
              <w:t xml:space="preserve"> </w:t>
            </w:r>
            <w:proofErr w:type="spellStart"/>
            <w:r>
              <w:rPr>
                <w:rStyle w:val="a4"/>
                <w:color w:val="006600"/>
              </w:rPr>
              <w:t>професійних</w:t>
            </w:r>
            <w:proofErr w:type="spellEnd"/>
            <w:r>
              <w:rPr>
                <w:rStyle w:val="a4"/>
                <w:color w:val="006600"/>
              </w:rPr>
              <w:t xml:space="preserve"> </w:t>
            </w:r>
            <w:proofErr w:type="spellStart"/>
            <w:r>
              <w:rPr>
                <w:rStyle w:val="a4"/>
                <w:color w:val="006600"/>
              </w:rPr>
              <w:t>учасників</w:t>
            </w:r>
            <w:proofErr w:type="spellEnd"/>
            <w:r>
              <w:rPr>
                <w:rStyle w:val="a4"/>
                <w:color w:val="006600"/>
              </w:rPr>
              <w:t xml:space="preserve"> фондового ринку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4);</w:t>
            </w:r>
          </w:p>
          <w:p w:rsidR="00354271" w:rsidRDefault="00354271" w:rsidP="003542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591"/>
            <w:bookmarkEnd w:id="3"/>
            <w:proofErr w:type="spellStart"/>
            <w:r>
              <w:rPr>
                <w:color w:val="000000"/>
              </w:rPr>
              <w:t>оригінал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свідоцтва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ОПУ.</w:t>
            </w:r>
          </w:p>
          <w:p w:rsidR="00354271" w:rsidRDefault="00354271" w:rsidP="003542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592"/>
            <w:bookmarkEnd w:id="4"/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наслідками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розгляду</w:t>
            </w:r>
            <w:proofErr w:type="spellEnd"/>
            <w:r>
              <w:rPr>
                <w:color w:val="000000"/>
              </w:rPr>
              <w:t xml:space="preserve"> заяви та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НКЦПФР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дня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одержання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заміну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свідоцтва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об’єднання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учасників</w:t>
            </w:r>
            <w:proofErr w:type="spellEnd"/>
            <w:r>
              <w:rPr>
                <w:color w:val="000000"/>
              </w:rPr>
              <w:t xml:space="preserve"> фондового ринку.</w:t>
            </w:r>
          </w:p>
          <w:p w:rsidR="00354271" w:rsidRPr="00354271" w:rsidRDefault="00354271" w:rsidP="003542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5" w:name="n593"/>
            <w:bookmarkEnd w:id="5"/>
            <w:proofErr w:type="spellStart"/>
            <w:r>
              <w:rPr>
                <w:color w:val="000000"/>
              </w:rPr>
              <w:t>Після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НКЦПФР </w:t>
            </w:r>
            <w:proofErr w:type="spellStart"/>
            <w:r>
              <w:rPr>
                <w:color w:val="000000"/>
              </w:rPr>
              <w:t>видає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ОПУ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анулює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попереднє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ОПУ </w:t>
            </w:r>
            <w:proofErr w:type="spellStart"/>
            <w:r>
              <w:rPr>
                <w:color w:val="000000"/>
              </w:rPr>
              <w:t>отримує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керівник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виконавчого</w:t>
            </w:r>
            <w:proofErr w:type="spellEnd"/>
            <w:r>
              <w:rPr>
                <w:color w:val="000000"/>
              </w:rPr>
              <w:t xml:space="preserve"> органу ОПУ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заявника</w:t>
            </w:r>
            <w:proofErr w:type="spellEnd"/>
            <w:r>
              <w:rPr>
                <w:color w:val="000000"/>
              </w:rPr>
              <w:t xml:space="preserve"> за виданою </w:t>
            </w:r>
            <w:proofErr w:type="spellStart"/>
            <w:r>
              <w:rPr>
                <w:color w:val="000000"/>
              </w:rPr>
              <w:t>заявником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довіреністю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пред’явленням</w:t>
            </w:r>
            <w:proofErr w:type="spellEnd"/>
            <w:r>
              <w:rPr>
                <w:color w:val="000000"/>
              </w:rPr>
              <w:t xml:space="preserve"> документа,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посвідчує</w:t>
            </w:r>
            <w:proofErr w:type="spellEnd"/>
            <w:r>
              <w:rPr>
                <w:color w:val="000000"/>
              </w:rPr>
              <w:t xml:space="preserve"> особу.</w:t>
            </w:r>
          </w:p>
        </w:tc>
        <w:tc>
          <w:tcPr>
            <w:tcW w:w="7564" w:type="dxa"/>
          </w:tcPr>
          <w:p w:rsidR="00354271" w:rsidRDefault="00354271" w:rsidP="003542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12. 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ОПУ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п’яти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робочих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дати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відомостей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юридичну</w:t>
            </w:r>
            <w:proofErr w:type="spellEnd"/>
            <w:r>
              <w:rPr>
                <w:color w:val="000000"/>
              </w:rPr>
              <w:t xml:space="preserve"> особу,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містяться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Єдиному</w:t>
            </w:r>
            <w:proofErr w:type="spellEnd"/>
            <w:r>
              <w:rPr>
                <w:color w:val="000000"/>
              </w:rPr>
              <w:t xml:space="preserve"> державному </w:t>
            </w:r>
            <w:proofErr w:type="spellStart"/>
            <w:r>
              <w:rPr>
                <w:color w:val="000000"/>
              </w:rPr>
              <w:t>реєстрі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підприємців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формувань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подає</w:t>
            </w:r>
            <w:proofErr w:type="spellEnd"/>
            <w:r>
              <w:rPr>
                <w:color w:val="000000"/>
              </w:rPr>
              <w:t xml:space="preserve"> до НКЦПФР </w:t>
            </w:r>
            <w:proofErr w:type="spellStart"/>
            <w:r>
              <w:rPr>
                <w:color w:val="000000"/>
              </w:rPr>
              <w:t>такі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документи</w:t>
            </w:r>
            <w:proofErr w:type="spellEnd"/>
            <w:r>
              <w:rPr>
                <w:color w:val="000000"/>
              </w:rPr>
              <w:t>:</w:t>
            </w:r>
          </w:p>
          <w:p w:rsidR="00354271" w:rsidRDefault="00F64697" w:rsidP="003542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hyperlink r:id="rId4" w:anchor="n426" w:history="1">
              <w:proofErr w:type="spellStart"/>
              <w:r w:rsidR="00354271">
                <w:rPr>
                  <w:rStyle w:val="a4"/>
                  <w:color w:val="006600"/>
                </w:rPr>
                <w:t>заяву</w:t>
              </w:r>
              <w:proofErr w:type="spellEnd"/>
              <w:r w:rsidR="00354271">
                <w:rPr>
                  <w:rStyle w:val="a4"/>
                  <w:color w:val="006600"/>
                </w:rPr>
                <w:t xml:space="preserve"> про </w:t>
              </w:r>
              <w:proofErr w:type="spellStart"/>
              <w:r w:rsidR="00354271">
                <w:rPr>
                  <w:rStyle w:val="a4"/>
                  <w:color w:val="006600"/>
                </w:rPr>
                <w:t>заміну</w:t>
              </w:r>
              <w:proofErr w:type="spellEnd"/>
              <w:r w:rsidR="00354271">
                <w:rPr>
                  <w:rStyle w:val="a4"/>
                  <w:color w:val="006600"/>
                </w:rPr>
                <w:t xml:space="preserve"> </w:t>
              </w:r>
              <w:proofErr w:type="spellStart"/>
              <w:r w:rsidR="00354271">
                <w:rPr>
                  <w:rStyle w:val="a4"/>
                  <w:color w:val="006600"/>
                </w:rPr>
                <w:t>свідоцтва</w:t>
              </w:r>
              <w:proofErr w:type="spellEnd"/>
              <w:r w:rsidR="00354271">
                <w:rPr>
                  <w:rStyle w:val="a4"/>
                  <w:color w:val="006600"/>
                </w:rPr>
                <w:t xml:space="preserve"> про </w:t>
              </w:r>
              <w:proofErr w:type="spellStart"/>
              <w:r w:rsidR="00354271">
                <w:rPr>
                  <w:rStyle w:val="a4"/>
                  <w:color w:val="006600"/>
                </w:rPr>
                <w:t>реєстрацію</w:t>
              </w:r>
              <w:proofErr w:type="spellEnd"/>
              <w:r w:rsidR="00354271">
                <w:rPr>
                  <w:rStyle w:val="a4"/>
                  <w:color w:val="006600"/>
                </w:rPr>
                <w:t xml:space="preserve"> </w:t>
              </w:r>
              <w:proofErr w:type="spellStart"/>
              <w:r w:rsidR="00354271">
                <w:rPr>
                  <w:rStyle w:val="a4"/>
                  <w:color w:val="006600"/>
                </w:rPr>
                <w:t>об’єднання</w:t>
              </w:r>
              <w:proofErr w:type="spellEnd"/>
              <w:r w:rsidR="00354271">
                <w:rPr>
                  <w:rStyle w:val="a4"/>
                  <w:color w:val="006600"/>
                </w:rPr>
                <w:t xml:space="preserve"> </w:t>
              </w:r>
              <w:proofErr w:type="spellStart"/>
              <w:r w:rsidR="00354271">
                <w:rPr>
                  <w:rStyle w:val="a4"/>
                  <w:color w:val="006600"/>
                </w:rPr>
                <w:t>професійних</w:t>
              </w:r>
              <w:proofErr w:type="spellEnd"/>
              <w:r w:rsidR="00354271">
                <w:rPr>
                  <w:rStyle w:val="a4"/>
                  <w:color w:val="006600"/>
                </w:rPr>
                <w:t xml:space="preserve"> </w:t>
              </w:r>
              <w:proofErr w:type="spellStart"/>
              <w:r w:rsidR="00354271">
                <w:rPr>
                  <w:rStyle w:val="a4"/>
                  <w:color w:val="006600"/>
                </w:rPr>
                <w:t>учасників</w:t>
              </w:r>
              <w:proofErr w:type="spellEnd"/>
              <w:r w:rsidR="00354271">
                <w:rPr>
                  <w:rStyle w:val="a4"/>
                  <w:color w:val="006600"/>
                </w:rPr>
                <w:t xml:space="preserve"> фондового ринку</w:t>
              </w:r>
            </w:hyperlink>
            <w:r w:rsidR="00354271">
              <w:rPr>
                <w:color w:val="000000"/>
              </w:rPr>
              <w:t> (</w:t>
            </w:r>
            <w:proofErr w:type="spellStart"/>
            <w:r w:rsidR="00354271">
              <w:rPr>
                <w:color w:val="000000"/>
              </w:rPr>
              <w:t>додаток</w:t>
            </w:r>
            <w:proofErr w:type="spellEnd"/>
            <w:r w:rsidR="00354271">
              <w:rPr>
                <w:color w:val="000000"/>
              </w:rPr>
              <w:t xml:space="preserve"> 4);</w:t>
            </w:r>
          </w:p>
          <w:p w:rsidR="00354271" w:rsidRDefault="00354271" w:rsidP="003542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оригінал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свідоцтва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ОПУ.</w:t>
            </w:r>
          </w:p>
          <w:p w:rsidR="00354271" w:rsidRDefault="00354271" w:rsidP="003542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наслідками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розгляду</w:t>
            </w:r>
            <w:proofErr w:type="spellEnd"/>
            <w:r>
              <w:rPr>
                <w:color w:val="000000"/>
              </w:rPr>
              <w:t xml:space="preserve"> заяви та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НКЦПФР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дня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одержання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заміну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свідоцтва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об’єднання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учасників</w:t>
            </w:r>
            <w:proofErr w:type="spellEnd"/>
            <w:r>
              <w:rPr>
                <w:color w:val="000000"/>
              </w:rPr>
              <w:t xml:space="preserve"> фондового ринку.</w:t>
            </w:r>
          </w:p>
          <w:p w:rsidR="00354271" w:rsidRPr="00354271" w:rsidRDefault="00354271" w:rsidP="0035427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Після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НКЦПФР </w:t>
            </w:r>
            <w:proofErr w:type="spellStart"/>
            <w:r>
              <w:rPr>
                <w:color w:val="000000"/>
              </w:rPr>
              <w:t>видає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ОПУ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анулює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попереднє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ОПУ </w:t>
            </w:r>
            <w:proofErr w:type="spellStart"/>
            <w:r>
              <w:rPr>
                <w:color w:val="000000"/>
              </w:rPr>
              <w:t>отримує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керівник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виконавчого</w:t>
            </w:r>
            <w:proofErr w:type="spellEnd"/>
            <w:r>
              <w:rPr>
                <w:color w:val="000000"/>
              </w:rPr>
              <w:t xml:space="preserve"> органу ОПУ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заявника</w:t>
            </w:r>
            <w:proofErr w:type="spellEnd"/>
            <w:r>
              <w:rPr>
                <w:color w:val="000000"/>
              </w:rPr>
              <w:t xml:space="preserve"> за виданою </w:t>
            </w:r>
            <w:proofErr w:type="spellStart"/>
            <w:r>
              <w:rPr>
                <w:color w:val="000000"/>
              </w:rPr>
              <w:t>заявником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довіреністю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пред’явленням</w:t>
            </w:r>
            <w:proofErr w:type="spellEnd"/>
            <w:r>
              <w:rPr>
                <w:color w:val="000000"/>
              </w:rPr>
              <w:t xml:space="preserve"> документа,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посвідчує</w:t>
            </w:r>
            <w:proofErr w:type="spellEnd"/>
            <w:r>
              <w:rPr>
                <w:color w:val="000000"/>
              </w:rPr>
              <w:t xml:space="preserve"> особу.</w:t>
            </w:r>
          </w:p>
        </w:tc>
      </w:tr>
      <w:tr w:rsidR="00354271" w:rsidRPr="00366C10" w:rsidTr="0071790B">
        <w:tc>
          <w:tcPr>
            <w:tcW w:w="7564" w:type="dxa"/>
          </w:tcPr>
          <w:p w:rsidR="00D4511B" w:rsidRPr="00D4511B" w:rsidRDefault="00D4511B" w:rsidP="00D4511B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jc w:val="center"/>
              <w:rPr>
                <w:color w:val="000000"/>
              </w:rPr>
            </w:pPr>
            <w:r w:rsidRPr="00D4511B">
              <w:rPr>
                <w:rStyle w:val="rvts15"/>
                <w:b/>
                <w:bCs/>
                <w:color w:val="000000"/>
              </w:rPr>
              <w:t xml:space="preserve">ІІІ.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Саморегулівні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організації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професійних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учасників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фондового ринку</w:t>
            </w:r>
          </w:p>
          <w:p w:rsidR="00354271" w:rsidRPr="00D4511B" w:rsidRDefault="00D4511B" w:rsidP="00D4511B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jc w:val="center"/>
              <w:rPr>
                <w:color w:val="000000"/>
              </w:rPr>
            </w:pPr>
            <w:bookmarkStart w:id="6" w:name="n181"/>
            <w:bookmarkEnd w:id="6"/>
            <w:r w:rsidRPr="00D4511B">
              <w:rPr>
                <w:rStyle w:val="rvts15"/>
                <w:b/>
                <w:bCs/>
                <w:color w:val="000000"/>
              </w:rPr>
              <w:t xml:space="preserve">1.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Набуття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та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позбавлення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статусу СРО</w:t>
            </w:r>
          </w:p>
        </w:tc>
        <w:tc>
          <w:tcPr>
            <w:tcW w:w="7564" w:type="dxa"/>
          </w:tcPr>
          <w:p w:rsidR="00D4511B" w:rsidRPr="00D4511B" w:rsidRDefault="00D4511B" w:rsidP="00D4511B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jc w:val="center"/>
              <w:rPr>
                <w:color w:val="000000"/>
              </w:rPr>
            </w:pPr>
            <w:r w:rsidRPr="00D4511B">
              <w:rPr>
                <w:rStyle w:val="rvts15"/>
                <w:b/>
                <w:bCs/>
                <w:color w:val="000000"/>
              </w:rPr>
              <w:t xml:space="preserve">ІІІ.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Саморегулівні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організації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професійних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учасників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фондового ринку</w:t>
            </w:r>
          </w:p>
          <w:p w:rsidR="00354271" w:rsidRPr="00D4511B" w:rsidRDefault="00D4511B" w:rsidP="00D4511B">
            <w:pPr>
              <w:pStyle w:val="rvps7"/>
              <w:shd w:val="clear" w:color="auto" w:fill="FFFFFF"/>
              <w:spacing w:before="150" w:beforeAutospacing="0" w:after="150" w:afterAutospacing="0"/>
              <w:ind w:left="450" w:right="450"/>
              <w:jc w:val="center"/>
              <w:rPr>
                <w:color w:val="000000"/>
              </w:rPr>
            </w:pPr>
            <w:r w:rsidRPr="00D4511B">
              <w:rPr>
                <w:rStyle w:val="rvts15"/>
                <w:b/>
                <w:bCs/>
                <w:color w:val="000000"/>
              </w:rPr>
              <w:t xml:space="preserve">1.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Набуття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та </w:t>
            </w:r>
            <w:proofErr w:type="spellStart"/>
            <w:r w:rsidRPr="00D4511B">
              <w:rPr>
                <w:rStyle w:val="rvts15"/>
                <w:b/>
                <w:bCs/>
                <w:color w:val="000000"/>
              </w:rPr>
              <w:t>позбавлення</w:t>
            </w:r>
            <w:proofErr w:type="spellEnd"/>
            <w:r w:rsidRPr="00D4511B">
              <w:rPr>
                <w:rStyle w:val="rvts15"/>
                <w:b/>
                <w:bCs/>
                <w:color w:val="000000"/>
              </w:rPr>
              <w:t xml:space="preserve"> статусу СРО</w:t>
            </w:r>
          </w:p>
        </w:tc>
      </w:tr>
      <w:tr w:rsidR="00354271" w:rsidRPr="00366C10" w:rsidTr="0071790B">
        <w:tc>
          <w:tcPr>
            <w:tcW w:w="7564" w:type="dxa"/>
          </w:tcPr>
          <w:p w:rsidR="00D4511B" w:rsidRPr="00D4511B" w:rsidRDefault="00D4511B" w:rsidP="00D4511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D4511B">
              <w:rPr>
                <w:color w:val="000000"/>
                <w:lang w:val="uk-UA"/>
              </w:rPr>
              <w:t xml:space="preserve">15. У разі зміни найменування </w:t>
            </w:r>
            <w:r w:rsidRPr="00D4511B">
              <w:rPr>
                <w:b/>
                <w:strike/>
                <w:color w:val="000000"/>
                <w:lang w:val="uk-UA"/>
              </w:rPr>
              <w:t>та/або місцезнаходження</w:t>
            </w:r>
            <w:r w:rsidRPr="00D4511B">
              <w:rPr>
                <w:color w:val="000000"/>
                <w:lang w:val="uk-UA"/>
              </w:rPr>
              <w:t xml:space="preserve"> СРО протягом п’яти робочих днів від дати державної реєстрації змін до відомостей про юридичну особу, що містяться в Єдиному державному реєстрі юридичних осіб, фізичних осіб - підприємців та громадських формувань, СРО подає до НКЦПФР такі документи:</w:t>
            </w:r>
          </w:p>
          <w:bookmarkStart w:id="7" w:name="n656"/>
          <w:bookmarkEnd w:id="7"/>
          <w:p w:rsidR="00D4511B" w:rsidRPr="005867E0" w:rsidRDefault="00D4511B" w:rsidP="00D4511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fldChar w:fldCharType="begin"/>
            </w:r>
            <w:r w:rsidRPr="005867E0">
              <w:rPr>
                <w:color w:val="000000"/>
                <w:lang w:val="uk-UA"/>
              </w:rPr>
              <w:instrText xml:space="preserve"> </w:instrText>
            </w:r>
            <w:r>
              <w:rPr>
                <w:color w:val="000000"/>
              </w:rPr>
              <w:instrText>HYPERLINK</w:instrText>
            </w:r>
            <w:r w:rsidRPr="005867E0">
              <w:rPr>
                <w:color w:val="000000"/>
                <w:lang w:val="uk-UA"/>
              </w:rPr>
              <w:instrText xml:space="preserve"> "</w:instrText>
            </w:r>
            <w:r>
              <w:rPr>
                <w:color w:val="000000"/>
              </w:rPr>
              <w:instrText>https</w:instrText>
            </w:r>
            <w:r w:rsidRPr="005867E0">
              <w:rPr>
                <w:color w:val="000000"/>
                <w:lang w:val="uk-UA"/>
              </w:rPr>
              <w:instrText>://</w:instrText>
            </w:r>
            <w:r>
              <w:rPr>
                <w:color w:val="000000"/>
              </w:rPr>
              <w:instrText>zakon</w:instrText>
            </w:r>
            <w:r w:rsidRPr="005867E0">
              <w:rPr>
                <w:color w:val="000000"/>
                <w:lang w:val="uk-UA"/>
              </w:rPr>
              <w:instrText>.</w:instrText>
            </w:r>
            <w:r>
              <w:rPr>
                <w:color w:val="000000"/>
              </w:rPr>
              <w:instrText>rada</w:instrText>
            </w:r>
            <w:r w:rsidRPr="005867E0">
              <w:rPr>
                <w:color w:val="000000"/>
                <w:lang w:val="uk-UA"/>
              </w:rPr>
              <w:instrText>.</w:instrText>
            </w:r>
            <w:r>
              <w:rPr>
                <w:color w:val="000000"/>
              </w:rPr>
              <w:instrText>gov</w:instrText>
            </w:r>
            <w:r w:rsidRPr="005867E0">
              <w:rPr>
                <w:color w:val="000000"/>
                <w:lang w:val="uk-UA"/>
              </w:rPr>
              <w:instrText>.</w:instrText>
            </w:r>
            <w:r>
              <w:rPr>
                <w:color w:val="000000"/>
              </w:rPr>
              <w:instrText>ua</w:instrText>
            </w:r>
            <w:r w:rsidRPr="005867E0">
              <w:rPr>
                <w:color w:val="000000"/>
                <w:lang w:val="uk-UA"/>
              </w:rPr>
              <w:instrText>/</w:instrText>
            </w:r>
            <w:r>
              <w:rPr>
                <w:color w:val="000000"/>
              </w:rPr>
              <w:instrText>laws</w:instrText>
            </w:r>
            <w:r w:rsidRPr="005867E0">
              <w:rPr>
                <w:color w:val="000000"/>
                <w:lang w:val="uk-UA"/>
              </w:rPr>
              <w:instrText>/</w:instrText>
            </w:r>
            <w:r>
              <w:rPr>
                <w:color w:val="000000"/>
              </w:rPr>
              <w:instrText>show</w:instrText>
            </w:r>
            <w:r w:rsidRPr="005867E0">
              <w:rPr>
                <w:color w:val="000000"/>
                <w:lang w:val="uk-UA"/>
              </w:rPr>
              <w:instrText>/</w:instrText>
            </w:r>
            <w:r>
              <w:rPr>
                <w:color w:val="000000"/>
              </w:rPr>
              <w:instrText>z</w:instrText>
            </w:r>
            <w:r w:rsidRPr="005867E0">
              <w:rPr>
                <w:color w:val="000000"/>
                <w:lang w:val="uk-UA"/>
              </w:rPr>
              <w:instrText>0182-13" \</w:instrText>
            </w:r>
            <w:r>
              <w:rPr>
                <w:color w:val="000000"/>
              </w:rPr>
              <w:instrText>l</w:instrText>
            </w:r>
            <w:r w:rsidRPr="005867E0">
              <w:rPr>
                <w:color w:val="000000"/>
                <w:lang w:val="uk-UA"/>
              </w:rPr>
              <w:instrText xml:space="preserve"> "</w:instrText>
            </w:r>
            <w:r>
              <w:rPr>
                <w:color w:val="000000"/>
              </w:rPr>
              <w:instrText>n</w:instrText>
            </w:r>
            <w:r w:rsidRPr="005867E0">
              <w:rPr>
                <w:color w:val="000000"/>
                <w:lang w:val="uk-UA"/>
              </w:rPr>
              <w:instrText xml:space="preserve">501" </w:instrText>
            </w:r>
            <w:r>
              <w:rPr>
                <w:color w:val="000000"/>
              </w:rPr>
              <w:fldChar w:fldCharType="separate"/>
            </w:r>
            <w:r w:rsidRPr="005867E0">
              <w:rPr>
                <w:rStyle w:val="a4"/>
                <w:color w:val="006600"/>
                <w:lang w:val="uk-UA"/>
              </w:rPr>
              <w:t xml:space="preserve">заяву про заміну свідоцтва про реєстрацію об’єднання як </w:t>
            </w:r>
            <w:proofErr w:type="spellStart"/>
            <w:r w:rsidRPr="005867E0">
              <w:rPr>
                <w:rStyle w:val="a4"/>
                <w:color w:val="006600"/>
                <w:lang w:val="uk-UA"/>
              </w:rPr>
              <w:lastRenderedPageBreak/>
              <w:t>саморегулівної</w:t>
            </w:r>
            <w:proofErr w:type="spellEnd"/>
            <w:r w:rsidRPr="005867E0">
              <w:rPr>
                <w:rStyle w:val="a4"/>
                <w:color w:val="006600"/>
                <w:lang w:val="uk-UA"/>
              </w:rPr>
              <w:t xml:space="preserve"> організації професійних учасників фондового ринку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 </w:t>
            </w:r>
            <w:r w:rsidRPr="005867E0">
              <w:rPr>
                <w:color w:val="000000"/>
                <w:lang w:val="uk-UA"/>
              </w:rPr>
              <w:t>(додаток 10);</w:t>
            </w:r>
          </w:p>
          <w:p w:rsidR="00D4511B" w:rsidRDefault="00D4511B" w:rsidP="00D4511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8" w:name="n657"/>
            <w:bookmarkEnd w:id="8"/>
            <w:proofErr w:type="spellStart"/>
            <w:r>
              <w:rPr>
                <w:color w:val="000000"/>
              </w:rPr>
              <w:t>оригінал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Свідоцтва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СРО.</w:t>
            </w:r>
          </w:p>
          <w:p w:rsidR="00D4511B" w:rsidRDefault="00D4511B" w:rsidP="00D4511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9" w:name="n658"/>
            <w:bookmarkEnd w:id="9"/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наслідками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розгляду</w:t>
            </w:r>
            <w:proofErr w:type="spellEnd"/>
            <w:r>
              <w:rPr>
                <w:color w:val="000000"/>
              </w:rPr>
              <w:t xml:space="preserve"> заяви та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НКЦПФР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дня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одержання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заміну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Свідоцтва</w:t>
            </w:r>
            <w:proofErr w:type="spellEnd"/>
            <w:r>
              <w:rPr>
                <w:color w:val="000000"/>
              </w:rPr>
              <w:t xml:space="preserve"> СРО.</w:t>
            </w:r>
          </w:p>
          <w:p w:rsidR="00354271" w:rsidRPr="00D4511B" w:rsidRDefault="00D4511B" w:rsidP="00D4511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0" w:name="n659"/>
            <w:bookmarkEnd w:id="10"/>
            <w:proofErr w:type="spellStart"/>
            <w:r>
              <w:rPr>
                <w:color w:val="000000"/>
              </w:rPr>
              <w:t>Після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НКЦПФР </w:t>
            </w:r>
            <w:proofErr w:type="spellStart"/>
            <w:r>
              <w:rPr>
                <w:color w:val="000000"/>
              </w:rPr>
              <w:t>видає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 СРО (з </w:t>
            </w:r>
            <w:proofErr w:type="spellStart"/>
            <w:r>
              <w:rPr>
                <w:color w:val="000000"/>
              </w:rPr>
              <w:t>попереднім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терміном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анулює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попереднє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об’єднання</w:t>
            </w:r>
            <w:proofErr w:type="spellEnd"/>
            <w:r>
              <w:rPr>
                <w:color w:val="000000"/>
              </w:rPr>
              <w:t xml:space="preserve"> як </w:t>
            </w:r>
            <w:proofErr w:type="spellStart"/>
            <w:r>
              <w:rPr>
                <w:color w:val="000000"/>
              </w:rPr>
              <w:t>саморегулівної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учасників</w:t>
            </w:r>
            <w:proofErr w:type="spellEnd"/>
            <w:r>
              <w:rPr>
                <w:color w:val="000000"/>
              </w:rPr>
              <w:t xml:space="preserve"> фондового ринку </w:t>
            </w:r>
            <w:proofErr w:type="spellStart"/>
            <w:r>
              <w:rPr>
                <w:color w:val="000000"/>
              </w:rPr>
              <w:t>отримує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керівник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виконавчого</w:t>
            </w:r>
            <w:proofErr w:type="spellEnd"/>
            <w:r>
              <w:rPr>
                <w:color w:val="000000"/>
              </w:rPr>
              <w:t xml:space="preserve"> органу СРО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заявника</w:t>
            </w:r>
            <w:proofErr w:type="spellEnd"/>
            <w:r>
              <w:rPr>
                <w:color w:val="000000"/>
              </w:rPr>
              <w:t xml:space="preserve"> за виданою </w:t>
            </w:r>
            <w:proofErr w:type="spellStart"/>
            <w:r>
              <w:rPr>
                <w:color w:val="000000"/>
              </w:rPr>
              <w:t>заявником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довіреністю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пред’явленням</w:t>
            </w:r>
            <w:proofErr w:type="spellEnd"/>
            <w:r>
              <w:rPr>
                <w:color w:val="000000"/>
              </w:rPr>
              <w:t xml:space="preserve"> документа,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посвідчує</w:t>
            </w:r>
            <w:proofErr w:type="spellEnd"/>
            <w:r>
              <w:rPr>
                <w:color w:val="000000"/>
              </w:rPr>
              <w:t xml:space="preserve"> особу.</w:t>
            </w:r>
          </w:p>
        </w:tc>
        <w:tc>
          <w:tcPr>
            <w:tcW w:w="7564" w:type="dxa"/>
          </w:tcPr>
          <w:p w:rsidR="00D4511B" w:rsidRPr="00D4511B" w:rsidRDefault="00D4511B" w:rsidP="00D4511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15. У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СРО</w:t>
            </w:r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r w:rsidRPr="00D4511B">
              <w:rPr>
                <w:color w:val="000000"/>
              </w:rPr>
              <w:t>’</w:t>
            </w:r>
            <w:r>
              <w:rPr>
                <w:color w:val="000000"/>
              </w:rPr>
              <w:t>яти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робочих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дати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державної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</w:t>
            </w:r>
            <w:proofErr w:type="spellEnd"/>
            <w:r w:rsidRPr="00D451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відомостей</w:t>
            </w:r>
            <w:proofErr w:type="spellEnd"/>
            <w:r w:rsidRPr="00D451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</w:t>
            </w:r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юридичну</w:t>
            </w:r>
            <w:proofErr w:type="spellEnd"/>
            <w:r w:rsidRPr="00D451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особу</w:t>
            </w:r>
            <w:r w:rsidRPr="00D4511B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містяться</w:t>
            </w:r>
            <w:proofErr w:type="spellEnd"/>
            <w:r w:rsidRPr="00D451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Єдиному</w:t>
            </w:r>
            <w:proofErr w:type="spellEnd"/>
            <w:r w:rsidRPr="00D451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державному</w:t>
            </w:r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реєстрі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 w:rsidRPr="00D4511B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 w:rsidRPr="00D4511B"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підприємців</w:t>
            </w:r>
            <w:proofErr w:type="spellEnd"/>
            <w:r w:rsidRPr="00D451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</w:t>
            </w:r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громадських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формувань</w:t>
            </w:r>
            <w:proofErr w:type="spellEnd"/>
            <w:r w:rsidRPr="00D4511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СРО</w:t>
            </w:r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подає</w:t>
            </w:r>
            <w:proofErr w:type="spellEnd"/>
            <w:r w:rsidRPr="00D451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 w:rsidRPr="00D451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НКЦПФР</w:t>
            </w:r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такі</w:t>
            </w:r>
            <w:proofErr w:type="spellEnd"/>
            <w:r w:rsidRPr="00D4511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документи</w:t>
            </w:r>
            <w:proofErr w:type="spellEnd"/>
            <w:r w:rsidRPr="00D4511B">
              <w:rPr>
                <w:color w:val="000000"/>
              </w:rPr>
              <w:t>:</w:t>
            </w:r>
          </w:p>
          <w:p w:rsidR="00D4511B" w:rsidRDefault="00F64697" w:rsidP="00D4511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hyperlink r:id="rId5" w:anchor="n501" w:history="1">
              <w:proofErr w:type="spellStart"/>
              <w:r w:rsidR="00D4511B">
                <w:rPr>
                  <w:rStyle w:val="a4"/>
                  <w:color w:val="006600"/>
                </w:rPr>
                <w:t>заяву</w:t>
              </w:r>
              <w:proofErr w:type="spellEnd"/>
              <w:r w:rsidR="00D4511B">
                <w:rPr>
                  <w:rStyle w:val="a4"/>
                  <w:color w:val="006600"/>
                </w:rPr>
                <w:t xml:space="preserve"> про </w:t>
              </w:r>
              <w:proofErr w:type="spellStart"/>
              <w:r w:rsidR="00D4511B">
                <w:rPr>
                  <w:rStyle w:val="a4"/>
                  <w:color w:val="006600"/>
                </w:rPr>
                <w:t>заміну</w:t>
              </w:r>
              <w:proofErr w:type="spellEnd"/>
              <w:r w:rsidR="00D4511B">
                <w:rPr>
                  <w:rStyle w:val="a4"/>
                  <w:color w:val="006600"/>
                </w:rPr>
                <w:t xml:space="preserve"> </w:t>
              </w:r>
              <w:proofErr w:type="spellStart"/>
              <w:r w:rsidR="00D4511B">
                <w:rPr>
                  <w:rStyle w:val="a4"/>
                  <w:color w:val="006600"/>
                </w:rPr>
                <w:t>свідоцтва</w:t>
              </w:r>
              <w:proofErr w:type="spellEnd"/>
              <w:r w:rsidR="00D4511B">
                <w:rPr>
                  <w:rStyle w:val="a4"/>
                  <w:color w:val="006600"/>
                </w:rPr>
                <w:t xml:space="preserve"> про </w:t>
              </w:r>
              <w:proofErr w:type="spellStart"/>
              <w:r w:rsidR="00D4511B">
                <w:rPr>
                  <w:rStyle w:val="a4"/>
                  <w:color w:val="006600"/>
                </w:rPr>
                <w:t>реєстрацію</w:t>
              </w:r>
              <w:proofErr w:type="spellEnd"/>
              <w:r w:rsidR="00D4511B">
                <w:rPr>
                  <w:rStyle w:val="a4"/>
                  <w:color w:val="006600"/>
                </w:rPr>
                <w:t xml:space="preserve"> </w:t>
              </w:r>
              <w:proofErr w:type="spellStart"/>
              <w:r w:rsidR="00D4511B">
                <w:rPr>
                  <w:rStyle w:val="a4"/>
                  <w:color w:val="006600"/>
                </w:rPr>
                <w:t>об’єднання</w:t>
              </w:r>
              <w:proofErr w:type="spellEnd"/>
              <w:r w:rsidR="00D4511B">
                <w:rPr>
                  <w:rStyle w:val="a4"/>
                  <w:color w:val="006600"/>
                </w:rPr>
                <w:t xml:space="preserve"> як </w:t>
              </w:r>
              <w:proofErr w:type="spellStart"/>
              <w:r w:rsidR="00D4511B">
                <w:rPr>
                  <w:rStyle w:val="a4"/>
                  <w:color w:val="006600"/>
                </w:rPr>
                <w:lastRenderedPageBreak/>
                <w:t>саморегулівної</w:t>
              </w:r>
              <w:proofErr w:type="spellEnd"/>
              <w:r w:rsidR="00D4511B">
                <w:rPr>
                  <w:rStyle w:val="a4"/>
                  <w:color w:val="006600"/>
                </w:rPr>
                <w:t xml:space="preserve"> </w:t>
              </w:r>
              <w:proofErr w:type="spellStart"/>
              <w:r w:rsidR="00D4511B">
                <w:rPr>
                  <w:rStyle w:val="a4"/>
                  <w:color w:val="006600"/>
                </w:rPr>
                <w:t>організації</w:t>
              </w:r>
              <w:proofErr w:type="spellEnd"/>
              <w:r w:rsidR="00D4511B">
                <w:rPr>
                  <w:rStyle w:val="a4"/>
                  <w:color w:val="006600"/>
                </w:rPr>
                <w:t xml:space="preserve"> </w:t>
              </w:r>
              <w:proofErr w:type="spellStart"/>
              <w:r w:rsidR="00D4511B">
                <w:rPr>
                  <w:rStyle w:val="a4"/>
                  <w:color w:val="006600"/>
                </w:rPr>
                <w:t>професійних</w:t>
              </w:r>
              <w:proofErr w:type="spellEnd"/>
              <w:r w:rsidR="00D4511B">
                <w:rPr>
                  <w:rStyle w:val="a4"/>
                  <w:color w:val="006600"/>
                </w:rPr>
                <w:t xml:space="preserve"> </w:t>
              </w:r>
              <w:proofErr w:type="spellStart"/>
              <w:r w:rsidR="00D4511B">
                <w:rPr>
                  <w:rStyle w:val="a4"/>
                  <w:color w:val="006600"/>
                </w:rPr>
                <w:t>учасників</w:t>
              </w:r>
              <w:proofErr w:type="spellEnd"/>
              <w:r w:rsidR="00D4511B">
                <w:rPr>
                  <w:rStyle w:val="a4"/>
                  <w:color w:val="006600"/>
                </w:rPr>
                <w:t xml:space="preserve"> фондового ринку</w:t>
              </w:r>
            </w:hyperlink>
            <w:r w:rsidR="00D4511B">
              <w:rPr>
                <w:color w:val="000000"/>
              </w:rPr>
              <w:t> (</w:t>
            </w:r>
            <w:proofErr w:type="spellStart"/>
            <w:r w:rsidR="00D4511B">
              <w:rPr>
                <w:color w:val="000000"/>
              </w:rPr>
              <w:t>додаток</w:t>
            </w:r>
            <w:proofErr w:type="spellEnd"/>
            <w:r w:rsidR="00D4511B">
              <w:rPr>
                <w:color w:val="000000"/>
              </w:rPr>
              <w:t xml:space="preserve"> 10);</w:t>
            </w:r>
          </w:p>
          <w:p w:rsidR="00D4511B" w:rsidRDefault="00D4511B" w:rsidP="00D4511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оригінал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Свідоцтва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СРО.</w:t>
            </w:r>
          </w:p>
          <w:p w:rsidR="00D4511B" w:rsidRDefault="00D4511B" w:rsidP="00D4511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proofErr w:type="spellStart"/>
            <w:r>
              <w:rPr>
                <w:color w:val="000000"/>
              </w:rPr>
              <w:t>наслідками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розгляду</w:t>
            </w:r>
            <w:proofErr w:type="spellEnd"/>
            <w:r>
              <w:rPr>
                <w:color w:val="000000"/>
              </w:rPr>
              <w:t xml:space="preserve"> заяви та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НКЦПФР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днів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дня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одержання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заміну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Свідоцтва</w:t>
            </w:r>
            <w:proofErr w:type="spellEnd"/>
            <w:r>
              <w:rPr>
                <w:color w:val="000000"/>
              </w:rPr>
              <w:t xml:space="preserve"> СРО.</w:t>
            </w:r>
          </w:p>
          <w:p w:rsidR="00354271" w:rsidRPr="00D4511B" w:rsidRDefault="00D4511B" w:rsidP="00D4511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Після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НКЦПФР </w:t>
            </w:r>
            <w:proofErr w:type="spellStart"/>
            <w:r>
              <w:rPr>
                <w:color w:val="000000"/>
              </w:rPr>
              <w:t>видає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 СРО (з </w:t>
            </w:r>
            <w:proofErr w:type="spellStart"/>
            <w:r>
              <w:rPr>
                <w:color w:val="000000"/>
              </w:rPr>
              <w:t>попереднім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терміном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дії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змінами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анулює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попереднє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Свідоцтво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об’єднання</w:t>
            </w:r>
            <w:proofErr w:type="spellEnd"/>
            <w:r>
              <w:rPr>
                <w:color w:val="000000"/>
              </w:rPr>
              <w:t xml:space="preserve"> як </w:t>
            </w:r>
            <w:proofErr w:type="spellStart"/>
            <w:r>
              <w:rPr>
                <w:color w:val="000000"/>
              </w:rPr>
              <w:t>саморегулівної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професійних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учасників</w:t>
            </w:r>
            <w:proofErr w:type="spellEnd"/>
            <w:r>
              <w:rPr>
                <w:color w:val="000000"/>
              </w:rPr>
              <w:t xml:space="preserve"> фондового ринку </w:t>
            </w:r>
            <w:proofErr w:type="spellStart"/>
            <w:r>
              <w:rPr>
                <w:color w:val="000000"/>
              </w:rPr>
              <w:t>отримує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керівник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виконавчого</w:t>
            </w:r>
            <w:proofErr w:type="spellEnd"/>
            <w:r>
              <w:rPr>
                <w:color w:val="000000"/>
              </w:rPr>
              <w:t xml:space="preserve"> органу СРО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заявника</w:t>
            </w:r>
            <w:proofErr w:type="spellEnd"/>
            <w:r>
              <w:rPr>
                <w:color w:val="000000"/>
              </w:rPr>
              <w:t xml:space="preserve"> за виданою </w:t>
            </w:r>
            <w:proofErr w:type="spellStart"/>
            <w:r>
              <w:rPr>
                <w:color w:val="000000"/>
              </w:rPr>
              <w:t>заявником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довіреністю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пред’явленням</w:t>
            </w:r>
            <w:proofErr w:type="spellEnd"/>
            <w:r>
              <w:rPr>
                <w:color w:val="000000"/>
              </w:rPr>
              <w:t xml:space="preserve"> документа,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посвідчує</w:t>
            </w:r>
            <w:proofErr w:type="spellEnd"/>
            <w:r>
              <w:rPr>
                <w:color w:val="000000"/>
              </w:rPr>
              <w:t xml:space="preserve"> особу.</w:t>
            </w:r>
          </w:p>
        </w:tc>
      </w:tr>
      <w:tr w:rsidR="00354271" w:rsidRPr="00366C10" w:rsidTr="0071790B">
        <w:tc>
          <w:tcPr>
            <w:tcW w:w="7564" w:type="dxa"/>
          </w:tcPr>
          <w:p w:rsidR="00354271" w:rsidRPr="00851FCB" w:rsidRDefault="00851FCB" w:rsidP="00851F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1F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Додаток </w:t>
            </w:r>
            <w:r w:rsidRPr="00851F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564" w:type="dxa"/>
          </w:tcPr>
          <w:p w:rsidR="00354271" w:rsidRPr="00851FCB" w:rsidRDefault="00851FCB" w:rsidP="00851F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1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Додаток </w:t>
            </w:r>
            <w:r w:rsidRPr="00851F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354271" w:rsidRPr="00366C10" w:rsidTr="0071790B">
        <w:tc>
          <w:tcPr>
            <w:tcW w:w="7564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5"/>
            </w:tblGrid>
            <w:tr w:rsidR="00021FA2" w:rsidRPr="00021FA2" w:rsidTr="00021FA2">
              <w:tc>
                <w:tcPr>
                  <w:tcW w:w="2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021FA2" w:rsidRPr="00021FA2" w:rsidRDefault="00021FA2" w:rsidP="00021FA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Додаток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3</w:t>
                  </w: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 xml:space="preserve">до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Положення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про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об’єднання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професійних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учасників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фондового ринку</w:t>
                  </w:r>
                </w:p>
              </w:tc>
            </w:tr>
          </w:tbl>
          <w:p w:rsidR="00021FA2" w:rsidRPr="00021FA2" w:rsidRDefault="00021FA2" w:rsidP="00021FA2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11" w:name="n416"/>
            <w:bookmarkEnd w:id="11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НАЦІОНАЛЬНА КОМІСІЯ З ЦІННИХ ПАПЕРІВ ТА ФОНДОВОГО РИНКУ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ind w:left="450"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12" w:name="n417"/>
            <w:bookmarkEnd w:id="12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СВІДОЦТВО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об’єднання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професійних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фондового ринку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13" w:name="n418"/>
            <w:bookmarkEnd w:id="13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«____»______________ ____ року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14" w:name="n419"/>
            <w:bookmarkEnd w:id="14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__________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15" w:name="n420"/>
            <w:bookmarkEnd w:id="15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повне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об'єднання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код за ЄДРПОУ)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16" w:name="n421"/>
            <w:bookmarkEnd w:id="16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________________________________________________________________________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5867E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  <w:r w:rsidRPr="005867E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ru-RU" w:eastAsia="ru-RU"/>
              </w:rPr>
              <w:t xml:space="preserve">, телефон, телефакс, </w:t>
            </w:r>
            <w:proofErr w:type="spellStart"/>
            <w:r w:rsidRPr="005867E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 w:rsidRPr="005867E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ru-RU" w:eastAsia="ru-RU"/>
              </w:rPr>
              <w:t xml:space="preserve"> адреса</w:t>
            </w:r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17" w:name="n422"/>
            <w:bookmarkEnd w:id="17"/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здійснювати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об’єднання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професійних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фондового ринку за видом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професійної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____________________________________________________________________________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18" w:name="n423"/>
            <w:bookmarkEnd w:id="18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2213"/>
              <w:gridCol w:w="2857"/>
            </w:tblGrid>
            <w:tr w:rsidR="00021FA2" w:rsidRPr="00021FA2" w:rsidTr="00021FA2"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021FA2" w:rsidRPr="00021FA2" w:rsidRDefault="00021FA2" w:rsidP="00021FA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bookmarkStart w:id="19" w:name="n424"/>
                  <w:bookmarkEnd w:id="19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Голова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Національної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комісії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цінних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паперів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фондового ринку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021FA2" w:rsidRPr="00021FA2" w:rsidRDefault="00021FA2" w:rsidP="00021FA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________</w:t>
                  </w: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підпис</w:t>
                  </w:r>
                  <w:proofErr w:type="spellEnd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021FA2" w:rsidRPr="00021FA2" w:rsidRDefault="00021FA2" w:rsidP="00021FA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_____________________</w:t>
                  </w: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прізвище</w:t>
                  </w:r>
                  <w:proofErr w:type="spellEnd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ініціали</w:t>
                  </w:r>
                  <w:proofErr w:type="spellEnd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</w:tbl>
          <w:p w:rsidR="00354271" w:rsidRPr="00061910" w:rsidRDefault="00354271" w:rsidP="009C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5"/>
            </w:tblGrid>
            <w:tr w:rsidR="00021FA2" w:rsidRPr="00021FA2" w:rsidTr="00021FA2">
              <w:tc>
                <w:tcPr>
                  <w:tcW w:w="2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021FA2" w:rsidRPr="00021FA2" w:rsidRDefault="00021FA2" w:rsidP="00021FA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Додаток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3</w:t>
                  </w: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 xml:space="preserve">до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Положення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про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об’єднання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професійних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учасників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фондового ринку</w:t>
                  </w:r>
                </w:p>
              </w:tc>
            </w:tr>
          </w:tbl>
          <w:p w:rsidR="00021FA2" w:rsidRPr="00021FA2" w:rsidRDefault="00021FA2" w:rsidP="00021FA2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НАЦІОНАЛЬНА КОМІСІЯ З ЦІННИХ ПАПЕРІВ ТА ФОНДОВОГО РИНКУ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ind w:left="450"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СВІДОЦТВО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об’єднання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професійних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фондового ринку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«____»______________ ____ року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__________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повне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об'єднання</w:t>
            </w:r>
            <w:proofErr w:type="spellEnd"/>
            <w:r w:rsidRPr="0006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код за ЄДРПОУ)</w:t>
            </w:r>
          </w:p>
          <w:p w:rsidR="005867E0" w:rsidRPr="00021FA2" w:rsidRDefault="00021FA2" w:rsidP="005867E0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________________________________________________________________________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здійснювати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об’єднання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професійних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фондового ринку за видом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професійної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___________________________________________________</w:t>
            </w: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____________________________________________________________________________</w:t>
            </w:r>
          </w:p>
          <w:p w:rsidR="00021FA2" w:rsidRPr="00021FA2" w:rsidRDefault="00021FA2" w:rsidP="00021FA2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21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2213"/>
              <w:gridCol w:w="2857"/>
            </w:tblGrid>
            <w:tr w:rsidR="00021FA2" w:rsidRPr="00021FA2" w:rsidTr="00021FA2"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021FA2" w:rsidRPr="00021FA2" w:rsidRDefault="00021FA2" w:rsidP="00021FA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Голова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Національної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комісії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цінних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паперів</w:t>
                  </w:r>
                  <w:proofErr w:type="spellEnd"/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фондового ринку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021FA2" w:rsidRPr="00021FA2" w:rsidRDefault="00021FA2" w:rsidP="00021FA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________</w:t>
                  </w: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підпис</w:t>
                  </w:r>
                  <w:proofErr w:type="spellEnd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021FA2" w:rsidRPr="00021FA2" w:rsidRDefault="00021FA2" w:rsidP="00021FA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_____________________</w:t>
                  </w:r>
                  <w:r w:rsidRPr="00021F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прізвище</w:t>
                  </w:r>
                  <w:proofErr w:type="spellEnd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ініціали</w:t>
                  </w:r>
                  <w:proofErr w:type="spellEnd"/>
                  <w:r w:rsidRPr="000619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</w:tbl>
          <w:p w:rsidR="00354271" w:rsidRPr="00061910" w:rsidRDefault="00354271" w:rsidP="009C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71" w:rsidRPr="00366C10" w:rsidTr="0071790B">
        <w:tc>
          <w:tcPr>
            <w:tcW w:w="7564" w:type="dxa"/>
          </w:tcPr>
          <w:p w:rsidR="00354271" w:rsidRPr="00851FCB" w:rsidRDefault="00851FCB" w:rsidP="00851F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1F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Додаток </w:t>
            </w:r>
            <w:r w:rsidRPr="00851F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564" w:type="dxa"/>
          </w:tcPr>
          <w:p w:rsidR="00354271" w:rsidRPr="00851FCB" w:rsidRDefault="00851FCB" w:rsidP="00851F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1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Додаток </w:t>
            </w:r>
            <w:r w:rsidRPr="00851F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9C0B31" w:rsidRPr="00366C10" w:rsidTr="0071790B">
        <w:tc>
          <w:tcPr>
            <w:tcW w:w="7564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5"/>
            </w:tblGrid>
            <w:tr w:rsidR="005B2FCF" w:rsidRPr="005B2FCF" w:rsidTr="005B2FCF">
              <w:tc>
                <w:tcPr>
                  <w:tcW w:w="2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5B2FCF" w:rsidRPr="005B2FCF" w:rsidRDefault="005B2FCF" w:rsidP="005B2F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Додаток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9</w:t>
                  </w: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 xml:space="preserve">до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Положення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про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об’єднання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професійних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учасників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фондового ринку</w:t>
                  </w:r>
                </w:p>
              </w:tc>
            </w:tr>
          </w:tbl>
          <w:p w:rsidR="005B2FCF" w:rsidRPr="005B2FCF" w:rsidRDefault="005B2FCF" w:rsidP="005B2FCF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20" w:name="n491"/>
            <w:bookmarkEnd w:id="20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НАЦІОНАЛЬНА КОМІСІЯ З ЦІННИХ ПАПЕРІВ ТА ФОНДОВОГО РИНКУ</w:t>
            </w:r>
          </w:p>
          <w:p w:rsidR="005B2FCF" w:rsidRPr="005B2FCF" w:rsidRDefault="005B2FCF" w:rsidP="005B2FCF">
            <w:pPr>
              <w:shd w:val="clear" w:color="auto" w:fill="FFFFFF"/>
              <w:spacing w:before="150" w:after="150"/>
              <w:ind w:left="450"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21" w:name="n492"/>
            <w:bookmarkEnd w:id="21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СВІДОЦТВО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об’єднання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саморегулівної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професійних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фондового ринку</w:t>
            </w:r>
          </w:p>
          <w:p w:rsidR="005B2FCF" w:rsidRPr="005B2FCF" w:rsidRDefault="005B2FCF" w:rsidP="005B2FC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22" w:name="n493"/>
            <w:bookmarkEnd w:id="22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«____» ____________ ____ року</w:t>
            </w:r>
          </w:p>
          <w:p w:rsidR="005B2FCF" w:rsidRPr="005B2FCF" w:rsidRDefault="005B2FCF" w:rsidP="005B2FC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23" w:name="n494"/>
            <w:bookmarkEnd w:id="23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__________</w:t>
            </w:r>
          </w:p>
          <w:p w:rsidR="005B2FCF" w:rsidRPr="005B2FCF" w:rsidRDefault="005B2FCF" w:rsidP="005B2FCF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24" w:name="n495"/>
            <w:bookmarkEnd w:id="24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_________________________________________________________________________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14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об'єднання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код за ЄДРПОУ)</w:t>
            </w:r>
          </w:p>
          <w:p w:rsidR="005B2FCF" w:rsidRPr="005B2FCF" w:rsidRDefault="005B2FCF" w:rsidP="005B2FCF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25" w:name="n496"/>
            <w:bookmarkEnd w:id="25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5867E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5867E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  <w:r w:rsidRPr="005867E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ru-RU" w:eastAsia="ru-RU"/>
              </w:rPr>
              <w:t xml:space="preserve">, телефон, телефакс, </w:t>
            </w:r>
            <w:proofErr w:type="spellStart"/>
            <w:r w:rsidRPr="005867E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 w:rsidRPr="005867E0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lang w:val="ru-RU" w:eastAsia="ru-RU"/>
              </w:rPr>
              <w:t xml:space="preserve"> адреса)</w:t>
            </w:r>
          </w:p>
          <w:p w:rsidR="005B2FCF" w:rsidRPr="005B2FCF" w:rsidRDefault="005B2FCF" w:rsidP="005B2FCF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26" w:name="n497"/>
            <w:bookmarkEnd w:id="26"/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здійснювати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саморегулівна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професійних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фондового ринку за видом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професійної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____________________________________________________________________________</w:t>
            </w:r>
          </w:p>
          <w:p w:rsidR="005B2FCF" w:rsidRPr="005B2FCF" w:rsidRDefault="005B2FCF" w:rsidP="005B2FCF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27" w:name="n498"/>
            <w:bookmarkEnd w:id="27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2213"/>
              <w:gridCol w:w="2857"/>
            </w:tblGrid>
            <w:tr w:rsidR="005B2FCF" w:rsidRPr="005B2FCF" w:rsidTr="005B2FCF"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5B2FCF" w:rsidRPr="005B2FCF" w:rsidRDefault="005B2FCF" w:rsidP="005B2F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bookmarkStart w:id="28" w:name="n499"/>
                  <w:bookmarkEnd w:id="28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Голова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Національної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комісії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цінних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паперів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фондового ринку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5B2FCF" w:rsidRPr="005B2FCF" w:rsidRDefault="005B2FCF" w:rsidP="005B2FC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________</w:t>
                  </w: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підпис</w:t>
                  </w:r>
                  <w:proofErr w:type="spellEnd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5B2FCF" w:rsidRPr="005B2FCF" w:rsidRDefault="005B2FCF" w:rsidP="005B2FC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_____________________</w:t>
                  </w: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прізвище</w:t>
                  </w:r>
                  <w:proofErr w:type="spellEnd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ініціали</w:t>
                  </w:r>
                  <w:proofErr w:type="spellEnd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</w:tbl>
          <w:p w:rsidR="009C0B31" w:rsidRPr="00140641" w:rsidRDefault="009C0B31" w:rsidP="009C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55"/>
            </w:tblGrid>
            <w:tr w:rsidR="005B2FCF" w:rsidRPr="005B2FCF" w:rsidTr="005B2FCF">
              <w:tc>
                <w:tcPr>
                  <w:tcW w:w="200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5B2FCF" w:rsidRPr="005B2FCF" w:rsidRDefault="005B2FCF" w:rsidP="005B2F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Додаток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9</w:t>
                  </w: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 xml:space="preserve">до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Положення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про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об’єднання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професійних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учасників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фондового ринку</w:t>
                  </w:r>
                </w:p>
              </w:tc>
            </w:tr>
          </w:tbl>
          <w:p w:rsidR="005B2FCF" w:rsidRPr="005B2FCF" w:rsidRDefault="005B2FCF" w:rsidP="005B2FCF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НАЦІОНАЛЬНА КОМІСІЯ З ЦІННИХ ПАПЕРІВ ТА ФОНДОВОГО РИНКУ</w:t>
            </w:r>
          </w:p>
          <w:p w:rsidR="005B2FCF" w:rsidRPr="005B2FCF" w:rsidRDefault="005B2FCF" w:rsidP="005B2FCF">
            <w:pPr>
              <w:shd w:val="clear" w:color="auto" w:fill="FFFFFF"/>
              <w:spacing w:before="150" w:after="150"/>
              <w:ind w:left="450"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СВІДОЦТВО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об’єднання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саморегулівної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професійних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фондового ринку</w:t>
            </w:r>
          </w:p>
          <w:p w:rsidR="005B2FCF" w:rsidRPr="005B2FCF" w:rsidRDefault="005B2FCF" w:rsidP="005B2FC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«____» ____________ ____ року</w:t>
            </w:r>
          </w:p>
          <w:p w:rsidR="005B2FCF" w:rsidRPr="005B2FCF" w:rsidRDefault="005B2FCF" w:rsidP="005B2FCF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__________</w:t>
            </w:r>
          </w:p>
          <w:p w:rsidR="005B2FCF" w:rsidRPr="005B2FCF" w:rsidRDefault="005B2FCF" w:rsidP="00140641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______________________________________________________________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14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4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об'єднання</w:t>
            </w:r>
            <w:proofErr w:type="spellEnd"/>
            <w:r w:rsidRPr="0014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код за ЄДРПОУ)</w:t>
            </w:r>
          </w:p>
          <w:p w:rsidR="005B2FCF" w:rsidRPr="005B2FCF" w:rsidRDefault="005B2FCF" w:rsidP="005B2FCF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5B2FCF" w:rsidRPr="005B2FCF" w:rsidRDefault="005B2FCF" w:rsidP="005B2FCF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право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здійснювати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саморегулівна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професійних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фондового ринку за видом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професійної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_________________________________</w:t>
            </w: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____________________________________________________________________________</w:t>
            </w:r>
          </w:p>
          <w:p w:rsidR="005B2FCF" w:rsidRPr="005B2FCF" w:rsidRDefault="005B2FCF" w:rsidP="005B2FCF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B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2213"/>
              <w:gridCol w:w="2857"/>
            </w:tblGrid>
            <w:tr w:rsidR="005B2FCF" w:rsidRPr="005B2FCF" w:rsidTr="005B2FCF"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5B2FCF" w:rsidRPr="005B2FCF" w:rsidRDefault="005B2FCF" w:rsidP="005B2FC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Голова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Національної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комісії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цінних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паперів</w:t>
                  </w:r>
                  <w:proofErr w:type="spellEnd"/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фондового ринку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5B2FCF" w:rsidRPr="005B2FCF" w:rsidRDefault="005B2FCF" w:rsidP="005B2FC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________</w:t>
                  </w: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підпис</w:t>
                  </w:r>
                  <w:proofErr w:type="spellEnd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30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5B2FCF" w:rsidRPr="005B2FCF" w:rsidRDefault="005B2FCF" w:rsidP="005B2FC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>_____________________</w:t>
                  </w:r>
                  <w:r w:rsidRPr="005B2F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прізвище</w:t>
                  </w:r>
                  <w:proofErr w:type="spellEnd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ініціали</w:t>
                  </w:r>
                  <w:proofErr w:type="spellEnd"/>
                  <w:r w:rsidRPr="001406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</w:tbl>
          <w:p w:rsidR="009C0B31" w:rsidRPr="00140641" w:rsidRDefault="009C0B31" w:rsidP="009C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31" w:rsidRPr="00366C10" w:rsidTr="00654A9B">
        <w:tc>
          <w:tcPr>
            <w:tcW w:w="15128" w:type="dxa"/>
            <w:gridSpan w:val="2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Положення про порядок складання та подання інформації щодо діяльності </w:t>
            </w:r>
            <w:proofErr w:type="spellStart"/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саморегулівних</w:t>
            </w:r>
            <w:proofErr w:type="spellEnd"/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організацій та об'єднань професійних учасників фондового ринку до Національної комісії з цінних паперів та фондового ринку</w:t>
            </w:r>
            <w:r w:rsidR="007C4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1407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Зміст положення (норми) чинного законодавства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Зміст положення (норми) проекту акта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Додаток 2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Довідка про перелік членів СРО/ОПУ 1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особи, про яку подається інформація: "1" - СРО; "2" - 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за ЄДРПОУ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Дата, на яку складена інформація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квартал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рік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Місцезнаходження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Електронна адреса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Контактний телефон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професійної діяльності члена СРО/ОПУ: "1" - торгівля цінними паперами; "2" - депозитарна діяльність; "3" - управління активами інституційних інвесторів</w:t>
            </w: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0E" w:rsidRDefault="006A080E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Номер документа, що підтверджує членство професійного учасника в об'єднанні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документа, що підтверджує членство професійного учасника в об'єднанні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вступу до СРО/ОПУ професійного учасника фондового ринку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Довідка про перелік членів СРО/ОПУ 1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особи, про яку подається інформація: "1" - СРО; "2" - 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за ЄДРПОУ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Дата, на яку складена інформація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квартал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рік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Місцезнаходження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Електронна адреса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Контактний телефон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професійної діяльності члена СРО/ОПУ: "1" - торгівля цінними паперами; "2" - депозитарна діяльність; "3" - управління активами</w:t>
            </w:r>
            <w:r w:rsidR="003D2063" w:rsidRPr="003D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інституційних інвесторів</w:t>
            </w:r>
            <w:r w:rsidR="00F07C76"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; "4" - адміністрування недержавних пенсійних фондів; "5"- управління майном для фінансування об'єктів будівництва та/або здійснення операцій з нерухомістю.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Номер документа, що підтверджує членство професійного учасника в об'єднанні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документа, що підтверджує членство професійного учасника в об'єднанні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вступу до СРО/ОПУ професійного учасника фондового ринку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Додаток 3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Додаток 3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Довідка про накладання санкцій на членів СРО протягом звітного кварталу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особи, про яку подається інформація: "1" - СРО;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за ЄДРПОУ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Дата, на яку складена інформація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квартал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рік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професійної діяльності члена СРО: "1" - торгівля цінними паперами; "2" - депозитарна діяльність; "3" - управління активами інституційних інвесторів</w:t>
            </w: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0E" w:rsidRDefault="006A080E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члена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члена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накладання санкції на члена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Термін виконання санкції членом СРО (за наявності)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Зміст санкції, що накладена на члена СРО: "1" - попередження; "2" - тимчасове припинення членства; "3" - виключення зі складу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Довідка про накладання санкцій на членів СРО протягом звітного кварталу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особи, про яку подається інформація: "1" - СРО;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за ЄДРПОУ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Дата, на яку складена інформація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квартал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рік</w:t>
            </w:r>
          </w:p>
          <w:p w:rsidR="00F07C76" w:rsidRPr="00366C10" w:rsidRDefault="00F07C76" w:rsidP="00F07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професійної діяльності члена СРО/ОПУ: "1" - торгівля цінними паперами; "2" - депозитарна діяльність; "3" - управління активами</w:t>
            </w:r>
            <w:r w:rsidR="003D2063" w:rsidRPr="003D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інституційних інвесторів</w:t>
            </w: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; "4" - адміністрування недержавних пенсійних фондів; "5"- управління майном для фінансування об'єктів будівництва та/або здійснення операцій з нерухомістю.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члена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члена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накладання санкції на члена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Термін виконання санкції членом СРО (за наявності)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Зміст санкції, що накладена на члена СРО: "1" - попередження; "2" - тимчасове припинення членства; "3" - виключення зі складу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Додаток 4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Додаток 4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Довідка про подані СРО/ОПУ позови, заяви, скарги, у розгляді яких бере участь СРО/ОПУ в інтересах своїх членів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особи, про яку подається інформація: "1" - СРО; "2" - 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Дата, на яку складена інформація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Звітний квартал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рік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професійної діяльності члена СРО/ОПУ: "1" - торгівля цінними паперами; "2" - депозитарна діяльність; "3" - управління активами інституційних інвесторів</w:t>
            </w: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0E" w:rsidRDefault="006A080E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члена СРО/ОПУ, в інтересах якого бере участь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подання: "1" - позов, "2" - заява, "3" - скарга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подання позову, заяви, скарги, у розгляді яких бере участь СРО/ОПУ в інтересах своїх членів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Зміст позову, заяви, скарги, у розгляді яких бере участь СРО/ОПУ в інтересах своїх членів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Інформація про наслідки розгляду позову, заяви, скарги, участь в яких бере СРО/ОПУ в інтересах своїх членів (у разі наявності)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Довідка про подані СРО/ОПУ позови, заяви, скарги, у розгляді яких бере участь СРО/ОПУ в інтересах своїх членів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особи, про яку подається інформація: "1" - СРО; "2" - 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Дата, на яку складена інформація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Звітний квартал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рік</w:t>
            </w:r>
          </w:p>
          <w:p w:rsidR="00F07C76" w:rsidRPr="00366C10" w:rsidRDefault="00F07C76" w:rsidP="00F07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професійної діяльності члена СРО/ОПУ: "1" - торгівля цінними паперами; "2" - депозитарна діяльність; "3" - управління активами</w:t>
            </w:r>
            <w:r w:rsidR="003D2063" w:rsidRPr="003D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інституційних інвесторів</w:t>
            </w: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; "4" - адміністрування недержавних пенсійних фондів; "5"- управління майном для фінансування об'єктів будівництва та/або здійснення операцій з нерухомістю.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члена СРО/ОПУ, в інтересах якого бере участь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подання: "1" - позов, "2" - заява, "3" - скарга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подання позову, заяви, скарги, у розгляді яких бере участь СРО/ОПУ в інтересах своїх членів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Зміст позову, заяви, скарги, у розгляді яких бере участь СРО/ОПУ в інтересах своїх членів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Інформація про наслідки розгляду позову, заяви, скарги, участь в яких бере СРО/ОПУ в інтересах своїх членів (у разі наявності)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Додаток 5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6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Додаток</w:t>
            </w:r>
            <w:proofErr w:type="spellEnd"/>
            <w:r w:rsidRPr="00366C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Довідка про внески членів СРО/ОПУ 1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особи, про яку подається інформація: "1" - СРО; "2" - 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Дата, на яку складена інформація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Звітний рік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професійної діяльності члена СРО/ОПУ: "1" - торгівля цінними паперами; "2" - депозитарна діяльність; "3" - управління активами інституційних інвесторів</w:t>
            </w: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0E" w:rsidRDefault="006A080E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внеску члена СРО/ОПУ: "1" - місячний, "2" - квартальний, "3" - річний, "4" - вступний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Розмір внеску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Довідка про внески членів СРО/ОПУ 1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особи, про яку подається інформація: "1" - СРО; "2" - 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Дата, на яку складена інформація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Звітний рік</w:t>
            </w:r>
          </w:p>
          <w:p w:rsidR="00F07C76" w:rsidRPr="00366C10" w:rsidRDefault="00F07C76" w:rsidP="00F07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професійної діяльності члена СРО/ОПУ: "1" - торгівля цінними паперами; "2" - депозитарна діяльність; "3" - управління активами</w:t>
            </w:r>
            <w:r w:rsidR="003D2063" w:rsidRPr="003D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інституційних інвесторів</w:t>
            </w: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; "4" - адміністрування недержавних пенсійних фондів; "5"- управління майном для фінансування об'єктів будівництва та/або здійснення операцій з нерухомістю.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внеску члена СРО/ОПУ: "1" - місячний, "2" - квартальний, "3" - річний, "4" - вступний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Розмір внеску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Додаток 6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Додаток 6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Довідка про зміни у переліку членів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особи, про яку подається інформація: "1" - СРО; "2" - 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Дата, на яку складена інформація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квартал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рік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Місцезнаходження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Електронна адреса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Контактний телефон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 xml:space="preserve">Вид професійної діяльності члена СРО/ОПУ: "1" - торгівля цінними паперами; "2" - депозитарна діяльність; "3" - </w:t>
            </w: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активами інституційних інвесторів</w:t>
            </w: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C76" w:rsidRPr="00366C10" w:rsidRDefault="00F07C76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80E" w:rsidRDefault="006A080E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Номер документа, що підтверджує членство професійного учасника в об'єднанні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документа, що підтверджує членство професійного учасника в об'єднанні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вступу до СРО/ОПУ професійного учасника фондового ринку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тимчасового припинення членства у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відновлення членства у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виходу члена з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Причина виходу члена з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Назва та реквізити документа, який дає підстави для змін у переліку членів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Довідка про зміни у переліку членів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Вид особи, про яку подається інформація: "1" - СРО; "2" - 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Дата, на яку складена інформація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квартал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Звітний рік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Найменування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Код за ЄДРПОУ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Місцезнаходження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Електронна адреса члена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Контактний телефон члена СРО/ОПУ</w:t>
            </w:r>
          </w:p>
          <w:p w:rsidR="00F07C76" w:rsidRPr="00366C10" w:rsidRDefault="00F07C76" w:rsidP="00F07C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професійної діяльності члена СРО/ОПУ: "1" - торгівля цінними паперами; "2" - депозитарна діяльність; </w:t>
            </w: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"3" - управління активами</w:t>
            </w:r>
            <w:r w:rsidR="003D2063" w:rsidRPr="003D2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інституційних інвесторів</w:t>
            </w:r>
            <w:r w:rsidRPr="00366C10">
              <w:rPr>
                <w:rFonts w:ascii="Times New Roman" w:hAnsi="Times New Roman" w:cs="Times New Roman"/>
                <w:b/>
                <w:sz w:val="28"/>
                <w:szCs w:val="28"/>
              </w:rPr>
              <w:t>; "4" - адміністрування недержавних пенсійних фондів; "5"- управління майном для фінансування об'єктів будівництва та/або здійснення операцій з нерухомістю.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Номер документа, що підтверджує членство професійного учасника в об'єднанні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видачі документа, що підтверджує членство професійного учасника в об'єднанні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вступу до СРО/ОПУ професійного учасника фондового ринку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тимчасового припинення членства у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відновлення членства у СРО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Дата виходу члена з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Причина виходу члена з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Назва та реквізити документа, який дає підстави для змін у переліку членів СРО/ОПУ</w:t>
            </w:r>
          </w:p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C10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31" w:rsidRPr="00366C10" w:rsidTr="0071790B"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9C0B31" w:rsidRPr="00366C10" w:rsidRDefault="009C0B31" w:rsidP="009C0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E7F" w:rsidRPr="00366C10" w:rsidRDefault="00257E7F" w:rsidP="0071790B">
      <w:pPr>
        <w:rPr>
          <w:rFonts w:ascii="Times New Roman" w:hAnsi="Times New Roman" w:cs="Times New Roman"/>
          <w:sz w:val="28"/>
          <w:szCs w:val="28"/>
        </w:rPr>
      </w:pPr>
    </w:p>
    <w:sectPr w:rsidR="00257E7F" w:rsidRPr="00366C10" w:rsidSect="0071790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B"/>
    <w:rsid w:val="00021FA2"/>
    <w:rsid w:val="00061910"/>
    <w:rsid w:val="00140641"/>
    <w:rsid w:val="0023769E"/>
    <w:rsid w:val="00257E7F"/>
    <w:rsid w:val="002C64F4"/>
    <w:rsid w:val="002C7189"/>
    <w:rsid w:val="00354271"/>
    <w:rsid w:val="00366C10"/>
    <w:rsid w:val="00395507"/>
    <w:rsid w:val="003D1BC4"/>
    <w:rsid w:val="003D2063"/>
    <w:rsid w:val="00435857"/>
    <w:rsid w:val="00497692"/>
    <w:rsid w:val="005867E0"/>
    <w:rsid w:val="005B2FCF"/>
    <w:rsid w:val="006A080E"/>
    <w:rsid w:val="006B3F34"/>
    <w:rsid w:val="0071790B"/>
    <w:rsid w:val="007C4D7A"/>
    <w:rsid w:val="007E1547"/>
    <w:rsid w:val="00851FCB"/>
    <w:rsid w:val="0086724E"/>
    <w:rsid w:val="009C0B31"/>
    <w:rsid w:val="00CE6226"/>
    <w:rsid w:val="00D4511B"/>
    <w:rsid w:val="00E31E15"/>
    <w:rsid w:val="00EC0F6A"/>
    <w:rsid w:val="00F07C76"/>
    <w:rsid w:val="00F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4A849-1756-4FD8-B52F-93E0C224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5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54271"/>
    <w:rPr>
      <w:color w:val="0000FF"/>
      <w:u w:val="single"/>
    </w:rPr>
  </w:style>
  <w:style w:type="paragraph" w:customStyle="1" w:styleId="rvps7">
    <w:name w:val="rvps7"/>
    <w:basedOn w:val="a"/>
    <w:rsid w:val="0035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354271"/>
  </w:style>
  <w:style w:type="paragraph" w:customStyle="1" w:styleId="rvps14">
    <w:name w:val="rvps14"/>
    <w:basedOn w:val="a"/>
    <w:rsid w:val="005B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5B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5B2FCF"/>
  </w:style>
  <w:style w:type="character" w:customStyle="1" w:styleId="rvts82">
    <w:name w:val="rvts82"/>
    <w:basedOn w:val="a0"/>
    <w:rsid w:val="005B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2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182-13" TargetMode="External"/><Relationship Id="rId4" Type="http://schemas.openxmlformats.org/officeDocument/2006/relationships/hyperlink" Target="https://zakon.rada.gov.ua/laws/show/z0182-1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2955</Words>
  <Characters>16846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2020-04-13T08:15:00Z</dcterms:created>
  <dcterms:modified xsi:type="dcterms:W3CDTF">2020-04-13T08:15:00Z</dcterms:modified>
</cp:coreProperties>
</file>