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81" w:rsidRDefault="00F3059A" w:rsidP="00F3059A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</w:p>
    <w:p w:rsidR="008F688D" w:rsidRDefault="00F3059A" w:rsidP="00F3059A">
      <w:pPr>
        <w:pStyle w:val="a4"/>
        <w:rPr>
          <w:szCs w:val="28"/>
        </w:rPr>
      </w:pP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</w:t>
      </w:r>
      <w:r w:rsidR="00811714">
        <w:rPr>
          <w:szCs w:val="28"/>
        </w:rPr>
        <w:t>є</w:t>
      </w:r>
      <w:r w:rsidR="009213A8">
        <w:rPr>
          <w:szCs w:val="28"/>
        </w:rPr>
        <w:t xml:space="preserve">кту </w:t>
      </w:r>
      <w:r w:rsidRPr="00713AF9">
        <w:rPr>
          <w:szCs w:val="28"/>
        </w:rPr>
        <w:t xml:space="preserve">рішення </w:t>
      </w:r>
    </w:p>
    <w:p w:rsidR="00F3059A" w:rsidRDefault="00811714" w:rsidP="00F3059A">
      <w:pPr>
        <w:pStyle w:val="a4"/>
        <w:rPr>
          <w:szCs w:val="28"/>
        </w:rPr>
      </w:pPr>
      <w:r w:rsidRPr="00E767C5">
        <w:rPr>
          <w:szCs w:val="28"/>
        </w:rPr>
        <w:t>Національної комісії з цінних паперів та фондового ринку</w:t>
      </w:r>
    </w:p>
    <w:p w:rsidR="00F3059A" w:rsidRPr="00180C51" w:rsidRDefault="009213A8" w:rsidP="00FA6E5D">
      <w:pPr>
        <w:ind w:left="142"/>
        <w:jc w:val="center"/>
        <w:rPr>
          <w:b/>
          <w:sz w:val="28"/>
          <w:szCs w:val="28"/>
        </w:rPr>
      </w:pPr>
      <w:r w:rsidRPr="009213A8">
        <w:rPr>
          <w:b/>
          <w:sz w:val="28"/>
          <w:szCs w:val="28"/>
        </w:rPr>
        <w:t xml:space="preserve"> «</w:t>
      </w:r>
      <w:r w:rsidR="00634979" w:rsidRPr="00634979">
        <w:rPr>
          <w:b/>
          <w:sz w:val="28"/>
          <w:szCs w:val="28"/>
        </w:rPr>
        <w:t>Про затвердження Тимчасового порядку скликання та дистанційного проведення загальних зборів учасників товариств, які є емітентами цінних паперів</w:t>
      </w:r>
      <w:r w:rsidR="00F3059A" w:rsidRPr="00180C51">
        <w:rPr>
          <w:b/>
          <w:sz w:val="28"/>
          <w:szCs w:val="28"/>
        </w:rPr>
        <w:t>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8F688D" w:rsidRPr="008F688D" w:rsidRDefault="009213A8" w:rsidP="008F68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11714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</w:t>
      </w:r>
      <w:r w:rsidR="00811714" w:rsidRPr="00E767C5">
        <w:rPr>
          <w:sz w:val="28"/>
          <w:szCs w:val="28"/>
        </w:rPr>
        <w:t>Національної комісії з цінних паперів та фондового ринку</w:t>
      </w:r>
      <w:r w:rsidRPr="009213A8">
        <w:rPr>
          <w:sz w:val="28"/>
          <w:szCs w:val="28"/>
        </w:rPr>
        <w:t xml:space="preserve"> «</w:t>
      </w:r>
      <w:r w:rsidR="00634979" w:rsidRPr="00634979">
        <w:rPr>
          <w:sz w:val="28"/>
          <w:szCs w:val="28"/>
        </w:rPr>
        <w:t>Про затвердження Тимчасового порядку скликання та дистанційного проведення загальних зборів учасників товариств, які є емітентами цінних паперів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</w:t>
      </w:r>
      <w:r w:rsidR="00811714">
        <w:rPr>
          <w:sz w:val="28"/>
          <w:szCs w:val="28"/>
        </w:rPr>
        <w:t>є</w:t>
      </w:r>
      <w:r w:rsidR="00F3059A" w:rsidRPr="00180C51">
        <w:rPr>
          <w:sz w:val="28"/>
          <w:szCs w:val="28"/>
        </w:rPr>
        <w:t xml:space="preserve">кт рішення) </w:t>
      </w:r>
      <w:r w:rsidR="00E767C5" w:rsidRPr="00B4493A">
        <w:rPr>
          <w:sz w:val="28"/>
          <w:szCs w:val="28"/>
        </w:rPr>
        <w:t xml:space="preserve">розроблений відповідно до пункту 13 статті 8 Закону України «Про державне регулювання ринку цінних паперів в Україні», </w:t>
      </w:r>
      <w:r w:rsidR="008F688D" w:rsidRPr="008F688D">
        <w:rPr>
          <w:sz w:val="28"/>
          <w:szCs w:val="28"/>
        </w:rPr>
        <w:t>пунктів 5</w:t>
      </w:r>
      <w:r w:rsidR="008F688D" w:rsidRPr="00B4493A">
        <w:rPr>
          <w:sz w:val="28"/>
          <w:szCs w:val="28"/>
          <w:vertAlign w:val="superscript"/>
        </w:rPr>
        <w:t>1</w:t>
      </w:r>
      <w:r w:rsidR="008F688D" w:rsidRPr="008F688D">
        <w:rPr>
          <w:sz w:val="28"/>
          <w:szCs w:val="28"/>
        </w:rPr>
        <w:t>, 5</w:t>
      </w:r>
      <w:r w:rsidR="008F688D" w:rsidRPr="00B4493A">
        <w:rPr>
          <w:sz w:val="28"/>
          <w:szCs w:val="28"/>
          <w:vertAlign w:val="superscript"/>
        </w:rPr>
        <w:t>2</w:t>
      </w:r>
      <w:r w:rsidR="008F688D" w:rsidRPr="008F688D">
        <w:rPr>
          <w:sz w:val="28"/>
          <w:szCs w:val="28"/>
        </w:rPr>
        <w:t xml:space="preserve"> глави VIII «Прикінцеві та перехідні положення» Закону України «Про товариства з обмеженою та додатковою відповідальністю».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 xml:space="preserve">Законом України від 30.03.2020 № 540-IX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 (COVID-19)» </w:t>
      </w:r>
      <w:r w:rsidR="00B4493A" w:rsidRPr="00B4493A">
        <w:rPr>
          <w:sz w:val="28"/>
          <w:szCs w:val="28"/>
        </w:rPr>
        <w:t xml:space="preserve">внесено </w:t>
      </w:r>
      <w:r w:rsidRPr="008F688D">
        <w:rPr>
          <w:sz w:val="28"/>
          <w:szCs w:val="28"/>
        </w:rPr>
        <w:t>зміни</w:t>
      </w:r>
      <w:r w:rsidR="00B4493A">
        <w:rPr>
          <w:sz w:val="28"/>
          <w:szCs w:val="28"/>
        </w:rPr>
        <w:t>, зокрема,</w:t>
      </w:r>
      <w:r w:rsidRPr="008F688D">
        <w:rPr>
          <w:sz w:val="28"/>
          <w:szCs w:val="28"/>
        </w:rPr>
        <w:t xml:space="preserve"> до Закону України «Про товариства з обмеженою та додатковою відповідальністю» (далі – Закон), що стосуються встановлення Комісією Тимчасового порядку скликання та дистанційного проведення загальних зборів учасників товариств, які є емітентами цінних паперів, у зв’язку із здійсненням заходів щодо запобігання виникненню </w:t>
      </w:r>
      <w:r w:rsidR="00B4493A" w:rsidRPr="00B4493A">
        <w:rPr>
          <w:sz w:val="28"/>
          <w:szCs w:val="28"/>
        </w:rPr>
        <w:t>та</w:t>
      </w:r>
      <w:r w:rsidRPr="008F688D">
        <w:rPr>
          <w:sz w:val="28"/>
          <w:szCs w:val="28"/>
        </w:rPr>
        <w:t xml:space="preserve"> поширенню коронавірусної хвороби (COVID-19), передбачених карантином, встановленим Кабінетом Міністрів України.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За структурою про</w:t>
      </w:r>
      <w:r w:rsidR="009B7F97">
        <w:rPr>
          <w:sz w:val="28"/>
          <w:szCs w:val="28"/>
          <w:lang w:val="ru-RU"/>
        </w:rPr>
        <w:t>є</w:t>
      </w:r>
      <w:r w:rsidRPr="008F688D">
        <w:rPr>
          <w:sz w:val="28"/>
          <w:szCs w:val="28"/>
        </w:rPr>
        <w:t>кт Тимчасового порядку складається з 2-х розділів та передбачає можливість проведення відповідно до вимог, встановлених цим Тимчасовим порядком: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1) річних загальних зборів учасників за результатами 2019 фінансового року;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2) позачергові загальні збори учасників у випадках їх скликання.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 xml:space="preserve">При цьому, необхідно заначити, що частинами першою та другою </w:t>
      </w:r>
      <w:r w:rsidR="009B7F97">
        <w:rPr>
          <w:sz w:val="28"/>
          <w:szCs w:val="28"/>
          <w:lang w:val="ru-RU"/>
        </w:rPr>
        <w:t xml:space="preserve">                 </w:t>
      </w:r>
      <w:r w:rsidRPr="008F688D">
        <w:rPr>
          <w:sz w:val="28"/>
          <w:szCs w:val="28"/>
        </w:rPr>
        <w:t>статті 31 Закону визначено, що загальні збори учасників скликаються у випадках, передбачених цим Законом або статутом товариства, а також: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1) з ініціативи виконавчого органу товариства;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2) на вимогу наглядової ради товариства;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3) на вимогу учасника або учасників товариства, які на день подання вимоги в сукупності володіють 10 або більше відсотками статутного капіталу товариства.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 xml:space="preserve">Річні загальні збори учасників скликаються протягом шести місяців наступного за звітним року, якщо інше не встановлено законом. 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 xml:space="preserve">Частиною третьою статі 33 Закону визначено, що загальні збори учасників передбачають спільну присутність учасників товариства в одному місці для обговорення питань порядку денного або можуть проводитися у </w:t>
      </w:r>
      <w:r w:rsidRPr="008F688D">
        <w:rPr>
          <w:sz w:val="28"/>
          <w:szCs w:val="28"/>
        </w:rPr>
        <w:lastRenderedPageBreak/>
        <w:t>режимі відеоконференції, що дозволяє бачити та чути всіх учасників загальних зборів учасників одночасно.</w:t>
      </w:r>
    </w:p>
    <w:p w:rsidR="008F688D" w:rsidRPr="008F688D" w:rsidRDefault="008F688D" w:rsidP="008F688D">
      <w:pPr>
        <w:ind w:firstLine="540"/>
        <w:jc w:val="both"/>
        <w:rPr>
          <w:sz w:val="28"/>
          <w:szCs w:val="28"/>
        </w:rPr>
      </w:pPr>
      <w:r w:rsidRPr="008F688D">
        <w:rPr>
          <w:sz w:val="28"/>
          <w:szCs w:val="28"/>
        </w:rPr>
        <w:t>Крім того, нормами статті 36 Закону встановлено особливості прийняття рішень загальних зборів учасників шляхом опитування.</w:t>
      </w:r>
    </w:p>
    <w:p w:rsidR="001979AE" w:rsidRPr="00542A87" w:rsidRDefault="008F688D" w:rsidP="008F688D">
      <w:pPr>
        <w:ind w:firstLine="540"/>
        <w:jc w:val="both"/>
        <w:rPr>
          <w:sz w:val="28"/>
          <w:szCs w:val="28"/>
          <w:highlight w:val="yellow"/>
        </w:rPr>
      </w:pPr>
      <w:r w:rsidRPr="008F688D">
        <w:rPr>
          <w:sz w:val="28"/>
          <w:szCs w:val="28"/>
        </w:rPr>
        <w:t>Отже, проєктом Тимчасового порядку пропонується вирішити питання проведення загальних зборів учасників товариств, які є емітентами цінних паперів, під час дії обмежувальних заходів, передбачених карантином, встановленим Кабінетом Міністрів України з метою запобігання поширенню коронавірусної хвороби (COVID-19), шляхом перенесення дати проведення загальних зборів або проведен</w:t>
      </w:r>
      <w:r w:rsidR="009B7F97" w:rsidRPr="009B7F97">
        <w:rPr>
          <w:sz w:val="28"/>
          <w:szCs w:val="28"/>
        </w:rPr>
        <w:t>ння</w:t>
      </w:r>
      <w:r w:rsidRPr="008F688D">
        <w:rPr>
          <w:sz w:val="28"/>
          <w:szCs w:val="28"/>
        </w:rPr>
        <w:t xml:space="preserve"> загальних зборів дистанційно (у режимі відеоконференції, що дозволяє бачити та чути всіх учасників загальних зборів або їх представників одночасно відповідно до частини третьої </w:t>
      </w:r>
      <w:r w:rsidR="00BA62DE" w:rsidRPr="00BA62DE">
        <w:rPr>
          <w:sz w:val="28"/>
          <w:szCs w:val="28"/>
        </w:rPr>
        <w:t xml:space="preserve">                   </w:t>
      </w:r>
      <w:r w:rsidRPr="008F688D">
        <w:rPr>
          <w:sz w:val="28"/>
          <w:szCs w:val="28"/>
        </w:rPr>
        <w:t>статті 33 Закону, або шляхом опитування відповідно до статті 36 Закону).</w:t>
      </w:r>
    </w:p>
    <w:p w:rsidR="00677EDB" w:rsidRPr="00180C51" w:rsidRDefault="00BA62DE" w:rsidP="00677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677EDB" w:rsidRPr="00180C51">
        <w:rPr>
          <w:sz w:val="28"/>
          <w:szCs w:val="28"/>
        </w:rPr>
        <w:t xml:space="preserve">кт рішення оприлюднено на офіційному </w:t>
      </w:r>
      <w:r w:rsidR="00677EDB">
        <w:rPr>
          <w:sz w:val="28"/>
          <w:szCs w:val="28"/>
        </w:rPr>
        <w:t>веб-</w:t>
      </w:r>
      <w:r w:rsidR="00677EDB"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="00677EDB" w:rsidRPr="00180C51">
        <w:rPr>
          <w:sz w:val="28"/>
          <w:szCs w:val="28"/>
          <w:lang w:val="en-US"/>
        </w:rPr>
        <w:t>http</w:t>
      </w:r>
      <w:r w:rsidR="00677EDB" w:rsidRPr="00180C51">
        <w:rPr>
          <w:sz w:val="28"/>
          <w:szCs w:val="28"/>
        </w:rPr>
        <w:t>:\\</w:t>
      </w:r>
      <w:hyperlink r:id="rId5" w:history="1">
        <w:r w:rsidR="00677EDB" w:rsidRPr="00180C51">
          <w:rPr>
            <w:rStyle w:val="a3"/>
            <w:sz w:val="28"/>
            <w:szCs w:val="28"/>
            <w:lang w:val="en-US"/>
          </w:rPr>
          <w:t>www</w:t>
        </w:r>
        <w:r w:rsidR="00677EDB" w:rsidRPr="00180C51">
          <w:rPr>
            <w:rStyle w:val="a3"/>
            <w:sz w:val="28"/>
            <w:szCs w:val="28"/>
          </w:rPr>
          <w:t>.</w:t>
        </w:r>
        <w:r w:rsidR="00677EDB" w:rsidRPr="00180C51">
          <w:t xml:space="preserve"> </w:t>
        </w:r>
        <w:r w:rsidR="00677EDB" w:rsidRPr="00180C51">
          <w:rPr>
            <w:rStyle w:val="a3"/>
            <w:sz w:val="28"/>
            <w:szCs w:val="28"/>
            <w:lang w:val="en-US"/>
          </w:rPr>
          <w:t>nssmc</w:t>
        </w:r>
        <w:r w:rsidR="00677EDB" w:rsidRPr="00180C51">
          <w:rPr>
            <w:rStyle w:val="a3"/>
            <w:sz w:val="28"/>
            <w:szCs w:val="28"/>
          </w:rPr>
          <w:t>.</w:t>
        </w:r>
        <w:r w:rsidR="00677EDB" w:rsidRPr="00180C51">
          <w:rPr>
            <w:rStyle w:val="a3"/>
            <w:sz w:val="28"/>
            <w:szCs w:val="28"/>
            <w:lang w:val="en-US"/>
          </w:rPr>
          <w:t>gov</w:t>
        </w:r>
        <w:r w:rsidR="00677EDB" w:rsidRPr="00180C51">
          <w:rPr>
            <w:rStyle w:val="a3"/>
            <w:sz w:val="28"/>
            <w:szCs w:val="28"/>
          </w:rPr>
          <w:t>.</w:t>
        </w:r>
        <w:r w:rsidR="00677EDB" w:rsidRPr="00180C51">
          <w:rPr>
            <w:rStyle w:val="a3"/>
            <w:sz w:val="28"/>
            <w:szCs w:val="28"/>
            <w:lang w:val="en-US"/>
          </w:rPr>
          <w:t>ua</w:t>
        </w:r>
      </w:hyperlink>
      <w:r w:rsidR="00677EDB"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Зауваження та пропозиції до Про</w:t>
      </w:r>
      <w:r w:rsidR="008F688D" w:rsidRPr="008F688D">
        <w:rPr>
          <w:sz w:val="28"/>
          <w:szCs w:val="28"/>
        </w:rPr>
        <w:t>є</w:t>
      </w:r>
      <w:r w:rsidRPr="00180C51">
        <w:rPr>
          <w:sz w:val="28"/>
          <w:szCs w:val="28"/>
        </w:rPr>
        <w:t xml:space="preserve">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</w:t>
      </w:r>
      <w:r w:rsidR="007945C5">
        <w:rPr>
          <w:sz w:val="28"/>
          <w:szCs w:val="28"/>
        </w:rPr>
        <w:t>електронні</w:t>
      </w:r>
      <w:r>
        <w:rPr>
          <w:sz w:val="28"/>
          <w:szCs w:val="28"/>
        </w:rPr>
        <w:t xml:space="preserve"> адрес</w:t>
      </w:r>
      <w:r w:rsidR="007945C5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: </w:t>
      </w:r>
      <w:hyperlink r:id="rId6" w:history="1">
        <w:r w:rsidR="00E3365F" w:rsidRPr="00BE24B0">
          <w:rPr>
            <w:rStyle w:val="a3"/>
            <w:sz w:val="28"/>
            <w:szCs w:val="28"/>
          </w:rPr>
          <w:t>maksym.libanov@nssmc.gov.ua</w:t>
        </w:r>
      </w:hyperlink>
      <w:r w:rsidR="007945C5">
        <w:rPr>
          <w:sz w:val="28"/>
          <w:szCs w:val="28"/>
          <w:lang w:val="ru-RU"/>
        </w:rPr>
        <w:t xml:space="preserve">, </w:t>
      </w:r>
      <w:r w:rsidR="007945C5" w:rsidRPr="007945C5">
        <w:rPr>
          <w:rStyle w:val="a3"/>
          <w:sz w:val="28"/>
          <w:szCs w:val="28"/>
        </w:rPr>
        <w:t>dmytro.peresunko@nssmc.gov.ua</w:t>
      </w:r>
      <w:r w:rsidRPr="007945C5">
        <w:rPr>
          <w:rStyle w:val="a3"/>
        </w:rPr>
        <w:t>.</w:t>
      </w:r>
    </w:p>
    <w:p w:rsidR="00677EDB" w:rsidRDefault="003C231C" w:rsidP="00677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7EDB" w:rsidRPr="00180C51">
        <w:rPr>
          <w:sz w:val="28"/>
          <w:szCs w:val="28"/>
        </w:rPr>
        <w:t xml:space="preserve">ауваження та пропозиції </w:t>
      </w:r>
      <w:r>
        <w:rPr>
          <w:sz w:val="28"/>
          <w:szCs w:val="28"/>
        </w:rPr>
        <w:t xml:space="preserve">до Проєкту рішення </w:t>
      </w:r>
      <w:r w:rsidR="00677EDB" w:rsidRPr="00180C51">
        <w:rPr>
          <w:sz w:val="28"/>
          <w:szCs w:val="28"/>
        </w:rPr>
        <w:t>від юридичних та фізичних осіб, їх об</w:t>
      </w:r>
      <w:r w:rsidR="00677EDB" w:rsidRPr="00277997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</w:t>
      </w:r>
      <w:r w:rsidRPr="00180C51">
        <w:rPr>
          <w:sz w:val="28"/>
          <w:szCs w:val="28"/>
        </w:rPr>
        <w:t>приймаються</w:t>
      </w:r>
      <w:r>
        <w:rPr>
          <w:sz w:val="28"/>
          <w:szCs w:val="28"/>
        </w:rPr>
        <w:t xml:space="preserve"> в термін</w:t>
      </w:r>
      <w:r w:rsidRPr="00180C51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1979AE">
        <w:rPr>
          <w:sz w:val="28"/>
          <w:szCs w:val="28"/>
          <w:lang w:val="ru-RU"/>
        </w:rPr>
        <w:t>9</w:t>
      </w:r>
      <w:r w:rsidR="00677EDB" w:rsidRPr="00180C51">
        <w:rPr>
          <w:sz w:val="28"/>
          <w:szCs w:val="28"/>
        </w:rPr>
        <w:t xml:space="preserve"> </w:t>
      </w:r>
      <w:r w:rsidR="007945C5">
        <w:rPr>
          <w:sz w:val="28"/>
          <w:szCs w:val="28"/>
          <w:lang w:val="ru-RU"/>
        </w:rPr>
        <w:t>травня</w:t>
      </w:r>
      <w:r>
        <w:rPr>
          <w:sz w:val="28"/>
          <w:szCs w:val="28"/>
        </w:rPr>
        <w:t xml:space="preserve"> 2020 року.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7945C5" w:rsidRDefault="007945C5" w:rsidP="00F3059A">
      <w:pPr>
        <w:jc w:val="center"/>
        <w:rPr>
          <w:b/>
          <w:sz w:val="28"/>
          <w:szCs w:val="28"/>
        </w:rPr>
      </w:pPr>
    </w:p>
    <w:p w:rsidR="007945C5" w:rsidRDefault="007945C5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E767C5">
        <w:rPr>
          <w:b/>
          <w:sz w:val="28"/>
          <w:szCs w:val="28"/>
        </w:rPr>
        <w:t xml:space="preserve">имур </w:t>
      </w:r>
      <w:r w:rsidR="009213A8">
        <w:rPr>
          <w:b/>
          <w:sz w:val="28"/>
          <w:szCs w:val="28"/>
        </w:rPr>
        <w:t>Х</w:t>
      </w:r>
      <w:r w:rsidR="00E767C5">
        <w:rPr>
          <w:b/>
          <w:sz w:val="28"/>
          <w:szCs w:val="28"/>
        </w:rPr>
        <w:t>РОМАЄВ</w:t>
      </w:r>
    </w:p>
    <w:p w:rsidR="00F466D7" w:rsidRDefault="00F466D7"/>
    <w:sectPr w:rsidR="00F466D7" w:rsidSect="00677EDB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1979AE"/>
    <w:rsid w:val="00227D4D"/>
    <w:rsid w:val="00303017"/>
    <w:rsid w:val="003C231C"/>
    <w:rsid w:val="00542A87"/>
    <w:rsid w:val="00546B7D"/>
    <w:rsid w:val="00571E84"/>
    <w:rsid w:val="00634979"/>
    <w:rsid w:val="0067185B"/>
    <w:rsid w:val="006742BC"/>
    <w:rsid w:val="00677EDB"/>
    <w:rsid w:val="007945C5"/>
    <w:rsid w:val="007B780E"/>
    <w:rsid w:val="007D069D"/>
    <w:rsid w:val="00811714"/>
    <w:rsid w:val="00880345"/>
    <w:rsid w:val="008A2FB2"/>
    <w:rsid w:val="008F688D"/>
    <w:rsid w:val="00913E82"/>
    <w:rsid w:val="009213A8"/>
    <w:rsid w:val="00945EA4"/>
    <w:rsid w:val="009B7F97"/>
    <w:rsid w:val="00A779E2"/>
    <w:rsid w:val="00B06BE6"/>
    <w:rsid w:val="00B32181"/>
    <w:rsid w:val="00B4493A"/>
    <w:rsid w:val="00B844AE"/>
    <w:rsid w:val="00BA62DE"/>
    <w:rsid w:val="00C655D7"/>
    <w:rsid w:val="00D049FE"/>
    <w:rsid w:val="00D10B95"/>
    <w:rsid w:val="00E3365F"/>
    <w:rsid w:val="00E767C5"/>
    <w:rsid w:val="00F3059A"/>
    <w:rsid w:val="00F45981"/>
    <w:rsid w:val="00F466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36F6-F75F-4A55-B645-5F9D672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ym.libanov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4145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mailto:maksym.libanov@nssmc.gov.ua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2020-05-14T13:36:00Z</dcterms:created>
  <dcterms:modified xsi:type="dcterms:W3CDTF">2020-05-14T13:36:00Z</dcterms:modified>
</cp:coreProperties>
</file>