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BE8" w:rsidRPr="006F3BE8" w:rsidRDefault="00DB78CA" w:rsidP="00DB78CA">
      <w:pPr>
        <w:jc w:val="center"/>
        <w:rPr>
          <w:b/>
          <w:lang w:val="uk-UA"/>
        </w:rPr>
      </w:pPr>
      <w:bookmarkStart w:id="0" w:name="_GoBack"/>
      <w:bookmarkEnd w:id="0"/>
      <w:r w:rsidRPr="00C269B0">
        <w:rPr>
          <w:b/>
        </w:rPr>
        <w:t xml:space="preserve">Інформація про результати розгляду зауважень та </w:t>
      </w:r>
      <w:r w:rsidRPr="00D6742F">
        <w:rPr>
          <w:b/>
        </w:rPr>
        <w:t>пропозицій</w:t>
      </w:r>
      <w:r>
        <w:rPr>
          <w:b/>
        </w:rPr>
        <w:t>, наданих</w:t>
      </w:r>
      <w:r w:rsidRPr="00D6742F">
        <w:rPr>
          <w:b/>
        </w:rPr>
        <w:t xml:space="preserve"> </w:t>
      </w:r>
      <w:r w:rsidRPr="00053684">
        <w:rPr>
          <w:b/>
        </w:rPr>
        <w:t>до проекту</w:t>
      </w:r>
      <w:r w:rsidR="006F3BE8">
        <w:rPr>
          <w:b/>
        </w:rPr>
        <w:t xml:space="preserve"> </w:t>
      </w:r>
      <w:r w:rsidR="006F3BE8" w:rsidRPr="006F3BE8">
        <w:rPr>
          <w:b/>
          <w:lang w:val="uk-UA"/>
        </w:rPr>
        <w:t>рішення Комісії</w:t>
      </w:r>
      <w:r w:rsidRPr="006F3BE8">
        <w:rPr>
          <w:b/>
          <w:lang w:val="uk-UA"/>
        </w:rPr>
        <w:t xml:space="preserve"> </w:t>
      </w:r>
      <w:r w:rsidR="006F3BE8" w:rsidRPr="006F3BE8">
        <w:rPr>
          <w:b/>
          <w:lang w:val="uk-UA"/>
        </w:rPr>
        <w:t>«Про затвердженя З</w:t>
      </w:r>
      <w:r w:rsidRPr="006F3BE8">
        <w:rPr>
          <w:b/>
          <w:lang w:val="uk-UA"/>
        </w:rPr>
        <w:t xml:space="preserve">мін до </w:t>
      </w:r>
    </w:p>
    <w:p w:rsidR="004136C5" w:rsidRPr="006F3BE8" w:rsidRDefault="004C19C9" w:rsidP="00DB78CA">
      <w:pPr>
        <w:jc w:val="center"/>
        <w:rPr>
          <w:b/>
          <w:lang w:val="uk-UA"/>
        </w:rPr>
      </w:pPr>
      <w:r w:rsidRPr="006F3BE8">
        <w:rPr>
          <w:b/>
          <w:lang w:val="uk-UA"/>
        </w:rPr>
        <w:t>Положення щодо пруденційних нормативів професійної діяльності на фондовому ринку та вимог до системи управління ризиками</w:t>
      </w:r>
      <w:r w:rsidR="00FA4F3D">
        <w:rPr>
          <w:b/>
        </w:rPr>
        <w:t>»</w:t>
      </w:r>
      <w:r w:rsidR="00FD4198" w:rsidRPr="006F3BE8">
        <w:rPr>
          <w:b/>
          <w:lang w:val="uk-UA"/>
        </w:rPr>
        <w:t>,</w:t>
      </w:r>
    </w:p>
    <w:p w:rsidR="00DB78CA" w:rsidRPr="006F3BE8" w:rsidRDefault="00DB78CA" w:rsidP="00DB78CA">
      <w:pPr>
        <w:keepNext/>
        <w:widowControl w:val="0"/>
        <w:jc w:val="center"/>
        <w:outlineLvl w:val="0"/>
        <w:rPr>
          <w:b/>
          <w:lang w:val="uk-UA"/>
        </w:rPr>
      </w:pPr>
      <w:r w:rsidRPr="006F3BE8">
        <w:rPr>
          <w:b/>
          <w:lang w:val="uk-UA"/>
        </w:rPr>
        <w:t xml:space="preserve">що одержані протягом строку його оприлюднення на </w:t>
      </w:r>
      <w:r w:rsidR="00FF7043" w:rsidRPr="006F3BE8">
        <w:rPr>
          <w:b/>
          <w:lang w:val="uk-UA"/>
        </w:rPr>
        <w:t xml:space="preserve">офіційному </w:t>
      </w:r>
      <w:r w:rsidRPr="006F3BE8">
        <w:rPr>
          <w:b/>
          <w:lang w:val="uk-UA"/>
        </w:rPr>
        <w:t>веб-сайті НКЦПФР</w:t>
      </w:r>
      <w:r w:rsidR="00235F86" w:rsidRPr="006F3BE8">
        <w:rPr>
          <w:b/>
          <w:lang w:val="uk-UA"/>
        </w:rPr>
        <w:t xml:space="preserve"> (до </w:t>
      </w:r>
      <w:r w:rsidR="004C19C9" w:rsidRPr="006F3BE8">
        <w:rPr>
          <w:b/>
          <w:lang w:val="uk-UA"/>
        </w:rPr>
        <w:t>1</w:t>
      </w:r>
      <w:r w:rsidR="006F3BE8">
        <w:rPr>
          <w:b/>
        </w:rPr>
        <w:t>9</w:t>
      </w:r>
      <w:r w:rsidR="00235F86" w:rsidRPr="006F3BE8">
        <w:rPr>
          <w:b/>
          <w:lang w:val="uk-UA"/>
        </w:rPr>
        <w:t>.</w:t>
      </w:r>
      <w:r w:rsidR="00873908" w:rsidRPr="006F3BE8">
        <w:rPr>
          <w:b/>
          <w:lang w:val="uk-UA"/>
        </w:rPr>
        <w:t>0</w:t>
      </w:r>
      <w:r w:rsidR="006F3BE8">
        <w:rPr>
          <w:b/>
        </w:rPr>
        <w:t>5</w:t>
      </w:r>
      <w:r w:rsidR="00873908" w:rsidRPr="006F3BE8">
        <w:rPr>
          <w:b/>
          <w:lang w:val="uk-UA"/>
        </w:rPr>
        <w:t>.</w:t>
      </w:r>
      <w:r w:rsidR="00235F86" w:rsidRPr="006F3BE8">
        <w:rPr>
          <w:b/>
          <w:lang w:val="uk-UA"/>
        </w:rPr>
        <w:t>20</w:t>
      </w:r>
      <w:r w:rsidR="006F3BE8">
        <w:rPr>
          <w:b/>
        </w:rPr>
        <w:t>20</w:t>
      </w:r>
      <w:r w:rsidR="00235F86" w:rsidRPr="006F3BE8">
        <w:rPr>
          <w:b/>
          <w:lang w:val="uk-UA"/>
        </w:rPr>
        <w:t>)</w:t>
      </w:r>
    </w:p>
    <w:p w:rsidR="00DB78CA" w:rsidRPr="006F3BE8" w:rsidRDefault="00DB78CA" w:rsidP="00DB78CA">
      <w:pPr>
        <w:keepNext/>
        <w:widowControl w:val="0"/>
        <w:jc w:val="center"/>
        <w:outlineLvl w:val="0"/>
        <w:rPr>
          <w:b/>
          <w:lang w:val="uk-UA"/>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527"/>
        <w:gridCol w:w="4250"/>
        <w:gridCol w:w="3489"/>
        <w:gridCol w:w="3065"/>
      </w:tblGrid>
      <w:tr w:rsidR="002F652F" w:rsidRPr="005F1700" w:rsidTr="00E56F75">
        <w:tc>
          <w:tcPr>
            <w:tcW w:w="404" w:type="pct"/>
            <w:shd w:val="clear" w:color="auto" w:fill="auto"/>
            <w:vAlign w:val="center"/>
          </w:tcPr>
          <w:p w:rsidR="00DB78CA" w:rsidRPr="00E56F75" w:rsidRDefault="00DB78CA" w:rsidP="00E56F75">
            <w:pPr>
              <w:ind w:left="-28"/>
              <w:jc w:val="center"/>
              <w:rPr>
                <w:b/>
              </w:rPr>
            </w:pPr>
            <w:r w:rsidRPr="00E56F75">
              <w:rPr>
                <w:b/>
              </w:rPr>
              <w:t>Зміни до</w:t>
            </w:r>
          </w:p>
        </w:tc>
        <w:tc>
          <w:tcPr>
            <w:tcW w:w="1131" w:type="pct"/>
            <w:shd w:val="clear" w:color="auto" w:fill="auto"/>
            <w:vAlign w:val="center"/>
          </w:tcPr>
          <w:p w:rsidR="00DB78CA" w:rsidRPr="00E56F75" w:rsidRDefault="00DB78CA" w:rsidP="00E56F75">
            <w:pPr>
              <w:jc w:val="center"/>
              <w:rPr>
                <w:b/>
                <w:lang w:val="uk-UA"/>
              </w:rPr>
            </w:pPr>
            <w:r w:rsidRPr="00E56F75">
              <w:rPr>
                <w:b/>
              </w:rPr>
              <w:t xml:space="preserve">Редакція з урахуванням </w:t>
            </w:r>
            <w:r w:rsidR="004C19C9" w:rsidRPr="00E56F75">
              <w:rPr>
                <w:b/>
              </w:rPr>
              <w:t>з</w:t>
            </w:r>
            <w:r w:rsidR="006F3BE8" w:rsidRPr="00E56F75">
              <w:rPr>
                <w:b/>
              </w:rPr>
              <w:t>мін</w:t>
            </w:r>
            <w:r w:rsidRPr="00E56F75">
              <w:rPr>
                <w:b/>
              </w:rPr>
              <w:t>, схвален</w:t>
            </w:r>
            <w:r w:rsidR="006F3BE8" w:rsidRPr="00E56F75">
              <w:rPr>
                <w:b/>
                <w:lang w:val="uk-UA"/>
              </w:rPr>
              <w:t>а</w:t>
            </w:r>
            <w:r w:rsidRPr="00E56F75">
              <w:rPr>
                <w:b/>
              </w:rPr>
              <w:t xml:space="preserve"> рішенням Комісії від </w:t>
            </w:r>
            <w:r w:rsidR="004C19C9" w:rsidRPr="00E56F75">
              <w:rPr>
                <w:b/>
              </w:rPr>
              <w:t>2</w:t>
            </w:r>
            <w:r w:rsidR="006F3BE8" w:rsidRPr="00E56F75">
              <w:rPr>
                <w:b/>
                <w:lang w:val="uk-UA"/>
              </w:rPr>
              <w:t>9</w:t>
            </w:r>
            <w:r w:rsidRPr="00E56F75">
              <w:rPr>
                <w:b/>
              </w:rPr>
              <w:t>.</w:t>
            </w:r>
            <w:r w:rsidR="00FF7043" w:rsidRPr="00E56F75">
              <w:rPr>
                <w:b/>
              </w:rPr>
              <w:t>0</w:t>
            </w:r>
            <w:r w:rsidR="006F3BE8" w:rsidRPr="00E56F75">
              <w:rPr>
                <w:b/>
                <w:lang w:val="uk-UA"/>
              </w:rPr>
              <w:t>4</w:t>
            </w:r>
            <w:r w:rsidRPr="00E56F75">
              <w:rPr>
                <w:b/>
              </w:rPr>
              <w:t>.20</w:t>
            </w:r>
            <w:r w:rsidR="006F3BE8" w:rsidRPr="00E56F75">
              <w:rPr>
                <w:b/>
                <w:lang w:val="uk-UA"/>
              </w:rPr>
              <w:t>20</w:t>
            </w:r>
            <w:r w:rsidRPr="00E56F75">
              <w:rPr>
                <w:b/>
              </w:rPr>
              <w:t xml:space="preserve"> №</w:t>
            </w:r>
            <w:r w:rsidR="004A37C2" w:rsidRPr="00E56F75">
              <w:rPr>
                <w:b/>
              </w:rPr>
              <w:t> </w:t>
            </w:r>
            <w:r w:rsidR="006F3BE8" w:rsidRPr="00E56F75">
              <w:rPr>
                <w:b/>
                <w:lang w:val="uk-UA"/>
              </w:rPr>
              <w:t>213</w:t>
            </w:r>
          </w:p>
        </w:tc>
        <w:tc>
          <w:tcPr>
            <w:tcW w:w="1363" w:type="pct"/>
            <w:shd w:val="clear" w:color="auto" w:fill="auto"/>
            <w:vAlign w:val="center"/>
          </w:tcPr>
          <w:p w:rsidR="00DB78CA" w:rsidRPr="00E56F75" w:rsidRDefault="00DB78CA" w:rsidP="00E56F75">
            <w:pPr>
              <w:jc w:val="center"/>
              <w:rPr>
                <w:b/>
              </w:rPr>
            </w:pPr>
            <w:r w:rsidRPr="00E56F75">
              <w:rPr>
                <w:b/>
              </w:rPr>
              <w:t>Пропозиції та зауваження</w:t>
            </w:r>
          </w:p>
          <w:p w:rsidR="00DB78CA" w:rsidRPr="00E56F75" w:rsidRDefault="00DB78CA" w:rsidP="00E56F75">
            <w:pPr>
              <w:jc w:val="center"/>
              <w:rPr>
                <w:b/>
              </w:rPr>
            </w:pPr>
            <w:r w:rsidRPr="00E56F75">
              <w:rPr>
                <w:b/>
              </w:rPr>
              <w:t>від зацікавлених осіб</w:t>
            </w:r>
          </w:p>
        </w:tc>
        <w:tc>
          <w:tcPr>
            <w:tcW w:w="1119" w:type="pct"/>
            <w:shd w:val="clear" w:color="auto" w:fill="auto"/>
            <w:vAlign w:val="center"/>
          </w:tcPr>
          <w:p w:rsidR="00DB78CA" w:rsidRPr="00E56F75" w:rsidRDefault="00DB78CA" w:rsidP="00E56F75">
            <w:pPr>
              <w:jc w:val="center"/>
              <w:rPr>
                <w:b/>
              </w:rPr>
            </w:pPr>
            <w:r w:rsidRPr="00E56F75">
              <w:rPr>
                <w:b/>
              </w:rPr>
              <w:t>Остаточна редакція</w:t>
            </w:r>
          </w:p>
        </w:tc>
        <w:tc>
          <w:tcPr>
            <w:tcW w:w="983" w:type="pct"/>
            <w:shd w:val="clear" w:color="auto" w:fill="auto"/>
            <w:vAlign w:val="center"/>
          </w:tcPr>
          <w:p w:rsidR="00DB78CA" w:rsidRPr="00E56F75" w:rsidRDefault="00DB78CA" w:rsidP="00E56F75">
            <w:pPr>
              <w:jc w:val="center"/>
              <w:rPr>
                <w:b/>
              </w:rPr>
            </w:pPr>
            <w:r w:rsidRPr="00E56F75">
              <w:rPr>
                <w:b/>
              </w:rPr>
              <w:t xml:space="preserve">Коментарі </w:t>
            </w:r>
          </w:p>
        </w:tc>
      </w:tr>
      <w:tr w:rsidR="004C19C9" w:rsidRPr="00D653DA" w:rsidTr="00E56F75">
        <w:tc>
          <w:tcPr>
            <w:tcW w:w="5000" w:type="pct"/>
            <w:gridSpan w:val="5"/>
            <w:shd w:val="clear" w:color="auto" w:fill="auto"/>
            <w:vAlign w:val="center"/>
          </w:tcPr>
          <w:p w:rsidR="00FA4F3D" w:rsidRPr="00E56F75" w:rsidRDefault="006F3BE8" w:rsidP="00E56F75">
            <w:pPr>
              <w:jc w:val="center"/>
              <w:rPr>
                <w:b/>
              </w:rPr>
            </w:pPr>
            <w:r w:rsidRPr="00E56F75">
              <w:rPr>
                <w:rStyle w:val="rvts15"/>
                <w:b/>
              </w:rPr>
              <w:t>Рішення Комісії</w:t>
            </w:r>
            <w:r w:rsidR="00FA4F3D" w:rsidRPr="00E56F75">
              <w:rPr>
                <w:rStyle w:val="rvts15"/>
                <w:b/>
              </w:rPr>
              <w:t xml:space="preserve"> «Про </w:t>
            </w:r>
            <w:r w:rsidR="00FA4F3D" w:rsidRPr="00E56F75">
              <w:rPr>
                <w:b/>
                <w:lang w:val="uk-UA"/>
              </w:rPr>
              <w:t xml:space="preserve">затвердженя Змін до Положення щодо пруденційних нормативів професійної діяльності </w:t>
            </w:r>
          </w:p>
          <w:p w:rsidR="004C19C9" w:rsidRPr="00E56F75" w:rsidRDefault="00FA4F3D" w:rsidP="00E56F75">
            <w:pPr>
              <w:jc w:val="center"/>
              <w:rPr>
                <w:rStyle w:val="rvts15"/>
                <w:b/>
              </w:rPr>
            </w:pPr>
            <w:r w:rsidRPr="00E56F75">
              <w:rPr>
                <w:b/>
                <w:lang w:val="uk-UA"/>
              </w:rPr>
              <w:t>на фондовому ринку та вимог до системи управління ризиками</w:t>
            </w:r>
            <w:r w:rsidRPr="00E56F75">
              <w:rPr>
                <w:b/>
              </w:rPr>
              <w:t>»</w:t>
            </w:r>
          </w:p>
        </w:tc>
      </w:tr>
      <w:tr w:rsidR="006F3BE8" w:rsidRPr="00D653DA" w:rsidTr="00E56F75">
        <w:tc>
          <w:tcPr>
            <w:tcW w:w="404" w:type="pct"/>
            <w:shd w:val="clear" w:color="auto" w:fill="auto"/>
          </w:tcPr>
          <w:p w:rsidR="006F3BE8" w:rsidRPr="00E56F75" w:rsidRDefault="00FA4F3D" w:rsidP="00E56F75">
            <w:pPr>
              <w:ind w:left="-28"/>
              <w:rPr>
                <w:b/>
                <w:sz w:val="20"/>
                <w:szCs w:val="20"/>
              </w:rPr>
            </w:pPr>
            <w:r w:rsidRPr="00E56F75">
              <w:rPr>
                <w:b/>
                <w:sz w:val="20"/>
                <w:szCs w:val="20"/>
              </w:rPr>
              <w:t>пункту 2</w:t>
            </w:r>
          </w:p>
        </w:tc>
        <w:tc>
          <w:tcPr>
            <w:tcW w:w="1131" w:type="pct"/>
            <w:shd w:val="clear" w:color="auto" w:fill="auto"/>
          </w:tcPr>
          <w:p w:rsidR="006F3BE8" w:rsidRPr="00E56F75" w:rsidRDefault="00FA4F3D" w:rsidP="00E56F75">
            <w:pPr>
              <w:widowControl w:val="0"/>
              <w:jc w:val="both"/>
              <w:rPr>
                <w:lang w:val="uk-UA"/>
              </w:rPr>
            </w:pPr>
            <w:r w:rsidRPr="00FA4F3D">
              <w:t xml:space="preserve">2. Визнати таким, що втратило чинність, розпорядження Національної комісії, що здійснює державне регулювання у сфері ринків фінансових послуг, від 08 серпня 2017 року № 3386 «Про затвердження Положення про обов’язкові критерії та фінансові нормативи, а також вимоги, що обмежують ризики в діяльності фінансових компаній – управителів при здійсненні діяльності із залучення коштів установників управління майном для фінансування об’єктів будівництва та/або здійснення операцій з нерухомістю», зареєстроване в Міністерстві юстиції України 25 жовтня 2017 року за № </w:t>
            </w:r>
            <w:r w:rsidRPr="00E56F75">
              <w:rPr>
                <w:bCs/>
                <w:color w:val="000000"/>
              </w:rPr>
              <w:t>1311/31179</w:t>
            </w:r>
            <w:r w:rsidRPr="00E56F75">
              <w:rPr>
                <w:bCs/>
                <w:color w:val="000000"/>
                <w:lang w:val="uk-UA"/>
              </w:rPr>
              <w:t xml:space="preserve"> (зі змінами).</w:t>
            </w:r>
          </w:p>
        </w:tc>
        <w:tc>
          <w:tcPr>
            <w:tcW w:w="1363" w:type="pct"/>
            <w:shd w:val="clear" w:color="auto" w:fill="auto"/>
          </w:tcPr>
          <w:p w:rsidR="006F3BE8" w:rsidRPr="00FA4F3D" w:rsidRDefault="00FA4F3D" w:rsidP="00E56F75">
            <w:pPr>
              <w:jc w:val="both"/>
            </w:pPr>
            <w:r w:rsidRPr="00FA4F3D">
              <w:t>Виключити</w:t>
            </w:r>
            <w:r>
              <w:t xml:space="preserve">, оскільки </w:t>
            </w:r>
            <w:r w:rsidR="00166A7F">
              <w:t>окремі</w:t>
            </w:r>
            <w:r>
              <w:t xml:space="preserve"> положення відповідного нормативно-правового акту</w:t>
            </w:r>
            <w:r w:rsidR="00166A7F">
              <w:t xml:space="preserve"> на даний час ще не імплементовані у нормативно-правову базу Комісії.</w:t>
            </w:r>
          </w:p>
        </w:tc>
        <w:tc>
          <w:tcPr>
            <w:tcW w:w="1119" w:type="pct"/>
            <w:shd w:val="clear" w:color="auto" w:fill="auto"/>
          </w:tcPr>
          <w:p w:rsidR="006F3BE8" w:rsidRPr="00FA4F3D" w:rsidRDefault="00FA4F3D" w:rsidP="00E56F75">
            <w:pPr>
              <w:pStyle w:val="a5"/>
              <w:spacing w:before="0" w:beforeAutospacing="0" w:after="0" w:afterAutospacing="0"/>
              <w:jc w:val="both"/>
            </w:pPr>
            <w:r>
              <w:t>Пункт виключено</w:t>
            </w:r>
          </w:p>
        </w:tc>
        <w:tc>
          <w:tcPr>
            <w:tcW w:w="983" w:type="pct"/>
            <w:shd w:val="clear" w:color="auto" w:fill="auto"/>
          </w:tcPr>
          <w:p w:rsidR="006F3BE8" w:rsidRPr="00E56F75" w:rsidRDefault="00FA4F3D" w:rsidP="00E56F75">
            <w:pPr>
              <w:jc w:val="both"/>
              <w:rPr>
                <w:b/>
              </w:rPr>
            </w:pPr>
            <w:r w:rsidRPr="00E56F75">
              <w:rPr>
                <w:b/>
              </w:rPr>
              <w:t>Враховано</w:t>
            </w:r>
          </w:p>
        </w:tc>
      </w:tr>
      <w:tr w:rsidR="00422E0A" w:rsidRPr="00D653DA" w:rsidTr="00E56F75">
        <w:tc>
          <w:tcPr>
            <w:tcW w:w="404" w:type="pct"/>
            <w:shd w:val="clear" w:color="auto" w:fill="auto"/>
          </w:tcPr>
          <w:p w:rsidR="00422E0A" w:rsidRPr="00E56F75" w:rsidRDefault="00422E0A" w:rsidP="00E56F75">
            <w:pPr>
              <w:ind w:left="-28"/>
              <w:rPr>
                <w:b/>
                <w:sz w:val="20"/>
                <w:szCs w:val="20"/>
              </w:rPr>
            </w:pPr>
            <w:r w:rsidRPr="00E56F75">
              <w:rPr>
                <w:b/>
                <w:sz w:val="20"/>
                <w:szCs w:val="20"/>
              </w:rPr>
              <w:t>пункту 4</w:t>
            </w:r>
          </w:p>
        </w:tc>
        <w:tc>
          <w:tcPr>
            <w:tcW w:w="1131" w:type="pct"/>
            <w:shd w:val="clear" w:color="auto" w:fill="auto"/>
          </w:tcPr>
          <w:p w:rsidR="00422E0A" w:rsidRPr="00166A7F" w:rsidRDefault="00422E0A" w:rsidP="00E56F75">
            <w:pPr>
              <w:pStyle w:val="rvps2"/>
              <w:spacing w:before="0" w:beforeAutospacing="0" w:after="0" w:afterAutospacing="0"/>
              <w:jc w:val="both"/>
            </w:pPr>
            <w:r w:rsidRPr="00166A7F">
              <w:t xml:space="preserve">4. Це рішення набирає чинності з 01 липня 2020 року, але не </w:t>
            </w:r>
            <w:r w:rsidRPr="00166A7F">
              <w:lastRenderedPageBreak/>
              <w:t>раніше дня, наступного за днем його офіційного опублікування.</w:t>
            </w:r>
          </w:p>
        </w:tc>
        <w:tc>
          <w:tcPr>
            <w:tcW w:w="1363" w:type="pct"/>
            <w:shd w:val="clear" w:color="auto" w:fill="auto"/>
          </w:tcPr>
          <w:p w:rsidR="00422E0A" w:rsidRPr="00E56F75" w:rsidRDefault="00422E0A" w:rsidP="00E56F75">
            <w:pPr>
              <w:jc w:val="both"/>
              <w:rPr>
                <w:b/>
                <w:u w:val="single"/>
              </w:rPr>
            </w:pPr>
            <w:r w:rsidRPr="00E56F75">
              <w:rPr>
                <w:b/>
                <w:u w:val="single"/>
              </w:rPr>
              <w:lastRenderedPageBreak/>
              <w:t>УАІБ</w:t>
            </w:r>
          </w:p>
          <w:p w:rsidR="00422E0A" w:rsidRDefault="00422E0A" w:rsidP="00E56F75">
            <w:pPr>
              <w:jc w:val="both"/>
            </w:pPr>
            <w:r>
              <w:t xml:space="preserve">Пропонуємо передбачити, що норми </w:t>
            </w:r>
            <w:r>
              <w:lastRenderedPageBreak/>
              <w:t>щодо розрахунку  та нормативних значень нових пруденційних показників для адміністраторів НПФ почнуть застосовуватись з 01 січня 2021 року (навіть якщо відповідні зміни до Положення № 1597 наберуть чинності з 01 липня 2020 року).</w:t>
            </w:r>
          </w:p>
          <w:p w:rsidR="000B4B9E" w:rsidRPr="00E56F75" w:rsidRDefault="00015856" w:rsidP="00E56F75">
            <w:pPr>
              <w:pStyle w:val="aa"/>
              <w:jc w:val="both"/>
              <w:rPr>
                <w:rFonts w:ascii="Times New Roman" w:hAnsi="Times New Roman"/>
                <w:sz w:val="28"/>
                <w:szCs w:val="28"/>
              </w:rPr>
            </w:pPr>
            <w:r w:rsidRPr="00E56F75">
              <w:rPr>
                <w:rFonts w:ascii="Times New Roman" w:hAnsi="Times New Roman"/>
                <w:b/>
                <w:sz w:val="24"/>
                <w:szCs w:val="24"/>
                <w:u w:val="single"/>
              </w:rPr>
              <w:t>Обгрунтування</w:t>
            </w:r>
            <w:r w:rsidRPr="00E56F75">
              <w:rPr>
                <w:rFonts w:ascii="Times New Roman" w:hAnsi="Times New Roman"/>
                <w:sz w:val="24"/>
                <w:szCs w:val="24"/>
              </w:rPr>
              <w:t>:</w:t>
            </w:r>
            <w:r w:rsidRPr="00E56F75">
              <w:rPr>
                <w:rFonts w:ascii="Times New Roman" w:hAnsi="Times New Roman"/>
                <w:sz w:val="28"/>
                <w:szCs w:val="28"/>
              </w:rPr>
              <w:t xml:space="preserve"> </w:t>
            </w:r>
          </w:p>
          <w:p w:rsidR="00015856" w:rsidRPr="006E2319" w:rsidRDefault="00015856" w:rsidP="00E56F75">
            <w:pPr>
              <w:pStyle w:val="aa"/>
              <w:jc w:val="both"/>
            </w:pPr>
            <w:r w:rsidRPr="00E56F75">
              <w:rPr>
                <w:rFonts w:ascii="Times New Roman" w:hAnsi="Times New Roman"/>
                <w:sz w:val="24"/>
                <w:szCs w:val="24"/>
              </w:rPr>
              <w:t xml:space="preserve">Що стосується набрання чинності цим рішенням, яке за проектом передбачено з 01 липня 2020 року, ми вважаємо, що це занадто швидко, адже, як зазначено у самому проекті, «стосовно адміністраторів НПФ на даний час пруденційних показників законодавством не встановлено». Два місяці на підготовку професійними учасниками ринку до запровадженя нових регуляторних вимог у принципі, а тим більше – у нинішніх надзвичайних соціально-економічних умовах, пов'язаних із діючими (та продовженими) в Україні обмеженнями у зв'язку з пандемією </w:t>
            </w:r>
            <w:r w:rsidRPr="00E56F75">
              <w:rPr>
                <w:rFonts w:ascii="Times New Roman" w:hAnsi="Times New Roman"/>
                <w:sz w:val="24"/>
                <w:szCs w:val="24"/>
                <w:lang w:val="en-US"/>
              </w:rPr>
              <w:t>COVID-19</w:t>
            </w:r>
            <w:r w:rsidRPr="00E56F75">
              <w:rPr>
                <w:rFonts w:ascii="Times New Roman" w:hAnsi="Times New Roman"/>
                <w:sz w:val="24"/>
                <w:szCs w:val="24"/>
              </w:rPr>
              <w:t xml:space="preserve">, – це надто короткий строк. Попри те, що більшість адміністраторів НПФ поєднують свою діяльність із діяльністю КУА, як зазначено вище, частина з них здійснює винятково діяльність з адміністрування НПФ і запропоновані вимоги будуть для них додатковими. Крім того, необхідність виконання Комісією вимог Закону України від 12 </w:t>
            </w:r>
            <w:r w:rsidRPr="00E56F75">
              <w:rPr>
                <w:rFonts w:ascii="Times New Roman" w:hAnsi="Times New Roman"/>
                <w:sz w:val="24"/>
                <w:szCs w:val="24"/>
              </w:rPr>
              <w:lastRenderedPageBreak/>
              <w:t>вересня 2019 року № 79-ІХ «Про внесення змін до деяких законодавчих актів України щодо удосконалення функцій із державного регулювання ринків фінансових послуг» у відповідний строк не означає потребу у запровадженні (початку застосування) додаткових нормативів до відповідних професійних учаснків у цей строк.</w:t>
            </w:r>
          </w:p>
        </w:tc>
        <w:tc>
          <w:tcPr>
            <w:tcW w:w="1119" w:type="pct"/>
            <w:shd w:val="clear" w:color="auto" w:fill="auto"/>
          </w:tcPr>
          <w:p w:rsidR="00422E0A" w:rsidRPr="00277217" w:rsidRDefault="009E52F7" w:rsidP="00E56F75">
            <w:pPr>
              <w:pStyle w:val="rvps2"/>
              <w:spacing w:before="0" w:beforeAutospacing="0" w:after="0" w:afterAutospacing="0"/>
              <w:ind w:right="-22"/>
              <w:jc w:val="both"/>
              <w:rPr>
                <w:lang w:val="uk-UA"/>
              </w:rPr>
            </w:pPr>
            <w:r w:rsidRPr="00277217">
              <w:rPr>
                <w:lang w:val="uk-UA"/>
              </w:rPr>
              <w:lastRenderedPageBreak/>
              <w:t xml:space="preserve">3. Це рішення набирає чинності з 01 липня 2020 року, але не </w:t>
            </w:r>
            <w:r w:rsidRPr="00277217">
              <w:rPr>
                <w:lang w:val="uk-UA"/>
              </w:rPr>
              <w:lastRenderedPageBreak/>
              <w:t>раніше дня, наступного за днем його офіційного опублікування, крім абзаців тринадцятого, сімнадцятого, сорок п’</w:t>
            </w:r>
            <w:r w:rsidRPr="00E56F75">
              <w:rPr>
                <w:lang w:val="uk-UA"/>
              </w:rPr>
              <w:t xml:space="preserve">ятого, </w:t>
            </w:r>
            <w:r w:rsidRPr="00277217">
              <w:rPr>
                <w:lang w:val="uk-UA"/>
              </w:rPr>
              <w:t>шістдесят четвертого та</w:t>
            </w:r>
            <w:r w:rsidRPr="00E56F75">
              <w:rPr>
                <w:lang w:val="uk-UA"/>
              </w:rPr>
              <w:t xml:space="preserve"> </w:t>
            </w:r>
            <w:r w:rsidRPr="00277217">
              <w:rPr>
                <w:lang w:val="uk-UA"/>
              </w:rPr>
              <w:t>шістдесят восьмого</w:t>
            </w:r>
            <w:r w:rsidRPr="00E56F75">
              <w:rPr>
                <w:lang w:val="uk-UA"/>
              </w:rPr>
              <w:t xml:space="preserve"> пункту 2 Змін, які набирають чинності з 01 </w:t>
            </w:r>
            <w:r w:rsidRPr="00277217">
              <w:rPr>
                <w:lang w:val="uk-UA"/>
              </w:rPr>
              <w:t>січня</w:t>
            </w:r>
            <w:r w:rsidRPr="00E56F75">
              <w:rPr>
                <w:lang w:val="uk-UA"/>
              </w:rPr>
              <w:t xml:space="preserve"> 202</w:t>
            </w:r>
            <w:r w:rsidRPr="00277217">
              <w:rPr>
                <w:lang w:val="uk-UA"/>
              </w:rPr>
              <w:t>1</w:t>
            </w:r>
            <w:r w:rsidRPr="00E56F75">
              <w:rPr>
                <w:lang w:val="uk-UA"/>
              </w:rPr>
              <w:t xml:space="preserve"> року</w:t>
            </w:r>
            <w:r w:rsidR="00655909" w:rsidRPr="00277217">
              <w:rPr>
                <w:lang w:val="uk-UA"/>
              </w:rPr>
              <w:t>.</w:t>
            </w:r>
          </w:p>
        </w:tc>
        <w:tc>
          <w:tcPr>
            <w:tcW w:w="983" w:type="pct"/>
            <w:shd w:val="clear" w:color="auto" w:fill="auto"/>
          </w:tcPr>
          <w:p w:rsidR="00422E0A" w:rsidRPr="00E56F75" w:rsidRDefault="00EA2128" w:rsidP="00E56F75">
            <w:pPr>
              <w:jc w:val="both"/>
              <w:rPr>
                <w:b/>
              </w:rPr>
            </w:pPr>
            <w:r w:rsidRPr="00E56F75">
              <w:rPr>
                <w:b/>
              </w:rPr>
              <w:lastRenderedPageBreak/>
              <w:t>Вр</w:t>
            </w:r>
            <w:r w:rsidR="00655909" w:rsidRPr="00E56F75">
              <w:rPr>
                <w:b/>
              </w:rPr>
              <w:t>аховано</w:t>
            </w:r>
          </w:p>
          <w:p w:rsidR="000B4B9E" w:rsidRPr="000B4B9E" w:rsidRDefault="000B4B9E" w:rsidP="00E56F75">
            <w:pPr>
              <w:jc w:val="both"/>
            </w:pPr>
            <w:r w:rsidRPr="000B4B9E">
              <w:t xml:space="preserve">Набрання чинності </w:t>
            </w:r>
            <w:r w:rsidRPr="000B4B9E">
              <w:lastRenderedPageBreak/>
              <w:t>рішенням встановлено</w:t>
            </w:r>
            <w:r>
              <w:t xml:space="preserve"> </w:t>
            </w:r>
            <w:r w:rsidRPr="00166A7F">
              <w:t>з 01 липня 2020 року, але не раніше дня, наступного за днем його офіційного опублікування</w:t>
            </w:r>
            <w:r>
              <w:t xml:space="preserve">, а набрання чинності пунктами, що встановлюють нормативні значення пруденційних показників, – з 01 </w:t>
            </w:r>
            <w:r w:rsidR="00655909" w:rsidRPr="00277217">
              <w:t>січня</w:t>
            </w:r>
            <w:r>
              <w:t xml:space="preserve"> 202</w:t>
            </w:r>
            <w:r w:rsidR="00655909" w:rsidRPr="00277217">
              <w:t>1</w:t>
            </w:r>
            <w:r>
              <w:t xml:space="preserve"> року</w:t>
            </w:r>
          </w:p>
        </w:tc>
      </w:tr>
      <w:tr w:rsidR="000B4B9E" w:rsidRPr="00D653DA" w:rsidTr="00E56F75">
        <w:tc>
          <w:tcPr>
            <w:tcW w:w="5000" w:type="pct"/>
            <w:gridSpan w:val="5"/>
            <w:shd w:val="clear" w:color="auto" w:fill="auto"/>
            <w:vAlign w:val="center"/>
          </w:tcPr>
          <w:p w:rsidR="000B4B9E" w:rsidRPr="00E56F75" w:rsidRDefault="000B4B9E" w:rsidP="00E56F75">
            <w:pPr>
              <w:jc w:val="center"/>
              <w:rPr>
                <w:rStyle w:val="rvts15"/>
                <w:b/>
              </w:rPr>
            </w:pPr>
            <w:r w:rsidRPr="00E56F75">
              <w:rPr>
                <w:b/>
                <w:lang w:val="uk-UA"/>
              </w:rPr>
              <w:lastRenderedPageBreak/>
              <w:t>Положення щодо пруденційних нормативів професійної діяльності на фондовому ринку та вимог до системи управління ризиками</w:t>
            </w:r>
          </w:p>
        </w:tc>
      </w:tr>
      <w:tr w:rsidR="006F3BE8" w:rsidRPr="00D653DA" w:rsidTr="00E56F75">
        <w:tc>
          <w:tcPr>
            <w:tcW w:w="5000" w:type="pct"/>
            <w:gridSpan w:val="5"/>
            <w:shd w:val="clear" w:color="auto" w:fill="auto"/>
            <w:vAlign w:val="center"/>
          </w:tcPr>
          <w:p w:rsidR="006F3BE8" w:rsidRPr="00E56F75" w:rsidRDefault="006F3BE8" w:rsidP="00E56F75">
            <w:pPr>
              <w:jc w:val="center"/>
              <w:rPr>
                <w:rStyle w:val="rvts15"/>
                <w:b/>
              </w:rPr>
            </w:pPr>
            <w:r w:rsidRPr="00E56F75">
              <w:rPr>
                <w:rStyle w:val="rvts15"/>
                <w:b/>
              </w:rPr>
              <w:t xml:space="preserve">I. </w:t>
            </w:r>
            <w:r w:rsidR="00EA2128" w:rsidRPr="00E56F75">
              <w:rPr>
                <w:b/>
                <w:bCs/>
                <w:noProof w:val="0"/>
                <w:color w:val="000000"/>
              </w:rPr>
              <w:t>Загальні положення</w:t>
            </w:r>
          </w:p>
        </w:tc>
      </w:tr>
      <w:tr w:rsidR="006F3BE8" w:rsidRPr="00D653DA" w:rsidTr="00E56F75">
        <w:tc>
          <w:tcPr>
            <w:tcW w:w="404" w:type="pct"/>
            <w:shd w:val="clear" w:color="auto" w:fill="auto"/>
          </w:tcPr>
          <w:p w:rsidR="006F3BE8" w:rsidRPr="00E56F75" w:rsidRDefault="00B63C6B" w:rsidP="00E56F75">
            <w:pPr>
              <w:ind w:left="-28"/>
              <w:rPr>
                <w:b/>
                <w:sz w:val="20"/>
                <w:szCs w:val="20"/>
              </w:rPr>
            </w:pPr>
            <w:r w:rsidRPr="00E56F75">
              <w:rPr>
                <w:b/>
                <w:sz w:val="20"/>
                <w:szCs w:val="20"/>
              </w:rPr>
              <w:t>пункту 3</w:t>
            </w:r>
          </w:p>
        </w:tc>
        <w:tc>
          <w:tcPr>
            <w:tcW w:w="1131" w:type="pct"/>
            <w:shd w:val="clear" w:color="auto" w:fill="auto"/>
          </w:tcPr>
          <w:p w:rsidR="00EA2128" w:rsidRPr="00E56F75" w:rsidRDefault="00EA2128" w:rsidP="00E56F75">
            <w:pPr>
              <w:shd w:val="clear" w:color="auto" w:fill="FFFFFF"/>
              <w:spacing w:after="150"/>
              <w:ind w:firstLine="450"/>
              <w:jc w:val="both"/>
              <w:rPr>
                <w:noProof w:val="0"/>
                <w:color w:val="000000"/>
                <w:lang w:val="uk-UA"/>
              </w:rPr>
            </w:pPr>
            <w:r w:rsidRPr="00E56F75">
              <w:rPr>
                <w:noProof w:val="0"/>
                <w:color w:val="000000"/>
                <w:lang w:val="uk-UA"/>
              </w:rPr>
              <w:t>3. Дія цього Положення не поширюється на банки, які провадять професійну діяльність на фондовому ринку, крім Розрахункового центру з обслуговування договорів на фінансових ринках (далі - Розрахунковий центр) у частині дотримання вимог </w:t>
            </w:r>
            <w:hyperlink r:id="rId8" w:anchor="n238" w:history="1">
              <w:r w:rsidRPr="00E56F75">
                <w:rPr>
                  <w:noProof w:val="0"/>
                  <w:lang w:val="uk-UA"/>
                </w:rPr>
                <w:t>розділу VІІ</w:t>
              </w:r>
            </w:hyperlink>
            <w:r w:rsidR="009C266A" w:rsidRPr="00E56F75">
              <w:rPr>
                <w:noProof w:val="0"/>
                <w:lang w:val="uk-UA"/>
              </w:rPr>
              <w:t xml:space="preserve"> </w:t>
            </w:r>
            <w:r w:rsidRPr="00E56F75">
              <w:rPr>
                <w:noProof w:val="0"/>
                <w:color w:val="000000"/>
                <w:lang w:val="uk-UA"/>
              </w:rPr>
              <w:t>стосовно</w:t>
            </w:r>
            <w:r w:rsidR="009C266A" w:rsidRPr="00E56F75">
              <w:rPr>
                <w:noProof w:val="0"/>
                <w:color w:val="000000"/>
                <w:lang w:val="uk-UA"/>
              </w:rPr>
              <w:t xml:space="preserve"> </w:t>
            </w:r>
            <w:r w:rsidRPr="00E56F75">
              <w:rPr>
                <w:noProof w:val="0"/>
                <w:color w:val="000000"/>
                <w:lang w:val="uk-UA"/>
              </w:rPr>
              <w:t>коефіцієнта покриття зобов'язань учасників клірингу, а також </w:t>
            </w:r>
            <w:hyperlink r:id="rId9" w:anchor="n408" w:history="1">
              <w:r w:rsidRPr="00E56F75">
                <w:rPr>
                  <w:noProof w:val="0"/>
                  <w:lang w:val="uk-UA"/>
                </w:rPr>
                <w:t xml:space="preserve">розділів </w:t>
              </w:r>
              <w:r w:rsidRPr="00E56F75">
                <w:rPr>
                  <w:b/>
                  <w:noProof w:val="0"/>
                  <w:lang w:val="uk-UA"/>
                </w:rPr>
                <w:t>X</w:t>
              </w:r>
            </w:hyperlink>
            <w:r w:rsidRPr="00E56F75">
              <w:rPr>
                <w:noProof w:val="0"/>
                <w:lang w:val="uk-UA"/>
              </w:rPr>
              <w:t> та </w:t>
            </w:r>
            <w:hyperlink r:id="rId10" w:anchor="n414" w:history="1">
              <w:r w:rsidRPr="00E56F75">
                <w:rPr>
                  <w:b/>
                  <w:noProof w:val="0"/>
                  <w:lang w:val="uk-UA"/>
                </w:rPr>
                <w:t>XI</w:t>
              </w:r>
            </w:hyperlink>
            <w:r w:rsidRPr="00E56F75">
              <w:rPr>
                <w:noProof w:val="0"/>
                <w:color w:val="000000"/>
                <w:lang w:val="uk-UA"/>
              </w:rPr>
              <w:t> цього Положення.</w:t>
            </w:r>
          </w:p>
          <w:p w:rsidR="006F3BE8" w:rsidRPr="00E56F75" w:rsidRDefault="006F3BE8" w:rsidP="00E56F75">
            <w:pPr>
              <w:pStyle w:val="rvps2"/>
              <w:spacing w:before="0" w:beforeAutospacing="0" w:after="0" w:afterAutospacing="0"/>
              <w:jc w:val="both"/>
              <w:rPr>
                <w:lang w:val="uk-UA"/>
              </w:rPr>
            </w:pPr>
          </w:p>
        </w:tc>
        <w:tc>
          <w:tcPr>
            <w:tcW w:w="1363" w:type="pct"/>
            <w:shd w:val="clear" w:color="auto" w:fill="auto"/>
          </w:tcPr>
          <w:p w:rsidR="006F3BE8" w:rsidRPr="00E56F75" w:rsidRDefault="00EA2128" w:rsidP="00E56F75">
            <w:pPr>
              <w:jc w:val="both"/>
              <w:rPr>
                <w:b/>
                <w:u w:val="single"/>
              </w:rPr>
            </w:pPr>
            <w:r w:rsidRPr="00E56F75">
              <w:rPr>
                <w:b/>
                <w:u w:val="single"/>
              </w:rPr>
              <w:t>НБУ</w:t>
            </w:r>
          </w:p>
          <w:p w:rsidR="00EA2128" w:rsidRPr="003E6AB8" w:rsidRDefault="003E6AB8" w:rsidP="00E56F75">
            <w:pPr>
              <w:jc w:val="both"/>
            </w:pPr>
            <w:r>
              <w:t>Уточнення переліку суб</w:t>
            </w:r>
            <w:r w:rsidRPr="00277217">
              <w:t>’</w:t>
            </w:r>
            <w:r>
              <w:t>єктів, на яких розповсюджується дія нормативно-правового акту</w:t>
            </w:r>
          </w:p>
        </w:tc>
        <w:tc>
          <w:tcPr>
            <w:tcW w:w="1119" w:type="pct"/>
            <w:shd w:val="clear" w:color="auto" w:fill="auto"/>
          </w:tcPr>
          <w:p w:rsidR="006F3BE8" w:rsidRDefault="003E6AB8" w:rsidP="00E56F75">
            <w:pPr>
              <w:shd w:val="clear" w:color="auto" w:fill="FFFFFF"/>
              <w:spacing w:after="150"/>
              <w:ind w:firstLine="450"/>
              <w:jc w:val="both"/>
            </w:pPr>
            <w:r w:rsidRPr="00E56F75">
              <w:rPr>
                <w:noProof w:val="0"/>
                <w:color w:val="000000"/>
                <w:lang w:val="uk-UA"/>
              </w:rPr>
              <w:t xml:space="preserve">3. Дія цього Положення не поширюється на </w:t>
            </w:r>
            <w:r w:rsidRPr="00E56F75">
              <w:rPr>
                <w:b/>
                <w:noProof w:val="0"/>
                <w:color w:val="000000"/>
                <w:lang w:val="uk-UA"/>
              </w:rPr>
              <w:t>Національний банк України</w:t>
            </w:r>
            <w:r w:rsidRPr="00E56F75">
              <w:rPr>
                <w:noProof w:val="0"/>
                <w:color w:val="000000"/>
                <w:lang w:val="uk-UA"/>
              </w:rPr>
              <w:t xml:space="preserve"> </w:t>
            </w:r>
            <w:r w:rsidRPr="00E56F75">
              <w:rPr>
                <w:b/>
                <w:noProof w:val="0"/>
                <w:color w:val="000000"/>
                <w:lang w:val="uk-UA"/>
              </w:rPr>
              <w:t>та</w:t>
            </w:r>
            <w:r w:rsidRPr="00E56F75">
              <w:rPr>
                <w:noProof w:val="0"/>
                <w:color w:val="000000"/>
                <w:lang w:val="uk-UA"/>
              </w:rPr>
              <w:t xml:space="preserve"> банки, які провадять професійну діяльність на фондовому ринку, крім Розрахункового центру з обслуговування договорів на фінансових ринках (далі - Розрахунковий центр) у частині</w:t>
            </w:r>
            <w:r w:rsidR="009C266A" w:rsidRPr="00E56F75">
              <w:rPr>
                <w:noProof w:val="0"/>
                <w:color w:val="000000"/>
                <w:lang w:val="uk-UA"/>
              </w:rPr>
              <w:t xml:space="preserve"> </w:t>
            </w:r>
            <w:r w:rsidRPr="00E56F75">
              <w:rPr>
                <w:noProof w:val="0"/>
                <w:color w:val="000000"/>
                <w:lang w:val="uk-UA"/>
              </w:rPr>
              <w:t>дотримання вимог</w:t>
            </w:r>
            <w:r w:rsidR="009C266A" w:rsidRPr="00E56F75">
              <w:rPr>
                <w:noProof w:val="0"/>
                <w:color w:val="000000"/>
                <w:lang w:val="uk-UA"/>
              </w:rPr>
              <w:t xml:space="preserve"> </w:t>
            </w:r>
            <w:hyperlink r:id="rId11" w:anchor="n238" w:history="1">
              <w:r w:rsidRPr="00E56F75">
                <w:rPr>
                  <w:noProof w:val="0"/>
                  <w:lang w:val="uk-UA"/>
                </w:rPr>
                <w:t>розділу</w:t>
              </w:r>
              <w:r w:rsidR="009C266A" w:rsidRPr="00E56F75">
                <w:rPr>
                  <w:noProof w:val="0"/>
                  <w:lang w:val="uk-UA"/>
                </w:rPr>
                <w:t xml:space="preserve"> </w:t>
              </w:r>
              <w:r w:rsidRPr="00E56F75">
                <w:rPr>
                  <w:noProof w:val="0"/>
                  <w:lang w:val="uk-UA"/>
                </w:rPr>
                <w:t>VІІ</w:t>
              </w:r>
            </w:hyperlink>
            <w:r w:rsidR="009C266A" w:rsidRPr="00E56F75">
              <w:rPr>
                <w:noProof w:val="0"/>
                <w:lang w:val="uk-UA"/>
              </w:rPr>
              <w:t xml:space="preserve"> </w:t>
            </w:r>
            <w:r w:rsidRPr="00E56F75">
              <w:rPr>
                <w:noProof w:val="0"/>
                <w:color w:val="000000"/>
                <w:lang w:val="uk-UA"/>
              </w:rPr>
              <w:t> стосовно коефіцієнта</w:t>
            </w:r>
            <w:r w:rsidR="009C266A" w:rsidRPr="00E56F75">
              <w:rPr>
                <w:noProof w:val="0"/>
                <w:color w:val="000000"/>
                <w:lang w:val="uk-UA"/>
              </w:rPr>
              <w:t xml:space="preserve"> </w:t>
            </w:r>
            <w:r w:rsidRPr="00E56F75">
              <w:rPr>
                <w:noProof w:val="0"/>
                <w:color w:val="000000"/>
                <w:lang w:val="uk-UA"/>
              </w:rPr>
              <w:t>покриття</w:t>
            </w:r>
            <w:r w:rsidR="009C266A" w:rsidRPr="00E56F75">
              <w:rPr>
                <w:noProof w:val="0"/>
                <w:color w:val="000000"/>
                <w:lang w:val="uk-UA"/>
              </w:rPr>
              <w:t xml:space="preserve"> </w:t>
            </w:r>
            <w:r w:rsidRPr="00E56F75">
              <w:rPr>
                <w:noProof w:val="0"/>
                <w:color w:val="000000"/>
                <w:lang w:val="uk-UA"/>
              </w:rPr>
              <w:t>зобов'язань учасників клірингу, а</w:t>
            </w:r>
            <w:r w:rsidR="009C266A" w:rsidRPr="00E56F75">
              <w:rPr>
                <w:noProof w:val="0"/>
                <w:color w:val="000000"/>
                <w:lang w:val="uk-UA"/>
              </w:rPr>
              <w:t xml:space="preserve"> </w:t>
            </w:r>
            <w:r w:rsidRPr="00E56F75">
              <w:rPr>
                <w:noProof w:val="0"/>
                <w:color w:val="000000"/>
                <w:lang w:val="uk-UA"/>
              </w:rPr>
              <w:t>також</w:t>
            </w:r>
            <w:r w:rsidR="009C266A" w:rsidRPr="00E56F75">
              <w:rPr>
                <w:noProof w:val="0"/>
                <w:color w:val="000000"/>
                <w:lang w:val="uk-UA"/>
              </w:rPr>
              <w:t xml:space="preserve"> </w:t>
            </w:r>
            <w:hyperlink r:id="rId12" w:anchor="n408" w:history="1">
              <w:r w:rsidRPr="00E56F75">
                <w:rPr>
                  <w:noProof w:val="0"/>
                  <w:lang w:val="uk-UA"/>
                </w:rPr>
                <w:t>розділів</w:t>
              </w:r>
              <w:r w:rsidR="009C266A" w:rsidRPr="00E56F75">
                <w:rPr>
                  <w:noProof w:val="0"/>
                  <w:lang w:val="uk-UA"/>
                </w:rPr>
                <w:t xml:space="preserve"> </w:t>
              </w:r>
              <w:r w:rsidRPr="00E56F75">
                <w:rPr>
                  <w:b/>
                  <w:noProof w:val="0"/>
                  <w:lang w:val="uk-UA"/>
                </w:rPr>
                <w:t>X</w:t>
              </w:r>
            </w:hyperlink>
            <w:r w:rsidRPr="00E56F75">
              <w:rPr>
                <w:b/>
                <w:noProof w:val="0"/>
                <w:lang w:val="uk-UA"/>
              </w:rPr>
              <w:t>ІІ</w:t>
            </w:r>
            <w:r w:rsidR="009C266A" w:rsidRPr="00E56F75">
              <w:rPr>
                <w:b/>
                <w:noProof w:val="0"/>
                <w:lang w:val="uk-UA"/>
              </w:rPr>
              <w:t xml:space="preserve"> </w:t>
            </w:r>
            <w:r w:rsidRPr="00E56F75">
              <w:rPr>
                <w:noProof w:val="0"/>
                <w:lang w:val="uk-UA"/>
              </w:rPr>
              <w:t>та</w:t>
            </w:r>
            <w:r w:rsidR="009C266A" w:rsidRPr="00E56F75">
              <w:rPr>
                <w:noProof w:val="0"/>
                <w:lang w:val="uk-UA"/>
              </w:rPr>
              <w:t xml:space="preserve"> </w:t>
            </w:r>
            <w:hyperlink r:id="rId13" w:anchor="n414" w:history="1">
              <w:r w:rsidRPr="00E56F75">
                <w:rPr>
                  <w:b/>
                  <w:noProof w:val="0"/>
                  <w:lang w:val="uk-UA"/>
                </w:rPr>
                <w:t>XI</w:t>
              </w:r>
            </w:hyperlink>
            <w:r w:rsidRPr="00E56F75">
              <w:rPr>
                <w:b/>
                <w:noProof w:val="0"/>
                <w:lang w:val="uk-UA"/>
              </w:rPr>
              <w:t>ІІ</w:t>
            </w:r>
            <w:r w:rsidR="009C266A" w:rsidRPr="00E56F75">
              <w:rPr>
                <w:b/>
                <w:noProof w:val="0"/>
                <w:lang w:val="uk-UA"/>
              </w:rPr>
              <w:t xml:space="preserve"> </w:t>
            </w:r>
            <w:r w:rsidRPr="00E56F75">
              <w:rPr>
                <w:noProof w:val="0"/>
                <w:color w:val="000000"/>
                <w:lang w:val="uk-UA"/>
              </w:rPr>
              <w:t>цього Положення.</w:t>
            </w:r>
          </w:p>
        </w:tc>
        <w:tc>
          <w:tcPr>
            <w:tcW w:w="983" w:type="pct"/>
            <w:shd w:val="clear" w:color="auto" w:fill="auto"/>
          </w:tcPr>
          <w:p w:rsidR="006F3BE8" w:rsidRPr="00E56F75" w:rsidRDefault="009C266A" w:rsidP="00E56F75">
            <w:pPr>
              <w:jc w:val="both"/>
              <w:rPr>
                <w:b/>
              </w:rPr>
            </w:pPr>
            <w:r w:rsidRPr="00E56F75">
              <w:rPr>
                <w:b/>
              </w:rPr>
              <w:t>Враховано</w:t>
            </w:r>
          </w:p>
        </w:tc>
      </w:tr>
      <w:tr w:rsidR="00EA2128" w:rsidRPr="00D653DA" w:rsidTr="00E56F75">
        <w:tc>
          <w:tcPr>
            <w:tcW w:w="5000" w:type="pct"/>
            <w:gridSpan w:val="5"/>
            <w:shd w:val="clear" w:color="auto" w:fill="auto"/>
            <w:vAlign w:val="center"/>
          </w:tcPr>
          <w:p w:rsidR="009C266A" w:rsidRPr="00E56F75" w:rsidRDefault="009C266A" w:rsidP="00E56F75">
            <w:pPr>
              <w:jc w:val="center"/>
              <w:rPr>
                <w:b/>
                <w:color w:val="000000"/>
                <w:shd w:val="clear" w:color="auto" w:fill="FFFFFF"/>
              </w:rPr>
            </w:pPr>
            <w:r w:rsidRPr="00E56F75">
              <w:rPr>
                <w:b/>
                <w:bCs/>
                <w:noProof w:val="0"/>
                <w:color w:val="000000"/>
              </w:rPr>
              <w:t xml:space="preserve">X. Пруденційні нормативи, що використовуються для вимірювання та оцінки ризиків </w:t>
            </w:r>
            <w:r w:rsidRPr="00E56F75">
              <w:rPr>
                <w:b/>
                <w:color w:val="000000"/>
                <w:shd w:val="clear" w:color="auto" w:fill="FFFFFF"/>
              </w:rPr>
              <w:t xml:space="preserve">діяльності з адміністрування </w:t>
            </w:r>
          </w:p>
          <w:p w:rsidR="00EA2128" w:rsidRPr="00E56F75" w:rsidRDefault="009C266A" w:rsidP="00E56F75">
            <w:pPr>
              <w:jc w:val="center"/>
              <w:rPr>
                <w:rStyle w:val="rvts15"/>
                <w:b/>
                <w:lang w:val="uk-UA"/>
              </w:rPr>
            </w:pPr>
            <w:r w:rsidRPr="00E56F75">
              <w:rPr>
                <w:b/>
                <w:color w:val="000000"/>
                <w:shd w:val="clear" w:color="auto" w:fill="FFFFFF"/>
              </w:rPr>
              <w:t>недержавних пенсійних фондів</w:t>
            </w:r>
            <w:r w:rsidRPr="00E56F75">
              <w:rPr>
                <w:b/>
                <w:bCs/>
                <w:noProof w:val="0"/>
                <w:color w:val="000000"/>
              </w:rPr>
              <w:t>, їх розрахунок та нормативні значення</w:t>
            </w:r>
          </w:p>
        </w:tc>
      </w:tr>
      <w:tr w:rsidR="00EA2128" w:rsidRPr="00D653DA" w:rsidTr="00E56F75">
        <w:tc>
          <w:tcPr>
            <w:tcW w:w="404" w:type="pct"/>
            <w:shd w:val="clear" w:color="auto" w:fill="auto"/>
          </w:tcPr>
          <w:p w:rsidR="00EA2128" w:rsidRPr="00E56F75" w:rsidRDefault="00B63C6B" w:rsidP="00E56F75">
            <w:pPr>
              <w:ind w:left="-28"/>
              <w:rPr>
                <w:b/>
                <w:sz w:val="20"/>
                <w:szCs w:val="20"/>
              </w:rPr>
            </w:pPr>
            <w:r w:rsidRPr="00E56F75">
              <w:rPr>
                <w:b/>
                <w:sz w:val="20"/>
                <w:szCs w:val="20"/>
              </w:rPr>
              <w:t>пункту 1 глави 1</w:t>
            </w: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E56F75">
            <w:pPr>
              <w:ind w:left="-28"/>
              <w:rPr>
                <w:b/>
                <w:sz w:val="20"/>
                <w:szCs w:val="20"/>
              </w:rPr>
            </w:pPr>
          </w:p>
          <w:p w:rsidR="001206DA" w:rsidRPr="00E56F75" w:rsidRDefault="001206DA" w:rsidP="001206DA">
            <w:pPr>
              <w:rPr>
                <w:b/>
                <w:sz w:val="20"/>
                <w:szCs w:val="20"/>
              </w:rPr>
            </w:pPr>
            <w:r w:rsidRPr="00E56F75">
              <w:rPr>
                <w:b/>
                <w:sz w:val="20"/>
                <w:szCs w:val="20"/>
              </w:rPr>
              <w:t>глави 4</w:t>
            </w:r>
          </w:p>
        </w:tc>
        <w:tc>
          <w:tcPr>
            <w:tcW w:w="1131" w:type="pct"/>
            <w:shd w:val="clear" w:color="auto" w:fill="auto"/>
          </w:tcPr>
          <w:p w:rsidR="00B63C6B" w:rsidRPr="00E56F75" w:rsidRDefault="00B63C6B" w:rsidP="00E56F75">
            <w:pPr>
              <w:shd w:val="clear" w:color="auto" w:fill="FFFFFF"/>
              <w:spacing w:after="150"/>
              <w:ind w:firstLine="450"/>
              <w:jc w:val="both"/>
              <w:rPr>
                <w:noProof w:val="0"/>
                <w:color w:val="000000"/>
              </w:rPr>
            </w:pPr>
            <w:r w:rsidRPr="00E56F75">
              <w:rPr>
                <w:noProof w:val="0"/>
                <w:color w:val="000000"/>
              </w:rPr>
              <w:lastRenderedPageBreak/>
              <w:t xml:space="preserve">1. Для вимірювання та оцінки ризиків </w:t>
            </w:r>
            <w:r w:rsidRPr="00E56F75">
              <w:rPr>
                <w:color w:val="000000"/>
                <w:shd w:val="clear" w:color="auto" w:fill="FFFFFF"/>
              </w:rPr>
              <w:t xml:space="preserve">діяльності з адміністрування недержавних </w:t>
            </w:r>
            <w:r w:rsidRPr="00E56F75">
              <w:rPr>
                <w:color w:val="000000"/>
                <w:shd w:val="clear" w:color="auto" w:fill="FFFFFF"/>
              </w:rPr>
              <w:lastRenderedPageBreak/>
              <w:t>пенсійних фондів</w:t>
            </w:r>
            <w:r w:rsidRPr="00E56F75">
              <w:rPr>
                <w:noProof w:val="0"/>
                <w:color w:val="000000"/>
              </w:rPr>
              <w:t xml:space="preserve"> використовуються такі показники:</w:t>
            </w:r>
          </w:p>
          <w:p w:rsidR="00B63C6B" w:rsidRPr="00E56F75" w:rsidRDefault="00B63C6B" w:rsidP="00E56F75">
            <w:pPr>
              <w:shd w:val="clear" w:color="auto" w:fill="FFFFFF"/>
              <w:spacing w:after="150"/>
              <w:ind w:firstLine="450"/>
              <w:jc w:val="both"/>
              <w:rPr>
                <w:noProof w:val="0"/>
                <w:color w:val="000000"/>
              </w:rPr>
            </w:pPr>
            <w:bookmarkStart w:id="1" w:name="n212"/>
            <w:bookmarkEnd w:id="1"/>
            <w:r w:rsidRPr="00E56F75">
              <w:rPr>
                <w:noProof w:val="0"/>
                <w:color w:val="000000"/>
              </w:rPr>
              <w:t>1) норматив достатності власних коштів;</w:t>
            </w:r>
          </w:p>
          <w:p w:rsidR="00B63C6B" w:rsidRPr="00E56F75" w:rsidRDefault="00B63C6B" w:rsidP="00E56F75">
            <w:pPr>
              <w:shd w:val="clear" w:color="auto" w:fill="FFFFFF"/>
              <w:spacing w:after="150"/>
              <w:ind w:firstLine="450"/>
              <w:jc w:val="both"/>
              <w:rPr>
                <w:noProof w:val="0"/>
                <w:color w:val="000000"/>
              </w:rPr>
            </w:pPr>
            <w:r w:rsidRPr="00E56F75">
              <w:rPr>
                <w:noProof w:val="0"/>
                <w:color w:val="000000"/>
              </w:rPr>
              <w:t>2) коефіцієнт покриття операційного ризику;</w:t>
            </w:r>
          </w:p>
          <w:p w:rsidR="00B63C6B" w:rsidRPr="00E56F75" w:rsidRDefault="00B63C6B" w:rsidP="00E56F75">
            <w:pPr>
              <w:shd w:val="clear" w:color="auto" w:fill="FFFFFF"/>
              <w:ind w:firstLine="450"/>
              <w:jc w:val="both"/>
              <w:rPr>
                <w:noProof w:val="0"/>
                <w:color w:val="000000"/>
              </w:rPr>
            </w:pPr>
            <w:bookmarkStart w:id="2" w:name="n213"/>
            <w:bookmarkEnd w:id="2"/>
            <w:r w:rsidRPr="00E56F75">
              <w:rPr>
                <w:noProof w:val="0"/>
                <w:color w:val="000000"/>
              </w:rPr>
              <w:t>3) н</w:t>
            </w:r>
            <w:r w:rsidRPr="00E56F75">
              <w:rPr>
                <w:bCs/>
                <w:noProof w:val="0"/>
                <w:color w:val="000000"/>
              </w:rPr>
              <w:t>орматив</w:t>
            </w:r>
            <w:r w:rsidRPr="00E56F75">
              <w:rPr>
                <w:color w:val="000000"/>
              </w:rPr>
              <w:t xml:space="preserve"> поточної ліквідності</w:t>
            </w:r>
            <w:r w:rsidRPr="00E56F75">
              <w:rPr>
                <w:noProof w:val="0"/>
                <w:color w:val="000000"/>
              </w:rPr>
              <w:t>.</w:t>
            </w:r>
          </w:p>
          <w:p w:rsidR="00EA2128" w:rsidRDefault="00EA2128" w:rsidP="00E56F75">
            <w:pPr>
              <w:pStyle w:val="rvps2"/>
              <w:spacing w:before="0" w:beforeAutospacing="0" w:after="0" w:afterAutospacing="0"/>
              <w:jc w:val="both"/>
            </w:pPr>
          </w:p>
          <w:p w:rsidR="00B63C6B" w:rsidRPr="00E56F75" w:rsidRDefault="00B63C6B" w:rsidP="00E56F75">
            <w:pPr>
              <w:shd w:val="clear" w:color="auto" w:fill="FFFFFF"/>
              <w:ind w:left="450" w:right="450"/>
              <w:jc w:val="center"/>
              <w:rPr>
                <w:b/>
                <w:color w:val="000000"/>
              </w:rPr>
            </w:pPr>
            <w:r w:rsidRPr="00E56F75">
              <w:rPr>
                <w:b/>
                <w:bCs/>
                <w:noProof w:val="0"/>
                <w:color w:val="000000"/>
              </w:rPr>
              <w:t>4. Норматив</w:t>
            </w:r>
            <w:r w:rsidRPr="00E56F75">
              <w:rPr>
                <w:b/>
                <w:color w:val="000000"/>
              </w:rPr>
              <w:t xml:space="preserve"> поточної ліквідності</w:t>
            </w:r>
          </w:p>
          <w:p w:rsidR="00B63C6B" w:rsidRPr="00E56F75" w:rsidRDefault="00B63C6B" w:rsidP="00E56F75">
            <w:pPr>
              <w:shd w:val="clear" w:color="auto" w:fill="FFFFFF"/>
              <w:ind w:left="450" w:right="450"/>
              <w:jc w:val="center"/>
              <w:rPr>
                <w:noProof w:val="0"/>
                <w:color w:val="000000"/>
              </w:rPr>
            </w:pPr>
          </w:p>
          <w:p w:rsidR="00B63C6B" w:rsidRPr="00E56F75" w:rsidRDefault="00B63C6B" w:rsidP="00E56F75">
            <w:pPr>
              <w:shd w:val="clear" w:color="auto" w:fill="FFFFFF"/>
              <w:ind w:firstLine="450"/>
              <w:jc w:val="both"/>
              <w:rPr>
                <w:noProof w:val="0"/>
                <w:color w:val="000000"/>
              </w:rPr>
            </w:pPr>
            <w:bookmarkStart w:id="3" w:name="n220"/>
            <w:bookmarkEnd w:id="3"/>
            <w:r w:rsidRPr="00E56F75">
              <w:rPr>
                <w:noProof w:val="0"/>
                <w:color w:val="000000"/>
              </w:rPr>
              <w:t xml:space="preserve">1. </w:t>
            </w:r>
            <w:r w:rsidRPr="00E56F75">
              <w:rPr>
                <w:bCs/>
                <w:noProof w:val="0"/>
                <w:color w:val="000000"/>
              </w:rPr>
              <w:t>Норматив</w:t>
            </w:r>
            <w:r w:rsidRPr="00E56F75">
              <w:rPr>
                <w:noProof w:val="0"/>
                <w:color w:val="000000"/>
              </w:rPr>
              <w:t xml:space="preserve"> поточної ліквідності – відношення загальної суми грошових коштів (їх еквівалентів) та поточних фінансових інвестицій адміністратора недержавних пенсійних фондів до його поточних зобов’язань.</w:t>
            </w:r>
          </w:p>
          <w:p w:rsidR="00B63C6B" w:rsidRPr="00E56F75" w:rsidRDefault="00B63C6B" w:rsidP="00E56F75">
            <w:pPr>
              <w:shd w:val="clear" w:color="auto" w:fill="FFFFFF"/>
              <w:ind w:firstLine="450"/>
              <w:jc w:val="both"/>
              <w:rPr>
                <w:noProof w:val="0"/>
                <w:color w:val="000000"/>
              </w:rPr>
            </w:pPr>
          </w:p>
          <w:p w:rsidR="00B63C6B" w:rsidRDefault="00B63C6B" w:rsidP="00E56F75">
            <w:pPr>
              <w:pStyle w:val="rvps2"/>
              <w:spacing w:before="0" w:beforeAutospacing="0" w:after="0" w:afterAutospacing="0"/>
              <w:jc w:val="both"/>
            </w:pPr>
            <w:r w:rsidRPr="00E56F75">
              <w:rPr>
                <w:noProof w:val="0"/>
                <w:color w:val="000000"/>
              </w:rPr>
              <w:t xml:space="preserve">2. </w:t>
            </w:r>
            <w:r w:rsidRPr="00E56F75">
              <w:rPr>
                <w:bCs/>
                <w:noProof w:val="0"/>
                <w:color w:val="000000"/>
              </w:rPr>
              <w:t>Норматив</w:t>
            </w:r>
            <w:r w:rsidRPr="00E56F75">
              <w:rPr>
                <w:noProof w:val="0"/>
                <w:color w:val="000000"/>
              </w:rPr>
              <w:t xml:space="preserve"> поточної ліквідності має підтримуватись адміністратором недержавних пенсійних фондів на рівні не менше ніж 20%.</w:t>
            </w:r>
          </w:p>
        </w:tc>
        <w:tc>
          <w:tcPr>
            <w:tcW w:w="1363" w:type="pct"/>
            <w:shd w:val="clear" w:color="auto" w:fill="auto"/>
          </w:tcPr>
          <w:p w:rsidR="00EA2128" w:rsidRPr="00E56F75" w:rsidRDefault="00B63C6B" w:rsidP="00E56F75">
            <w:pPr>
              <w:jc w:val="both"/>
              <w:rPr>
                <w:b/>
                <w:u w:val="single"/>
              </w:rPr>
            </w:pPr>
            <w:r w:rsidRPr="00E56F75">
              <w:rPr>
                <w:b/>
                <w:u w:val="single"/>
              </w:rPr>
              <w:lastRenderedPageBreak/>
              <w:t>УАІБ</w:t>
            </w:r>
          </w:p>
          <w:p w:rsidR="00B63C6B" w:rsidRDefault="00B63C6B" w:rsidP="00E56F75">
            <w:pPr>
              <w:jc w:val="both"/>
            </w:pPr>
            <w:r w:rsidRPr="00B63C6B">
              <w:t>В</w:t>
            </w:r>
            <w:r>
              <w:t xml:space="preserve">иключити з переліку пруденційних нормативів, що встановлюються до </w:t>
            </w:r>
            <w:r>
              <w:lastRenderedPageBreak/>
              <w:t>адміністраторів НПФ</w:t>
            </w:r>
            <w:r w:rsidR="00543F8B">
              <w:t>,</w:t>
            </w:r>
            <w:r>
              <w:t xml:space="preserve"> норматив поточної ліквідності</w:t>
            </w:r>
            <w:r w:rsidR="001206DA">
              <w:t>.</w:t>
            </w:r>
          </w:p>
          <w:p w:rsidR="000B4B9E" w:rsidRPr="00E56F75" w:rsidRDefault="001206DA" w:rsidP="00E56F75">
            <w:pPr>
              <w:pStyle w:val="aa"/>
              <w:jc w:val="both"/>
              <w:rPr>
                <w:rFonts w:ascii="Times New Roman" w:hAnsi="Times New Roman"/>
                <w:sz w:val="24"/>
                <w:szCs w:val="24"/>
              </w:rPr>
            </w:pPr>
            <w:r w:rsidRPr="00E56F75">
              <w:rPr>
                <w:rFonts w:ascii="Times New Roman" w:hAnsi="Times New Roman"/>
                <w:b/>
                <w:sz w:val="24"/>
                <w:szCs w:val="24"/>
                <w:u w:val="single"/>
                <w:lang w:val="ru-RU"/>
              </w:rPr>
              <w:t>Обгрунтування:</w:t>
            </w:r>
            <w:r w:rsidRPr="00E56F75">
              <w:rPr>
                <w:rFonts w:ascii="Times New Roman" w:hAnsi="Times New Roman"/>
                <w:sz w:val="24"/>
                <w:szCs w:val="24"/>
              </w:rPr>
              <w:t xml:space="preserve"> </w:t>
            </w:r>
          </w:p>
          <w:p w:rsidR="001206DA" w:rsidRPr="00E56F75" w:rsidRDefault="000B4B9E" w:rsidP="00E56F75">
            <w:pPr>
              <w:pStyle w:val="aa"/>
              <w:jc w:val="both"/>
              <w:rPr>
                <w:rFonts w:ascii="Times New Roman" w:hAnsi="Times New Roman"/>
                <w:sz w:val="24"/>
                <w:szCs w:val="24"/>
              </w:rPr>
            </w:pPr>
            <w:r w:rsidRPr="00E56F75">
              <w:rPr>
                <w:rFonts w:ascii="Times New Roman" w:hAnsi="Times New Roman"/>
                <w:sz w:val="24"/>
                <w:szCs w:val="24"/>
                <w:lang w:val="ru-RU"/>
              </w:rPr>
              <w:t>П</w:t>
            </w:r>
            <w:r w:rsidR="001206DA" w:rsidRPr="00E56F75">
              <w:rPr>
                <w:rFonts w:ascii="Times New Roman" w:hAnsi="Times New Roman"/>
                <w:sz w:val="24"/>
                <w:szCs w:val="24"/>
              </w:rPr>
              <w:t xml:space="preserve">о-перше, </w:t>
            </w:r>
            <w:r w:rsidR="001206DA" w:rsidRPr="00E56F75">
              <w:rPr>
                <w:rFonts w:ascii="Times New Roman" w:hAnsi="Times New Roman"/>
                <w:sz w:val="24"/>
                <w:szCs w:val="24"/>
                <w:lang w:val="ru-RU"/>
              </w:rPr>
              <w:t>нормативу поточної ліквідності</w:t>
            </w:r>
            <w:r w:rsidR="001206DA" w:rsidRPr="00E56F75">
              <w:rPr>
                <w:rFonts w:ascii="Times New Roman" w:hAnsi="Times New Roman"/>
                <w:sz w:val="24"/>
                <w:szCs w:val="24"/>
              </w:rPr>
              <w:t xml:space="preserve"> немає серед пруденційних показників, що застосовуються</w:t>
            </w:r>
            <w:r w:rsidR="001206DA" w:rsidRPr="00E56F75">
              <w:rPr>
                <w:rFonts w:ascii="Times New Roman" w:hAnsi="Times New Roman"/>
                <w:sz w:val="24"/>
                <w:szCs w:val="24"/>
                <w:lang w:val="ru-RU"/>
              </w:rPr>
              <w:t xml:space="preserve"> до</w:t>
            </w:r>
            <w:r w:rsidR="001206DA" w:rsidRPr="00E56F75">
              <w:rPr>
                <w:rFonts w:ascii="Times New Roman" w:hAnsi="Times New Roman"/>
                <w:sz w:val="24"/>
                <w:szCs w:val="24"/>
              </w:rPr>
              <w:t xml:space="preserve"> КУА; по-друге, як і у випадку з КУА та фондами в їхньому управлінні, адміністратори НПФ ведуть окремий бухгалтерський облік своїх активів і зобов'язань та активів і зобов'язань НПФ, адміністрування яких вони здійснюють, зокрема персоніфікований </w:t>
            </w:r>
            <w:r w:rsidR="001206DA" w:rsidRPr="00E56F75">
              <w:rPr>
                <w:rFonts w:ascii="Times New Roman" w:hAnsi="Times New Roman"/>
                <w:sz w:val="24"/>
                <w:szCs w:val="24"/>
                <w:lang w:val="ru-RU"/>
              </w:rPr>
              <w:t>о</w:t>
            </w:r>
            <w:r w:rsidR="001206DA" w:rsidRPr="00E56F75">
              <w:rPr>
                <w:rFonts w:ascii="Times New Roman" w:hAnsi="Times New Roman"/>
                <w:sz w:val="24"/>
                <w:szCs w:val="24"/>
              </w:rPr>
              <w:t xml:space="preserve">блік, де індивідуальний пенсійний рахунок відкривається кожному учаснику фонду (ст. 21, 25 Закону України «Про недержавне пенсійне забезпечення»), і не відповідають власними активами за зобов'язання останніх. До того ж самі адміністратори НПФ не здійснюють активні (щоденні або часті) операції зі своїми власними активами. Все це підкреслює відмінність діяльності адміністраторів НПФ від, наприклад, торговців цінними паперами (та від банків), для яких існує природня потреба – виходячи з характеру їхньої діяльності – у контролі й підтриманні поточної ліквідності, та, відповідно, ставить під велике питання економічну сутність і доцільність встановлення такого нормативу для них. (Вже не кажучи про некоректне </w:t>
            </w:r>
            <w:r w:rsidR="001206DA" w:rsidRPr="00E56F75">
              <w:rPr>
                <w:rFonts w:ascii="Times New Roman" w:hAnsi="Times New Roman"/>
                <w:sz w:val="24"/>
                <w:szCs w:val="24"/>
              </w:rPr>
              <w:lastRenderedPageBreak/>
              <w:t>та відмінне від інших пруденційних показників, що розраховуються як математичне співвідношення, встановлення нормативного значення «на рівні не менше ніж 20 %», адже розрахунок відсоткового значення показника у проекті не описано.)</w:t>
            </w:r>
          </w:p>
          <w:p w:rsidR="001206DA" w:rsidRPr="00B63C6B" w:rsidRDefault="001206DA" w:rsidP="00E56F75">
            <w:pPr>
              <w:jc w:val="both"/>
            </w:pPr>
            <w:r w:rsidRPr="001206DA">
              <w:t>На нашу думку, перших двох нормативів цілком достатньо для здійснення ефективного пруденційного нагляду за адміністраторами НПФ. У крайньому разі, більш логічним замість цього нормативу було би застосування до адміністраторів НПФ того ж нормативу, який застосовується до КУА, – коефіцієнта фінансової стійкості, що визначений главою 5 розділу IV Положення № 1597.</w:t>
            </w:r>
          </w:p>
        </w:tc>
        <w:tc>
          <w:tcPr>
            <w:tcW w:w="1119" w:type="pct"/>
            <w:shd w:val="clear" w:color="auto" w:fill="auto"/>
          </w:tcPr>
          <w:p w:rsidR="00EA2128" w:rsidRDefault="00655909" w:rsidP="00E56F75">
            <w:pPr>
              <w:pStyle w:val="a5"/>
              <w:spacing w:before="0" w:beforeAutospacing="0" w:after="0" w:afterAutospacing="0"/>
              <w:jc w:val="both"/>
            </w:pPr>
            <w:r>
              <w:lastRenderedPageBreak/>
              <w:t>Пункт</w:t>
            </w:r>
            <w:r w:rsidRPr="00E56F75">
              <w:rPr>
                <w:lang w:val="en-US"/>
              </w:rPr>
              <w:t>и</w:t>
            </w:r>
            <w:r>
              <w:t xml:space="preserve"> виключено</w:t>
            </w:r>
          </w:p>
        </w:tc>
        <w:tc>
          <w:tcPr>
            <w:tcW w:w="983" w:type="pct"/>
            <w:shd w:val="clear" w:color="auto" w:fill="auto"/>
          </w:tcPr>
          <w:p w:rsidR="00EA2128" w:rsidRPr="00E56F75" w:rsidRDefault="00655909" w:rsidP="00E56F75">
            <w:pPr>
              <w:jc w:val="both"/>
              <w:rPr>
                <w:b/>
                <w:lang w:val="en-US"/>
              </w:rPr>
            </w:pPr>
            <w:r w:rsidRPr="00E56F75">
              <w:rPr>
                <w:b/>
                <w:lang w:val="en-US"/>
              </w:rPr>
              <w:t>Враховано</w:t>
            </w:r>
          </w:p>
          <w:p w:rsidR="00015856" w:rsidRPr="00015856" w:rsidRDefault="00015856" w:rsidP="00E56F75">
            <w:pPr>
              <w:jc w:val="both"/>
            </w:pPr>
          </w:p>
        </w:tc>
      </w:tr>
    </w:tbl>
    <w:p w:rsidR="00DB78CA" w:rsidRPr="00DB78CA" w:rsidRDefault="00DB78CA" w:rsidP="00DB78CA">
      <w:pPr>
        <w:jc w:val="center"/>
      </w:pPr>
    </w:p>
    <w:sectPr w:rsidR="00DB78CA" w:rsidRPr="00DB78CA" w:rsidSect="00DB78CA">
      <w:footerReference w:type="even" r:id="rId14"/>
      <w:footerReference w:type="default" r:id="rId15"/>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39A" w:rsidRDefault="006B039A">
      <w:r>
        <w:separator/>
      </w:r>
    </w:p>
  </w:endnote>
  <w:endnote w:type="continuationSeparator" w:id="0">
    <w:p w:rsidR="006B039A" w:rsidRDefault="006B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F" w:rsidRDefault="008C4B2F" w:rsidP="00427E2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C4B2F" w:rsidRDefault="008C4B2F" w:rsidP="00717A8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2F" w:rsidRDefault="008C4B2F" w:rsidP="00427E2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77217">
      <w:rPr>
        <w:rStyle w:val="a8"/>
      </w:rPr>
      <w:t>1</w:t>
    </w:r>
    <w:r>
      <w:rPr>
        <w:rStyle w:val="a8"/>
      </w:rPr>
      <w:fldChar w:fldCharType="end"/>
    </w:r>
  </w:p>
  <w:p w:rsidR="008C4B2F" w:rsidRDefault="008C4B2F" w:rsidP="00717A8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39A" w:rsidRDefault="006B039A">
      <w:r>
        <w:separator/>
      </w:r>
    </w:p>
  </w:footnote>
  <w:footnote w:type="continuationSeparator" w:id="0">
    <w:p w:rsidR="006B039A" w:rsidRDefault="006B0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374"/>
    <w:multiLevelType w:val="hybridMultilevel"/>
    <w:tmpl w:val="D0E8034E"/>
    <w:lvl w:ilvl="0" w:tplc="2D86D642">
      <w:start w:val="1"/>
      <w:numFmt w:val="decimal"/>
      <w:lvlText w:val="%1."/>
      <w:lvlJc w:val="left"/>
      <w:pPr>
        <w:tabs>
          <w:tab w:val="num" w:pos="1080"/>
        </w:tabs>
        <w:ind w:left="417" w:hanging="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188B4671"/>
    <w:multiLevelType w:val="hybridMultilevel"/>
    <w:tmpl w:val="264E0AA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00C17E3"/>
    <w:multiLevelType w:val="multilevel"/>
    <w:tmpl w:val="7B46B05A"/>
    <w:lvl w:ilvl="0">
      <w:start w:val="1"/>
      <w:numFmt w:val="decimal"/>
      <w:lvlText w:val="%1."/>
      <w:lvlJc w:val="left"/>
      <w:pPr>
        <w:tabs>
          <w:tab w:val="num" w:pos="1408"/>
        </w:tabs>
        <w:ind w:left="745" w:hanging="57"/>
      </w:pPr>
      <w:rPr>
        <w:rFonts w:hint="default"/>
      </w:rPr>
    </w:lvl>
    <w:lvl w:ilvl="1">
      <w:start w:val="1"/>
      <w:numFmt w:val="lowerLetter"/>
      <w:lvlText w:val="%2."/>
      <w:lvlJc w:val="left"/>
      <w:pPr>
        <w:tabs>
          <w:tab w:val="num" w:pos="1768"/>
        </w:tabs>
        <w:ind w:left="1768" w:hanging="360"/>
      </w:pPr>
    </w:lvl>
    <w:lvl w:ilvl="2">
      <w:start w:val="1"/>
      <w:numFmt w:val="lowerRoman"/>
      <w:lvlText w:val="%3."/>
      <w:lvlJc w:val="right"/>
      <w:pPr>
        <w:tabs>
          <w:tab w:val="num" w:pos="2488"/>
        </w:tabs>
        <w:ind w:left="2488" w:hanging="180"/>
      </w:pPr>
    </w:lvl>
    <w:lvl w:ilvl="3">
      <w:start w:val="1"/>
      <w:numFmt w:val="decimal"/>
      <w:lvlText w:val="%4."/>
      <w:lvlJc w:val="left"/>
      <w:pPr>
        <w:tabs>
          <w:tab w:val="num" w:pos="3208"/>
        </w:tabs>
        <w:ind w:left="3208" w:hanging="360"/>
      </w:pPr>
    </w:lvl>
    <w:lvl w:ilvl="4">
      <w:start w:val="1"/>
      <w:numFmt w:val="lowerLetter"/>
      <w:lvlText w:val="%5."/>
      <w:lvlJc w:val="left"/>
      <w:pPr>
        <w:tabs>
          <w:tab w:val="num" w:pos="3928"/>
        </w:tabs>
        <w:ind w:left="3928" w:hanging="360"/>
      </w:pPr>
    </w:lvl>
    <w:lvl w:ilvl="5">
      <w:start w:val="1"/>
      <w:numFmt w:val="lowerRoman"/>
      <w:lvlText w:val="%6."/>
      <w:lvlJc w:val="right"/>
      <w:pPr>
        <w:tabs>
          <w:tab w:val="num" w:pos="4648"/>
        </w:tabs>
        <w:ind w:left="4648" w:hanging="180"/>
      </w:pPr>
    </w:lvl>
    <w:lvl w:ilvl="6">
      <w:start w:val="1"/>
      <w:numFmt w:val="decimal"/>
      <w:lvlText w:val="%7."/>
      <w:lvlJc w:val="left"/>
      <w:pPr>
        <w:tabs>
          <w:tab w:val="num" w:pos="5368"/>
        </w:tabs>
        <w:ind w:left="5368" w:hanging="360"/>
      </w:pPr>
    </w:lvl>
    <w:lvl w:ilvl="7">
      <w:start w:val="1"/>
      <w:numFmt w:val="lowerLetter"/>
      <w:lvlText w:val="%8."/>
      <w:lvlJc w:val="left"/>
      <w:pPr>
        <w:tabs>
          <w:tab w:val="num" w:pos="6088"/>
        </w:tabs>
        <w:ind w:left="6088" w:hanging="360"/>
      </w:pPr>
    </w:lvl>
    <w:lvl w:ilvl="8">
      <w:start w:val="1"/>
      <w:numFmt w:val="lowerRoman"/>
      <w:lvlText w:val="%9."/>
      <w:lvlJc w:val="right"/>
      <w:pPr>
        <w:tabs>
          <w:tab w:val="num" w:pos="6808"/>
        </w:tabs>
        <w:ind w:left="6808" w:hanging="180"/>
      </w:pPr>
    </w:lvl>
  </w:abstractNum>
  <w:abstractNum w:abstractNumId="3" w15:restartNumberingAfterBreak="0">
    <w:nsid w:val="35AD781A"/>
    <w:multiLevelType w:val="hybridMultilevel"/>
    <w:tmpl w:val="325E91DA"/>
    <w:lvl w:ilvl="0" w:tplc="2D86D642">
      <w:start w:val="1"/>
      <w:numFmt w:val="decimal"/>
      <w:lvlText w:val="%1."/>
      <w:lvlJc w:val="left"/>
      <w:pPr>
        <w:tabs>
          <w:tab w:val="num" w:pos="1080"/>
        </w:tabs>
        <w:ind w:left="417" w:hanging="57"/>
      </w:pPr>
      <w:rPr>
        <w:rFonts w:hint="default"/>
      </w:rPr>
    </w:lvl>
    <w:lvl w:ilvl="1" w:tplc="04220019">
      <w:start w:val="1"/>
      <w:numFmt w:val="lowerLetter"/>
      <w:lvlText w:val="%2."/>
      <w:lvlJc w:val="left"/>
      <w:pPr>
        <w:tabs>
          <w:tab w:val="num" w:pos="1768"/>
        </w:tabs>
        <w:ind w:left="1768" w:hanging="360"/>
      </w:pPr>
    </w:lvl>
    <w:lvl w:ilvl="2" w:tplc="0422001B" w:tentative="1">
      <w:start w:val="1"/>
      <w:numFmt w:val="lowerRoman"/>
      <w:lvlText w:val="%3."/>
      <w:lvlJc w:val="right"/>
      <w:pPr>
        <w:tabs>
          <w:tab w:val="num" w:pos="2488"/>
        </w:tabs>
        <w:ind w:left="2488" w:hanging="180"/>
      </w:pPr>
    </w:lvl>
    <w:lvl w:ilvl="3" w:tplc="0422000F" w:tentative="1">
      <w:start w:val="1"/>
      <w:numFmt w:val="decimal"/>
      <w:lvlText w:val="%4."/>
      <w:lvlJc w:val="left"/>
      <w:pPr>
        <w:tabs>
          <w:tab w:val="num" w:pos="3208"/>
        </w:tabs>
        <w:ind w:left="3208" w:hanging="360"/>
      </w:pPr>
    </w:lvl>
    <w:lvl w:ilvl="4" w:tplc="04220019" w:tentative="1">
      <w:start w:val="1"/>
      <w:numFmt w:val="lowerLetter"/>
      <w:lvlText w:val="%5."/>
      <w:lvlJc w:val="left"/>
      <w:pPr>
        <w:tabs>
          <w:tab w:val="num" w:pos="3928"/>
        </w:tabs>
        <w:ind w:left="3928" w:hanging="360"/>
      </w:pPr>
    </w:lvl>
    <w:lvl w:ilvl="5" w:tplc="0422001B" w:tentative="1">
      <w:start w:val="1"/>
      <w:numFmt w:val="lowerRoman"/>
      <w:lvlText w:val="%6."/>
      <w:lvlJc w:val="right"/>
      <w:pPr>
        <w:tabs>
          <w:tab w:val="num" w:pos="4648"/>
        </w:tabs>
        <w:ind w:left="4648" w:hanging="180"/>
      </w:pPr>
    </w:lvl>
    <w:lvl w:ilvl="6" w:tplc="0422000F" w:tentative="1">
      <w:start w:val="1"/>
      <w:numFmt w:val="decimal"/>
      <w:lvlText w:val="%7."/>
      <w:lvlJc w:val="left"/>
      <w:pPr>
        <w:tabs>
          <w:tab w:val="num" w:pos="5368"/>
        </w:tabs>
        <w:ind w:left="5368" w:hanging="360"/>
      </w:pPr>
    </w:lvl>
    <w:lvl w:ilvl="7" w:tplc="04220019" w:tentative="1">
      <w:start w:val="1"/>
      <w:numFmt w:val="lowerLetter"/>
      <w:lvlText w:val="%8."/>
      <w:lvlJc w:val="left"/>
      <w:pPr>
        <w:tabs>
          <w:tab w:val="num" w:pos="6088"/>
        </w:tabs>
        <w:ind w:left="6088" w:hanging="360"/>
      </w:pPr>
    </w:lvl>
    <w:lvl w:ilvl="8" w:tplc="0422001B" w:tentative="1">
      <w:start w:val="1"/>
      <w:numFmt w:val="lowerRoman"/>
      <w:lvlText w:val="%9."/>
      <w:lvlJc w:val="right"/>
      <w:pPr>
        <w:tabs>
          <w:tab w:val="num" w:pos="6808"/>
        </w:tabs>
        <w:ind w:left="6808" w:hanging="180"/>
      </w:pPr>
    </w:lvl>
  </w:abstractNum>
  <w:abstractNum w:abstractNumId="4" w15:restartNumberingAfterBreak="0">
    <w:nsid w:val="4D1D0D9F"/>
    <w:multiLevelType w:val="hybridMultilevel"/>
    <w:tmpl w:val="2F5ADEB0"/>
    <w:lvl w:ilvl="0" w:tplc="15CCAAA2">
      <w:start w:val="1"/>
      <w:numFmt w:val="decimal"/>
      <w:lvlText w:val="%1)"/>
      <w:lvlJc w:val="left"/>
      <w:pPr>
        <w:tabs>
          <w:tab w:val="num" w:pos="1288"/>
        </w:tabs>
        <w:ind w:left="1288" w:hanging="960"/>
      </w:pPr>
      <w:rPr>
        <w:rFonts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DD34FAA"/>
    <w:multiLevelType w:val="hybridMultilevel"/>
    <w:tmpl w:val="CACC8A46"/>
    <w:lvl w:ilvl="0" w:tplc="2D86D642">
      <w:start w:val="1"/>
      <w:numFmt w:val="decimal"/>
      <w:lvlText w:val="%1."/>
      <w:lvlJc w:val="left"/>
      <w:pPr>
        <w:tabs>
          <w:tab w:val="num" w:pos="1080"/>
        </w:tabs>
        <w:ind w:left="417" w:hanging="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56CD4632"/>
    <w:multiLevelType w:val="hybridMultilevel"/>
    <w:tmpl w:val="63702618"/>
    <w:lvl w:ilvl="0" w:tplc="0422000F">
      <w:start w:val="1"/>
      <w:numFmt w:val="decimal"/>
      <w:lvlText w:val="%1."/>
      <w:lvlJc w:val="left"/>
      <w:pPr>
        <w:tabs>
          <w:tab w:val="num" w:pos="1048"/>
        </w:tabs>
        <w:ind w:left="1048" w:hanging="360"/>
      </w:pPr>
    </w:lvl>
    <w:lvl w:ilvl="1" w:tplc="04220019" w:tentative="1">
      <w:start w:val="1"/>
      <w:numFmt w:val="lowerLetter"/>
      <w:lvlText w:val="%2."/>
      <w:lvlJc w:val="left"/>
      <w:pPr>
        <w:tabs>
          <w:tab w:val="num" w:pos="1768"/>
        </w:tabs>
        <w:ind w:left="1768" w:hanging="360"/>
      </w:pPr>
    </w:lvl>
    <w:lvl w:ilvl="2" w:tplc="0422001B" w:tentative="1">
      <w:start w:val="1"/>
      <w:numFmt w:val="lowerRoman"/>
      <w:lvlText w:val="%3."/>
      <w:lvlJc w:val="right"/>
      <w:pPr>
        <w:tabs>
          <w:tab w:val="num" w:pos="2488"/>
        </w:tabs>
        <w:ind w:left="2488" w:hanging="180"/>
      </w:pPr>
    </w:lvl>
    <w:lvl w:ilvl="3" w:tplc="0422000F" w:tentative="1">
      <w:start w:val="1"/>
      <w:numFmt w:val="decimal"/>
      <w:lvlText w:val="%4."/>
      <w:lvlJc w:val="left"/>
      <w:pPr>
        <w:tabs>
          <w:tab w:val="num" w:pos="3208"/>
        </w:tabs>
        <w:ind w:left="3208" w:hanging="360"/>
      </w:pPr>
    </w:lvl>
    <w:lvl w:ilvl="4" w:tplc="04220019" w:tentative="1">
      <w:start w:val="1"/>
      <w:numFmt w:val="lowerLetter"/>
      <w:lvlText w:val="%5."/>
      <w:lvlJc w:val="left"/>
      <w:pPr>
        <w:tabs>
          <w:tab w:val="num" w:pos="3928"/>
        </w:tabs>
        <w:ind w:left="3928" w:hanging="360"/>
      </w:pPr>
    </w:lvl>
    <w:lvl w:ilvl="5" w:tplc="0422001B" w:tentative="1">
      <w:start w:val="1"/>
      <w:numFmt w:val="lowerRoman"/>
      <w:lvlText w:val="%6."/>
      <w:lvlJc w:val="right"/>
      <w:pPr>
        <w:tabs>
          <w:tab w:val="num" w:pos="4648"/>
        </w:tabs>
        <w:ind w:left="4648" w:hanging="180"/>
      </w:pPr>
    </w:lvl>
    <w:lvl w:ilvl="6" w:tplc="0422000F" w:tentative="1">
      <w:start w:val="1"/>
      <w:numFmt w:val="decimal"/>
      <w:lvlText w:val="%7."/>
      <w:lvlJc w:val="left"/>
      <w:pPr>
        <w:tabs>
          <w:tab w:val="num" w:pos="5368"/>
        </w:tabs>
        <w:ind w:left="5368" w:hanging="360"/>
      </w:pPr>
    </w:lvl>
    <w:lvl w:ilvl="7" w:tplc="04220019" w:tentative="1">
      <w:start w:val="1"/>
      <w:numFmt w:val="lowerLetter"/>
      <w:lvlText w:val="%8."/>
      <w:lvlJc w:val="left"/>
      <w:pPr>
        <w:tabs>
          <w:tab w:val="num" w:pos="6088"/>
        </w:tabs>
        <w:ind w:left="6088" w:hanging="360"/>
      </w:pPr>
    </w:lvl>
    <w:lvl w:ilvl="8" w:tplc="0422001B" w:tentative="1">
      <w:start w:val="1"/>
      <w:numFmt w:val="lowerRoman"/>
      <w:lvlText w:val="%9."/>
      <w:lvlJc w:val="right"/>
      <w:pPr>
        <w:tabs>
          <w:tab w:val="num" w:pos="6808"/>
        </w:tabs>
        <w:ind w:left="6808" w:hanging="180"/>
      </w:pPr>
    </w:lvl>
  </w:abstractNum>
  <w:abstractNum w:abstractNumId="7" w15:restartNumberingAfterBreak="0">
    <w:nsid w:val="621930E3"/>
    <w:multiLevelType w:val="hybridMultilevel"/>
    <w:tmpl w:val="BFBE9142"/>
    <w:lvl w:ilvl="0" w:tplc="136EDDFC">
      <w:start w:val="1"/>
      <w:numFmt w:val="decimal"/>
      <w:lvlText w:val="%1."/>
      <w:lvlJc w:val="left"/>
      <w:pPr>
        <w:tabs>
          <w:tab w:val="num" w:pos="1080"/>
        </w:tabs>
        <w:ind w:left="417" w:hanging="57"/>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6EDD621B"/>
    <w:multiLevelType w:val="hybridMultilevel"/>
    <w:tmpl w:val="6A42BD8C"/>
    <w:lvl w:ilvl="0" w:tplc="15CCAAA2">
      <w:start w:val="1"/>
      <w:numFmt w:val="decimal"/>
      <w:lvlText w:val="%1)"/>
      <w:lvlJc w:val="left"/>
      <w:pPr>
        <w:tabs>
          <w:tab w:val="num" w:pos="1288"/>
        </w:tabs>
        <w:ind w:left="1288" w:hanging="960"/>
      </w:pPr>
      <w:rPr>
        <w:rFonts w:hint="default"/>
        <w:sz w:val="24"/>
        <w:szCs w:val="24"/>
      </w:rPr>
    </w:lvl>
    <w:lvl w:ilvl="1" w:tplc="04220019" w:tentative="1">
      <w:start w:val="1"/>
      <w:numFmt w:val="lowerLetter"/>
      <w:lvlText w:val="%2."/>
      <w:lvlJc w:val="left"/>
      <w:pPr>
        <w:tabs>
          <w:tab w:val="num" w:pos="1408"/>
        </w:tabs>
        <w:ind w:left="1408" w:hanging="360"/>
      </w:pPr>
    </w:lvl>
    <w:lvl w:ilvl="2" w:tplc="0422001B" w:tentative="1">
      <w:start w:val="1"/>
      <w:numFmt w:val="lowerRoman"/>
      <w:lvlText w:val="%3."/>
      <w:lvlJc w:val="right"/>
      <w:pPr>
        <w:tabs>
          <w:tab w:val="num" w:pos="2128"/>
        </w:tabs>
        <w:ind w:left="2128" w:hanging="180"/>
      </w:pPr>
    </w:lvl>
    <w:lvl w:ilvl="3" w:tplc="0422000F" w:tentative="1">
      <w:start w:val="1"/>
      <w:numFmt w:val="decimal"/>
      <w:lvlText w:val="%4."/>
      <w:lvlJc w:val="left"/>
      <w:pPr>
        <w:tabs>
          <w:tab w:val="num" w:pos="2848"/>
        </w:tabs>
        <w:ind w:left="2848" w:hanging="360"/>
      </w:pPr>
    </w:lvl>
    <w:lvl w:ilvl="4" w:tplc="04220019" w:tentative="1">
      <w:start w:val="1"/>
      <w:numFmt w:val="lowerLetter"/>
      <w:lvlText w:val="%5."/>
      <w:lvlJc w:val="left"/>
      <w:pPr>
        <w:tabs>
          <w:tab w:val="num" w:pos="3568"/>
        </w:tabs>
        <w:ind w:left="3568" w:hanging="360"/>
      </w:pPr>
    </w:lvl>
    <w:lvl w:ilvl="5" w:tplc="0422001B" w:tentative="1">
      <w:start w:val="1"/>
      <w:numFmt w:val="lowerRoman"/>
      <w:lvlText w:val="%6."/>
      <w:lvlJc w:val="right"/>
      <w:pPr>
        <w:tabs>
          <w:tab w:val="num" w:pos="4288"/>
        </w:tabs>
        <w:ind w:left="4288" w:hanging="180"/>
      </w:pPr>
    </w:lvl>
    <w:lvl w:ilvl="6" w:tplc="0422000F" w:tentative="1">
      <w:start w:val="1"/>
      <w:numFmt w:val="decimal"/>
      <w:lvlText w:val="%7."/>
      <w:lvlJc w:val="left"/>
      <w:pPr>
        <w:tabs>
          <w:tab w:val="num" w:pos="5008"/>
        </w:tabs>
        <w:ind w:left="5008" w:hanging="360"/>
      </w:pPr>
    </w:lvl>
    <w:lvl w:ilvl="7" w:tplc="04220019" w:tentative="1">
      <w:start w:val="1"/>
      <w:numFmt w:val="lowerLetter"/>
      <w:lvlText w:val="%8."/>
      <w:lvlJc w:val="left"/>
      <w:pPr>
        <w:tabs>
          <w:tab w:val="num" w:pos="5728"/>
        </w:tabs>
        <w:ind w:left="5728" w:hanging="360"/>
      </w:pPr>
    </w:lvl>
    <w:lvl w:ilvl="8" w:tplc="0422001B" w:tentative="1">
      <w:start w:val="1"/>
      <w:numFmt w:val="lowerRoman"/>
      <w:lvlText w:val="%9."/>
      <w:lvlJc w:val="right"/>
      <w:pPr>
        <w:tabs>
          <w:tab w:val="num" w:pos="6448"/>
        </w:tabs>
        <w:ind w:left="6448" w:hanging="180"/>
      </w:pPr>
    </w:lvl>
  </w:abstractNum>
  <w:abstractNum w:abstractNumId="9" w15:restartNumberingAfterBreak="0">
    <w:nsid w:val="727C5327"/>
    <w:multiLevelType w:val="hybridMultilevel"/>
    <w:tmpl w:val="6EFADF04"/>
    <w:lvl w:ilvl="0" w:tplc="15CCAAA2">
      <w:start w:val="1"/>
      <w:numFmt w:val="decimal"/>
      <w:lvlText w:val="%1)"/>
      <w:lvlJc w:val="left"/>
      <w:pPr>
        <w:tabs>
          <w:tab w:val="num" w:pos="1288"/>
        </w:tabs>
        <w:ind w:left="1288" w:hanging="960"/>
      </w:pPr>
      <w:rPr>
        <w:rFonts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76F90475"/>
    <w:multiLevelType w:val="hybridMultilevel"/>
    <w:tmpl w:val="15EA2A96"/>
    <w:lvl w:ilvl="0" w:tplc="15CCAAA2">
      <w:start w:val="1"/>
      <w:numFmt w:val="decimal"/>
      <w:lvlText w:val="%1)"/>
      <w:lvlJc w:val="left"/>
      <w:pPr>
        <w:tabs>
          <w:tab w:val="num" w:pos="1288"/>
        </w:tabs>
        <w:ind w:left="1288" w:hanging="960"/>
      </w:pPr>
      <w:rPr>
        <w:rFonts w:hint="default"/>
        <w:sz w:val="24"/>
        <w:szCs w:val="24"/>
      </w:rPr>
    </w:lvl>
    <w:lvl w:ilvl="1" w:tplc="32BCAD10">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8"/>
  </w:num>
  <w:num w:numId="4">
    <w:abstractNumId w:val="10"/>
  </w:num>
  <w:num w:numId="5">
    <w:abstractNumId w:val="4"/>
  </w:num>
  <w:num w:numId="6">
    <w:abstractNumId w:val="9"/>
  </w:num>
  <w:num w:numId="7">
    <w:abstractNumId w:val="3"/>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8CA"/>
    <w:rsid w:val="0000216E"/>
    <w:rsid w:val="00015856"/>
    <w:rsid w:val="00035FBB"/>
    <w:rsid w:val="00041E21"/>
    <w:rsid w:val="00044CCD"/>
    <w:rsid w:val="000B4B9E"/>
    <w:rsid w:val="000F311E"/>
    <w:rsid w:val="00114400"/>
    <w:rsid w:val="0011711A"/>
    <w:rsid w:val="001206DA"/>
    <w:rsid w:val="00152294"/>
    <w:rsid w:val="00166A7F"/>
    <w:rsid w:val="00167220"/>
    <w:rsid w:val="0018602F"/>
    <w:rsid w:val="00194563"/>
    <w:rsid w:val="001D6774"/>
    <w:rsid w:val="001E56B9"/>
    <w:rsid w:val="00227643"/>
    <w:rsid w:val="002307E1"/>
    <w:rsid w:val="00235F86"/>
    <w:rsid w:val="00253234"/>
    <w:rsid w:val="00277217"/>
    <w:rsid w:val="002D2D1C"/>
    <w:rsid w:val="002D7EB7"/>
    <w:rsid w:val="002E7C61"/>
    <w:rsid w:val="002F652F"/>
    <w:rsid w:val="00312C67"/>
    <w:rsid w:val="00320DE8"/>
    <w:rsid w:val="00322440"/>
    <w:rsid w:val="00365733"/>
    <w:rsid w:val="00391E87"/>
    <w:rsid w:val="003D3D8D"/>
    <w:rsid w:val="003D73F9"/>
    <w:rsid w:val="003E6AB8"/>
    <w:rsid w:val="004136C5"/>
    <w:rsid w:val="00422E0A"/>
    <w:rsid w:val="00427E22"/>
    <w:rsid w:val="00490751"/>
    <w:rsid w:val="00494F57"/>
    <w:rsid w:val="00496052"/>
    <w:rsid w:val="004A2C34"/>
    <w:rsid w:val="004A37C2"/>
    <w:rsid w:val="004A7B6E"/>
    <w:rsid w:val="004C19C9"/>
    <w:rsid w:val="004D60A6"/>
    <w:rsid w:val="004E6A85"/>
    <w:rsid w:val="004F48E2"/>
    <w:rsid w:val="00524DE6"/>
    <w:rsid w:val="0053249F"/>
    <w:rsid w:val="00543F8B"/>
    <w:rsid w:val="0054659C"/>
    <w:rsid w:val="00552F98"/>
    <w:rsid w:val="00573B8C"/>
    <w:rsid w:val="005814A7"/>
    <w:rsid w:val="005954EC"/>
    <w:rsid w:val="005B18D7"/>
    <w:rsid w:val="005C15F8"/>
    <w:rsid w:val="005C5051"/>
    <w:rsid w:val="005E6B2C"/>
    <w:rsid w:val="005F1700"/>
    <w:rsid w:val="005F6F94"/>
    <w:rsid w:val="00601950"/>
    <w:rsid w:val="006539CE"/>
    <w:rsid w:val="00655909"/>
    <w:rsid w:val="006717E6"/>
    <w:rsid w:val="00671DBF"/>
    <w:rsid w:val="00681219"/>
    <w:rsid w:val="006B039A"/>
    <w:rsid w:val="006B6944"/>
    <w:rsid w:val="006D2750"/>
    <w:rsid w:val="006E2319"/>
    <w:rsid w:val="006F3BE8"/>
    <w:rsid w:val="00717A85"/>
    <w:rsid w:val="00730A1D"/>
    <w:rsid w:val="00773423"/>
    <w:rsid w:val="00784161"/>
    <w:rsid w:val="007A18C8"/>
    <w:rsid w:val="007B45CC"/>
    <w:rsid w:val="007C1DF0"/>
    <w:rsid w:val="007C518A"/>
    <w:rsid w:val="007D3C1D"/>
    <w:rsid w:val="0081574D"/>
    <w:rsid w:val="00836C7D"/>
    <w:rsid w:val="00873908"/>
    <w:rsid w:val="008B05A6"/>
    <w:rsid w:val="008C4B2F"/>
    <w:rsid w:val="008E6BCD"/>
    <w:rsid w:val="00904A0E"/>
    <w:rsid w:val="00950BF4"/>
    <w:rsid w:val="00990D43"/>
    <w:rsid w:val="009945F3"/>
    <w:rsid w:val="009A36FF"/>
    <w:rsid w:val="009B3D4E"/>
    <w:rsid w:val="009C266A"/>
    <w:rsid w:val="009E52F7"/>
    <w:rsid w:val="00A14B15"/>
    <w:rsid w:val="00A27199"/>
    <w:rsid w:val="00A524DB"/>
    <w:rsid w:val="00A53F33"/>
    <w:rsid w:val="00A879A9"/>
    <w:rsid w:val="00AB0521"/>
    <w:rsid w:val="00AC5CA6"/>
    <w:rsid w:val="00AE354F"/>
    <w:rsid w:val="00B145C3"/>
    <w:rsid w:val="00B2433F"/>
    <w:rsid w:val="00B44C2E"/>
    <w:rsid w:val="00B57E4B"/>
    <w:rsid w:val="00B63C6B"/>
    <w:rsid w:val="00B80AEA"/>
    <w:rsid w:val="00B92173"/>
    <w:rsid w:val="00B9649D"/>
    <w:rsid w:val="00C217C0"/>
    <w:rsid w:val="00C22407"/>
    <w:rsid w:val="00C34048"/>
    <w:rsid w:val="00CC77B5"/>
    <w:rsid w:val="00CD638A"/>
    <w:rsid w:val="00CD7F7E"/>
    <w:rsid w:val="00CE318F"/>
    <w:rsid w:val="00D51F8D"/>
    <w:rsid w:val="00D54C99"/>
    <w:rsid w:val="00D744D7"/>
    <w:rsid w:val="00DB78CA"/>
    <w:rsid w:val="00DD44B4"/>
    <w:rsid w:val="00DE544E"/>
    <w:rsid w:val="00E05105"/>
    <w:rsid w:val="00E32B91"/>
    <w:rsid w:val="00E4236D"/>
    <w:rsid w:val="00E43A40"/>
    <w:rsid w:val="00E56F75"/>
    <w:rsid w:val="00E570AC"/>
    <w:rsid w:val="00E6346B"/>
    <w:rsid w:val="00E772DE"/>
    <w:rsid w:val="00EA2128"/>
    <w:rsid w:val="00EB0858"/>
    <w:rsid w:val="00EB1A99"/>
    <w:rsid w:val="00EC4562"/>
    <w:rsid w:val="00ED5D17"/>
    <w:rsid w:val="00ED7845"/>
    <w:rsid w:val="00EE10E5"/>
    <w:rsid w:val="00EE4B3C"/>
    <w:rsid w:val="00F10D18"/>
    <w:rsid w:val="00F325A0"/>
    <w:rsid w:val="00F37439"/>
    <w:rsid w:val="00F474E8"/>
    <w:rsid w:val="00F54AD7"/>
    <w:rsid w:val="00F97C97"/>
    <w:rsid w:val="00FA4F3D"/>
    <w:rsid w:val="00FB658F"/>
    <w:rsid w:val="00FD4198"/>
    <w:rsid w:val="00FD659B"/>
    <w:rsid w:val="00FF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DCE284-6CDA-4FCA-B230-6E6DCB47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val="ru-RU" w:eastAsia="uk-UA"/>
    </w:rPr>
  </w:style>
  <w:style w:type="paragraph" w:styleId="3">
    <w:name w:val="heading 3"/>
    <w:basedOn w:val="a"/>
    <w:next w:val="a"/>
    <w:qFormat/>
    <w:rsid w:val="00AB0521"/>
    <w:pPr>
      <w:keepNext/>
      <w:spacing w:before="180"/>
      <w:jc w:val="center"/>
      <w:outlineLvl w:val="2"/>
    </w:pPr>
    <w:rPr>
      <w:b/>
      <w:sz w:val="26"/>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DB78CA"/>
    <w:pPr>
      <w:shd w:val="clear" w:color="auto" w:fill="000080"/>
    </w:pPr>
    <w:rPr>
      <w:rFonts w:ascii="Tahoma" w:hAnsi="Tahoma" w:cs="Tahoma"/>
      <w:sz w:val="20"/>
      <w:szCs w:val="20"/>
    </w:rPr>
  </w:style>
  <w:style w:type="table" w:styleId="a4">
    <w:name w:val="Table Grid"/>
    <w:basedOn w:val="a1"/>
    <w:rsid w:val="00DB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0F311E"/>
    <w:pPr>
      <w:spacing w:before="100" w:beforeAutospacing="1" w:after="100" w:afterAutospacing="1"/>
    </w:pPr>
  </w:style>
  <w:style w:type="paragraph" w:styleId="a6">
    <w:name w:val="Balloon Text"/>
    <w:basedOn w:val="a"/>
    <w:semiHidden/>
    <w:rsid w:val="00E570AC"/>
    <w:rPr>
      <w:rFonts w:ascii="Tahoma" w:hAnsi="Tahoma" w:cs="Tahoma"/>
      <w:sz w:val="16"/>
      <w:szCs w:val="16"/>
    </w:rPr>
  </w:style>
  <w:style w:type="paragraph" w:styleId="a7">
    <w:name w:val="footer"/>
    <w:basedOn w:val="a"/>
    <w:rsid w:val="00717A85"/>
    <w:pPr>
      <w:tabs>
        <w:tab w:val="center" w:pos="4819"/>
        <w:tab w:val="right" w:pos="9639"/>
      </w:tabs>
    </w:pPr>
  </w:style>
  <w:style w:type="character" w:styleId="a8">
    <w:name w:val="page number"/>
    <w:basedOn w:val="a0"/>
    <w:rsid w:val="00717A85"/>
  </w:style>
  <w:style w:type="character" w:customStyle="1" w:styleId="rvts15">
    <w:name w:val="rvts15"/>
    <w:basedOn w:val="a0"/>
    <w:rsid w:val="004C19C9"/>
  </w:style>
  <w:style w:type="paragraph" w:customStyle="1" w:styleId="rvps7">
    <w:name w:val="rvps7"/>
    <w:basedOn w:val="a"/>
    <w:rsid w:val="004C19C9"/>
    <w:pPr>
      <w:spacing w:before="100" w:beforeAutospacing="1" w:after="100" w:afterAutospacing="1"/>
    </w:pPr>
  </w:style>
  <w:style w:type="paragraph" w:customStyle="1" w:styleId="rvps2">
    <w:name w:val="rvps2"/>
    <w:basedOn w:val="a"/>
    <w:rsid w:val="00E4236D"/>
    <w:pPr>
      <w:spacing w:before="100" w:beforeAutospacing="1" w:after="100" w:afterAutospacing="1"/>
    </w:pPr>
  </w:style>
  <w:style w:type="character" w:styleId="a9">
    <w:name w:val="Strong"/>
    <w:qFormat/>
    <w:rsid w:val="00E4236D"/>
    <w:rPr>
      <w:b/>
      <w:bCs/>
    </w:rPr>
  </w:style>
  <w:style w:type="paragraph" w:styleId="aa">
    <w:name w:val="No Spacing"/>
    <w:uiPriority w:val="1"/>
    <w:qFormat/>
    <w:rsid w:val="001206DA"/>
    <w:rPr>
      <w:rFonts w:ascii="Calibri" w:eastAsia="Calibri" w:hAnsi="Calibri"/>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11-15" TargetMode="External"/><Relationship Id="rId13" Type="http://schemas.openxmlformats.org/officeDocument/2006/relationships/hyperlink" Target="https://zakon.rada.gov.ua/laws/show/z131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31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311-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akon.rada.gov.ua/laws/show/z1311-15" TargetMode="External"/><Relationship Id="rId4" Type="http://schemas.openxmlformats.org/officeDocument/2006/relationships/settings" Target="settings.xml"/><Relationship Id="rId9" Type="http://schemas.openxmlformats.org/officeDocument/2006/relationships/hyperlink" Target="https://zakon.rada.gov.ua/laws/show/z1311-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E72C-AD78-4A51-BF09-B2D49F81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6486</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vt:lpstr>
      <vt:lpstr>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vt:lpstr>
    </vt:vector>
  </TitlesOfParts>
  <Company>SSMSC</Company>
  <LinksUpToDate>false</LinksUpToDate>
  <CharactersWithSpaces>7608</CharactersWithSpaces>
  <SharedDoc>false</SharedDoc>
  <HLinks>
    <vt:vector size="36" baseType="variant">
      <vt:variant>
        <vt:i4>4390938</vt:i4>
      </vt:variant>
      <vt:variant>
        <vt:i4>15</vt:i4>
      </vt:variant>
      <vt:variant>
        <vt:i4>0</vt:i4>
      </vt:variant>
      <vt:variant>
        <vt:i4>5</vt:i4>
      </vt:variant>
      <vt:variant>
        <vt:lpwstr>https://zakon.rada.gov.ua/laws/show/z1311-15</vt:lpwstr>
      </vt:variant>
      <vt:variant>
        <vt:lpwstr>n414</vt:lpwstr>
      </vt:variant>
      <vt:variant>
        <vt:i4>5177371</vt:i4>
      </vt:variant>
      <vt:variant>
        <vt:i4>12</vt:i4>
      </vt:variant>
      <vt:variant>
        <vt:i4>0</vt:i4>
      </vt:variant>
      <vt:variant>
        <vt:i4>5</vt:i4>
      </vt:variant>
      <vt:variant>
        <vt:lpwstr>https://zakon.rada.gov.ua/laws/show/z1311-15</vt:lpwstr>
      </vt:variant>
      <vt:variant>
        <vt:lpwstr>n408</vt:lpwstr>
      </vt:variant>
      <vt:variant>
        <vt:i4>4784152</vt:i4>
      </vt:variant>
      <vt:variant>
        <vt:i4>9</vt:i4>
      </vt:variant>
      <vt:variant>
        <vt:i4>0</vt:i4>
      </vt:variant>
      <vt:variant>
        <vt:i4>5</vt:i4>
      </vt:variant>
      <vt:variant>
        <vt:lpwstr>https://zakon.rada.gov.ua/laws/show/z1311-15</vt:lpwstr>
      </vt:variant>
      <vt:variant>
        <vt:lpwstr>n238</vt:lpwstr>
      </vt:variant>
      <vt:variant>
        <vt:i4>4390938</vt:i4>
      </vt:variant>
      <vt:variant>
        <vt:i4>6</vt:i4>
      </vt:variant>
      <vt:variant>
        <vt:i4>0</vt:i4>
      </vt:variant>
      <vt:variant>
        <vt:i4>5</vt:i4>
      </vt:variant>
      <vt:variant>
        <vt:lpwstr>https://zakon.rada.gov.ua/laws/show/z1311-15</vt:lpwstr>
      </vt:variant>
      <vt:variant>
        <vt:lpwstr>n414</vt:lpwstr>
      </vt:variant>
      <vt:variant>
        <vt:i4>5177371</vt:i4>
      </vt:variant>
      <vt:variant>
        <vt:i4>3</vt:i4>
      </vt:variant>
      <vt:variant>
        <vt:i4>0</vt:i4>
      </vt:variant>
      <vt:variant>
        <vt:i4>5</vt:i4>
      </vt:variant>
      <vt:variant>
        <vt:lpwstr>https://zakon.rada.gov.ua/laws/show/z1311-15</vt:lpwstr>
      </vt:variant>
      <vt:variant>
        <vt:lpwstr>n408</vt:lpwstr>
      </vt:variant>
      <vt:variant>
        <vt:i4>4784152</vt:i4>
      </vt:variant>
      <vt:variant>
        <vt:i4>0</vt:i4>
      </vt:variant>
      <vt:variant>
        <vt:i4>0</vt:i4>
      </vt:variant>
      <vt:variant>
        <vt:i4>5</vt:i4>
      </vt:variant>
      <vt:variant>
        <vt:lpwstr>https://zakon.rada.gov.ua/laws/show/z1311-15</vt:lpwstr>
      </vt:variant>
      <vt:variant>
        <vt:lpwstr>n238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dc:title>
  <dc:subject/>
  <dc:creator>lyudmila.onoprienko</dc:creator>
  <cp:keywords/>
  <dc:description/>
  <cp:lastModifiedBy>Руслан Кисляк</cp:lastModifiedBy>
  <cp:revision>2</cp:revision>
  <cp:lastPrinted>2018-07-17T12:00:00Z</cp:lastPrinted>
  <dcterms:created xsi:type="dcterms:W3CDTF">2020-05-29T16:47:00Z</dcterms:created>
  <dcterms:modified xsi:type="dcterms:W3CDTF">2020-05-29T16:47:00Z</dcterms:modified>
</cp:coreProperties>
</file>