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4E" w:rsidRDefault="00841F4E" w:rsidP="00841F4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ПОЯСНЮВАЛЬНА ЗАПИСКА</w:t>
      </w:r>
    </w:p>
    <w:p w:rsidR="007C7FF0" w:rsidRPr="00AC2E11" w:rsidRDefault="00841F4E" w:rsidP="007C7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5C5DDF"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проєкту </w:t>
      </w:r>
      <w:r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Національної комісії з цінних паперів та фондового ринку</w:t>
      </w:r>
      <w:bookmarkStart w:id="1" w:name="n1702"/>
      <w:bookmarkEnd w:id="1"/>
      <w:r w:rsidRPr="00AC2E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7FF0" w:rsidRPr="00AC2E11">
        <w:rPr>
          <w:rFonts w:ascii="Times New Roman" w:hAnsi="Times New Roman" w:cs="Times New Roman"/>
          <w:sz w:val="28"/>
          <w:szCs w:val="28"/>
        </w:rPr>
        <w:t xml:space="preserve">«Про затвердження Змін до Положення про порядок забезпечення існування іменних цінних паперів у бездокументарній формі» </w:t>
      </w:r>
    </w:p>
    <w:p w:rsidR="00841F4E" w:rsidRDefault="00841F4E" w:rsidP="007C7FF0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F4E" w:rsidRDefault="00841F4E" w:rsidP="00841F4E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F4E" w:rsidRPr="005C5DDF" w:rsidRDefault="00841F4E" w:rsidP="00841F4E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Резюме</w:t>
      </w: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0FA0" w:rsidRPr="006E510C" w:rsidRDefault="00E90FA0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56C8" w:rsidRPr="005D14BB" w:rsidRDefault="00841F4E" w:rsidP="00EC56C8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28"/>
          <w:szCs w:val="28"/>
          <w:lang w:eastAsia="uk-UA"/>
        </w:rPr>
      </w:pPr>
      <w:r w:rsidRPr="0084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</w:t>
      </w:r>
      <w:r w:rsidR="00D442C4" w:rsidRPr="00D442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ішення Національної комісії з цінних паперів та фондового ринку  </w:t>
      </w:r>
      <w:r w:rsidRPr="00E7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C7FF0" w:rsidRPr="00E7098E">
        <w:rPr>
          <w:rFonts w:ascii="Times New Roman" w:hAnsi="Times New Roman" w:cs="Times New Roman"/>
          <w:sz w:val="28"/>
          <w:szCs w:val="28"/>
        </w:rPr>
        <w:t>Про затвердження Змін до Положення про порядок забезпечення існування іменних цінних паперів у бездокументарній формі»</w:t>
      </w:r>
      <w:r w:rsidR="007C7FF0" w:rsidRPr="003F0F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r w:rsidRPr="00841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E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розроблено </w:t>
      </w:r>
      <w:r w:rsidRPr="006E5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статті 8 Закону України «Про державне регулювання ринку цінних паперів в Україні», Закону України «Про депозитарну систему України», Закону Укра</w:t>
      </w:r>
      <w:r w:rsidR="00232BBA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«Про запобігання та протидію</w:t>
      </w:r>
      <w:r w:rsidR="00EC56C8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5D14BB" w:rsidRPr="005D1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F4E" w:rsidRPr="00062FBE" w:rsidRDefault="00841F4E" w:rsidP="00841F4E">
      <w:pPr>
        <w:tabs>
          <w:tab w:val="left" w:pos="0"/>
          <w:tab w:val="left" w:pos="1134"/>
        </w:tabs>
        <w:spacing w:after="0" w:line="300" w:lineRule="exact"/>
        <w:ind w:firstLine="851"/>
        <w:jc w:val="both"/>
        <w:rPr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>
        <w:rPr>
          <w:rFonts w:ascii="Roboto" w:eastAsia="Times New Roman" w:hAnsi="Roboto" w:cs="Calibri"/>
          <w:b/>
          <w:sz w:val="28"/>
          <w:szCs w:val="28"/>
          <w:lang w:eastAsia="uk-UA"/>
        </w:rPr>
        <w:t xml:space="preserve">2. </w:t>
      </w:r>
      <w:r w:rsidRPr="009F7463">
        <w:rPr>
          <w:rFonts w:ascii="Roboto" w:eastAsia="Times New Roman" w:hAnsi="Roboto" w:cs="Calibri"/>
          <w:b/>
          <w:sz w:val="28"/>
          <w:szCs w:val="28"/>
          <w:lang w:eastAsia="uk-UA"/>
        </w:rPr>
        <w:t>Проблема, яка потребує розв’язання</w:t>
      </w:r>
    </w:p>
    <w:p w:rsidR="00841F4E" w:rsidRPr="00DA7988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b/>
          <w:color w:val="5B9BD5" w:themeColor="accent1"/>
          <w:sz w:val="28"/>
          <w:szCs w:val="28"/>
          <w:lang w:eastAsia="uk-UA"/>
        </w:rPr>
      </w:pPr>
    </w:p>
    <w:p w:rsidR="005C5DDF" w:rsidRPr="00D27BC6" w:rsidRDefault="005C5DDF" w:rsidP="005C5DDF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розроблено відповідно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України»,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з метою приведення </w:t>
      </w:r>
      <w:r w:rsidR="00167B5D" w:rsidRPr="0016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="00167B5D"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порядок забезпечення існування іменних цінних паперів у бездокументарній формі, затвердженого рішенням </w:t>
      </w:r>
      <w:r w:rsidR="00167B5D" w:rsidRPr="0016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Національної </w:t>
      </w:r>
      <w:r w:rsidR="00167B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67B5D"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>омісії</w:t>
      </w:r>
      <w:r w:rsidR="00167B5D" w:rsidRPr="0016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цінних паперів та фондового ринку</w:t>
      </w:r>
      <w:r w:rsidR="00167B5D"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22 січня 2014 року № 47, зареєстрованого в Міністерстві юстиції України 06 лютого 2014 року за № 241/25018 (далі – Положення)</w:t>
      </w:r>
      <w:r w:rsidR="00167B5D" w:rsidRPr="0016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до законодавства, зокрема до вимог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Положення </w:t>
      </w: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D27B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 припинення депозитарною установою провадження професійної діяльності на фондовому ринку - депозитарної діяльності, затвердженого рішенням Національної комісії з цінних паперів та фондового ринку від 08 квітня 2014 року № 431, зареєстрованого в Міністерстві юстиції України 28  квітня 2014 року за №  459/25236 (у редакції рішення Національної комісії з цінних паперів та фондового ринку від 14 листопада 2019 року № 690),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уточнення порядку дій емітентом, професійними учасниками депозитарної системи України.</w:t>
      </w:r>
    </w:p>
    <w:p w:rsidR="005C5DDF" w:rsidRPr="00D27BC6" w:rsidRDefault="005C5DDF" w:rsidP="005C5DDF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28.04.2020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набрав чинності Закон України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знищення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від 06 грудня 2019 року № 361-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(далі – Закон 361-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відповідно до якого втратив чинність Закон України </w:t>
      </w:r>
      <w:r w:rsidRPr="00D27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11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запобігання та протидію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 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14  жовтня 2014 року № 1702-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613C79" w:rsidRPr="0061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(далі </w:t>
      </w:r>
      <w:r w:rsidR="0061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13C79" w:rsidRPr="0061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</w:t>
      </w:r>
      <w:r w:rsidR="0061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1702-VII)</w:t>
      </w:r>
      <w:r w:rsidRPr="00D27B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винятком окремих положень.</w:t>
      </w:r>
      <w:r w:rsidRPr="00D27BC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5C5DDF" w:rsidRPr="00D27BC6" w:rsidRDefault="005C5DDF" w:rsidP="005C5DDF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BC6">
        <w:rPr>
          <w:rFonts w:ascii="Times New Roman" w:hAnsi="Times New Roman" w:cs="Times New Roman"/>
          <w:i/>
          <w:sz w:val="28"/>
          <w:szCs w:val="28"/>
          <w:lang w:eastAsia="uk-UA"/>
        </w:rPr>
        <w:t>Законом</w:t>
      </w:r>
      <w:r w:rsidRPr="00D27BC6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361-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27BC6">
        <w:rPr>
          <w:rFonts w:ascii="Times New Roman" w:hAnsi="Times New Roman" w:cs="Times New Roman"/>
          <w:i/>
          <w:sz w:val="28"/>
          <w:szCs w:val="28"/>
          <w:lang w:eastAsia="uk-UA"/>
        </w:rPr>
        <w:t>, зокрема перебачено збільшення порогової суми фінансових операцій, які підлягають обов’язковому фінансовому моніторингу</w:t>
      </w:r>
      <w:r w:rsidRPr="00D27BC6">
        <w:rPr>
          <w:sz w:val="28"/>
          <w:szCs w:val="28"/>
          <w:lang w:val="ru-RU" w:eastAsia="uk-UA"/>
        </w:rPr>
        <w:t>.</w:t>
      </w:r>
      <w:r w:rsidRPr="00D27BC6">
        <w:rPr>
          <w:b/>
          <w:sz w:val="28"/>
          <w:szCs w:val="28"/>
          <w:lang w:val="ru-RU" w:eastAsia="uk-UA"/>
        </w:rPr>
        <w:t xml:space="preserve"> </w:t>
      </w:r>
      <w:r w:rsidRPr="00D27BC6">
        <w:rPr>
          <w:rFonts w:ascii="Times New Roman" w:hAnsi="Times New Roman" w:cs="Times New Roman"/>
          <w:sz w:val="28"/>
          <w:szCs w:val="28"/>
          <w:lang w:eastAsia="uk-UA"/>
        </w:rPr>
        <w:t>У зв’язку з нововведенням</w:t>
      </w:r>
      <w:r w:rsidRPr="00D27BC6">
        <w:rPr>
          <w:b/>
          <w:sz w:val="28"/>
          <w:szCs w:val="28"/>
          <w:lang w:eastAsia="uk-UA"/>
        </w:rPr>
        <w:t xml:space="preserve"> 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винила необхідність внесення змін до Положення.</w:t>
      </w:r>
    </w:p>
    <w:p w:rsidR="005C5DDF" w:rsidRPr="00D27BC6" w:rsidRDefault="005C5DDF" w:rsidP="005C5DDF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відповідно </w:t>
      </w:r>
      <w:r w:rsidRPr="00D27B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 діючих норм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Положення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>, а саме абзац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другого пункту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абзацу шостого пункту 6</w:t>
      </w:r>
      <w:r w:rsidR="00FC362C" w:rsidRPr="00FC36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розділу </w:t>
      </w:r>
      <w:r w:rsidR="00FC36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FC362C" w:rsidRPr="00FC36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Положення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5DDF" w:rsidRPr="00D27BC6" w:rsidRDefault="005C5DDF" w:rsidP="005C5DDF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27BC6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27BC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«Ідентифікація та верифікація власників цінних паперів</w:t>
      </w:r>
      <w:r w:rsidRPr="00D2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яким були відкриті рахунки в цінних паперах на підставі договору з емітентом,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при виконанні депозитарною установою операцій, пов'язаних з переведенням прав на цінні папери з рахунку у цінних паперах власника, відкритого емітентом на підставі відповідного договору, на рахунок у цінних паперах цього власника, відкритий в іншій депозитарній установі, або на рахунок у цінних паперах цього власника, відкритий йому депозитарною установою до проведення переведення цінних паперів у бездокументарну форму, якщо сумарна номінальна вартість цінних </w:t>
      </w:r>
      <w:r w:rsidRPr="00D27BC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паперів дорівнює чи перевищує 150000 гривень, або суму, еквівалентну зазначеній сумі, у тому числі в іноземній валюті.</w:t>
      </w:r>
    </w:p>
    <w:p w:rsidR="005C5DDF" w:rsidRPr="00D27BC6" w:rsidRDefault="005C5DDF" w:rsidP="005C5DDF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i/>
          <w:strike/>
          <w:color w:val="000000" w:themeColor="text1"/>
          <w:sz w:val="28"/>
          <w:szCs w:val="28"/>
        </w:rPr>
      </w:pPr>
      <w:r w:rsidRPr="00D27BC6">
        <w:rPr>
          <w:color w:val="000000"/>
          <w:sz w:val="28"/>
          <w:szCs w:val="28"/>
          <w:shd w:val="clear" w:color="auto" w:fill="FFFFFF"/>
        </w:rPr>
        <w:t xml:space="preserve">Зазначені норми в частині визначення сумарної номінальної вартості цінних паперів, при якій відбувається ідентифікація та верифікація, були внесені до Положення відповідно до Закону </w:t>
      </w:r>
      <w:r w:rsidRPr="00D27BC6">
        <w:rPr>
          <w:b/>
          <w:sz w:val="28"/>
          <w:szCs w:val="28"/>
          <w:lang w:eastAsia="ru-RU"/>
        </w:rPr>
        <w:t>№ 1702-</w:t>
      </w:r>
      <w:r w:rsidRPr="00D27BC6">
        <w:rPr>
          <w:b/>
          <w:sz w:val="28"/>
          <w:szCs w:val="28"/>
          <w:lang w:val="en-US" w:eastAsia="ru-RU"/>
        </w:rPr>
        <w:t>VII</w:t>
      </w:r>
      <w:r w:rsidRPr="00D27BC6">
        <w:rPr>
          <w:b/>
          <w:sz w:val="28"/>
          <w:szCs w:val="28"/>
          <w:lang w:eastAsia="ru-RU"/>
        </w:rPr>
        <w:t>.</w:t>
      </w:r>
    </w:p>
    <w:p w:rsidR="005C5DDF" w:rsidRPr="00D27BC6" w:rsidRDefault="005C5DDF" w:rsidP="005C5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Водночас в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ідповідно до 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статті 11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</w:t>
      </w:r>
      <w:r w:rsidRPr="00D27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 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361-</w:t>
      </w:r>
      <w:r w:rsidRPr="00D27B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27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7BC6">
        <w:rPr>
          <w:rFonts w:ascii="Times New Roman" w:hAnsi="Times New Roman" w:cs="Times New Roman"/>
          <w:sz w:val="28"/>
          <w:szCs w:val="28"/>
        </w:rPr>
        <w:t xml:space="preserve">суб’єкт первинного фінансового моніторингу </w:t>
      </w:r>
      <w:r w:rsidRPr="00D27BC6">
        <w:rPr>
          <w:rFonts w:ascii="Times New Roman" w:hAnsi="Times New Roman" w:cs="Times New Roman"/>
          <w:i/>
          <w:sz w:val="28"/>
          <w:szCs w:val="28"/>
        </w:rPr>
        <w:t>зобов’язаний</w:t>
      </w:r>
      <w:r w:rsidRPr="00D27BC6">
        <w:rPr>
          <w:rFonts w:ascii="Times New Roman" w:hAnsi="Times New Roman" w:cs="Times New Roman"/>
          <w:sz w:val="28"/>
          <w:szCs w:val="28"/>
        </w:rPr>
        <w:t xml:space="preserve"> здійснювати </w:t>
      </w:r>
      <w:r w:rsidRPr="00D27BC6">
        <w:rPr>
          <w:rFonts w:ascii="Times New Roman" w:hAnsi="Times New Roman" w:cs="Times New Roman"/>
          <w:i/>
          <w:sz w:val="28"/>
          <w:szCs w:val="28"/>
          <w:u w:val="single"/>
        </w:rPr>
        <w:t>належну перевірку</w:t>
      </w:r>
      <w:r w:rsidRPr="00D27BC6">
        <w:rPr>
          <w:rFonts w:ascii="Times New Roman" w:hAnsi="Times New Roman" w:cs="Times New Roman"/>
          <w:i/>
          <w:sz w:val="28"/>
          <w:szCs w:val="28"/>
        </w:rPr>
        <w:t xml:space="preserve"> клієнтів</w:t>
      </w:r>
      <w:r w:rsidRPr="00D27BC6">
        <w:rPr>
          <w:rFonts w:ascii="Times New Roman" w:hAnsi="Times New Roman" w:cs="Times New Roman"/>
          <w:sz w:val="28"/>
          <w:szCs w:val="28"/>
        </w:rPr>
        <w:t xml:space="preserve">. </w:t>
      </w:r>
      <w:r w:rsidRPr="00D27BC6">
        <w:rPr>
          <w:rFonts w:ascii="Times New Roman" w:hAnsi="Times New Roman" w:cs="Times New Roman"/>
          <w:i/>
          <w:sz w:val="28"/>
          <w:szCs w:val="28"/>
        </w:rPr>
        <w:t>Належна перевірка</w:t>
      </w:r>
      <w:r w:rsidRPr="00D27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BC6">
        <w:rPr>
          <w:rFonts w:ascii="Times New Roman" w:hAnsi="Times New Roman" w:cs="Times New Roman"/>
          <w:sz w:val="28"/>
          <w:szCs w:val="28"/>
        </w:rPr>
        <w:t>здійснюється, зокрема в разі:</w:t>
      </w:r>
    </w:p>
    <w:p w:rsidR="005C5DDF" w:rsidRPr="00F712C0" w:rsidRDefault="005C5DDF" w:rsidP="005C5DDF">
      <w:pPr>
        <w:pStyle w:val="rvps2"/>
        <w:spacing w:before="0" w:beforeAutospacing="0" w:after="0" w:afterAutospacing="0"/>
        <w:ind w:firstLine="450"/>
        <w:jc w:val="both"/>
        <w:rPr>
          <w:color w:val="000000"/>
        </w:rPr>
      </w:pPr>
      <w:r w:rsidRPr="00D27BC6">
        <w:rPr>
          <w:sz w:val="28"/>
          <w:szCs w:val="28"/>
        </w:rPr>
        <w:t xml:space="preserve">   </w:t>
      </w:r>
      <w:r w:rsidRPr="00D27BC6">
        <w:rPr>
          <w:i/>
          <w:sz w:val="28"/>
          <w:szCs w:val="28"/>
        </w:rPr>
        <w:t>проведення разової фінансової операції без встановлення ділових відносин з клієнтами якщо сума фінансової операції дорівнює або перевищує суму, визначену ч</w:t>
      </w:r>
      <w:r w:rsidR="00F712C0">
        <w:rPr>
          <w:i/>
          <w:sz w:val="28"/>
          <w:szCs w:val="28"/>
        </w:rPr>
        <w:t>астиною першою статті 20 Закону</w:t>
      </w:r>
      <w:r w:rsidR="00F712C0" w:rsidRPr="00F712C0">
        <w:rPr>
          <w:i/>
        </w:rPr>
        <w:t>;</w:t>
      </w:r>
      <w:r w:rsidRPr="00F712C0">
        <w:t xml:space="preserve"> /Відповідно до статті 20 Закону</w:t>
      </w:r>
      <w:r w:rsidRPr="00F712C0">
        <w:rPr>
          <w:color w:val="000000"/>
        </w:rPr>
        <w:t xml:space="preserve"> фінансові операції є пороговими, якщо сума, на яку здійснюється кожна із них, </w:t>
      </w:r>
      <w:r w:rsidRPr="00F712C0">
        <w:rPr>
          <w:i/>
          <w:color w:val="000000"/>
          <w:u w:val="single"/>
        </w:rPr>
        <w:t>дорівнює чи перевищує 400 тисяч гривень</w:t>
      </w:r>
      <w:r w:rsidRPr="00F712C0">
        <w:rPr>
          <w:color w:val="000000"/>
        </w:rPr>
        <w:t xml:space="preserve"> (для суб’єктів господарювання, які надають послуги у сфері лотерей та/або азартних ігор, - 30 тисяч гривень) або дорівнює чи перевищує суму в іноземній валюті, банківських металах, інших активах, еквівалентну за офіційним курсом гривні до іноземних валют і банківських металів 400 тисяч гривень на момент проведення фінансової операції (для суб’єктів господарювання, які надають послуги у сфері лотерей та/або азартних ігор, - 30 тисяч гривень), за наявності однієї або більше таких ознак:</w:t>
      </w:r>
    </w:p>
    <w:p w:rsidR="005C5DDF" w:rsidRPr="00F712C0" w:rsidRDefault="005C5DDF" w:rsidP="005C5DDF">
      <w:pPr>
        <w:pStyle w:val="rvps2"/>
        <w:spacing w:before="0" w:beforeAutospacing="0" w:after="0" w:afterAutospacing="0"/>
        <w:ind w:firstLine="708"/>
        <w:jc w:val="both"/>
        <w:rPr>
          <w:color w:val="000000"/>
        </w:rPr>
      </w:pPr>
      <w:r w:rsidRPr="00F712C0">
        <w:rPr>
          <w:color w:val="000000"/>
        </w:rPr>
        <w:t xml:space="preserve">зарахування або переказ коштів, надання або отримання кредиту (позики), здійснення інших фінансових операцій у разі, якщо хоча б одна із сторін - учасників фінансової операції має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боротьби з легалізацією (відмиванням) доходів, одержаних злочинним шляхом, фінансуванням тероризму чи фінансуванням розповсюдження зброї масового знищення (в тому числі дипломатичне представництво, посольство, консульство такої </w:t>
      </w:r>
      <w:r w:rsidRPr="00F712C0">
        <w:rPr>
          <w:color w:val="000000"/>
        </w:rPr>
        <w:lastRenderedPageBreak/>
        <w:t>іноземної держави), або однією із сторін - учасників фінансової операції є особа, яка має рахунок у банку, зареєстрованому в зазначеній державі (юрисдикції);</w:t>
      </w:r>
    </w:p>
    <w:p w:rsidR="005C5DDF" w:rsidRPr="00F712C0" w:rsidRDefault="005C5DDF" w:rsidP="005C5DDF">
      <w:pPr>
        <w:pStyle w:val="rvps2"/>
        <w:spacing w:before="0" w:beforeAutospacing="0" w:after="0" w:afterAutospacing="0"/>
        <w:ind w:firstLine="708"/>
        <w:jc w:val="both"/>
        <w:rPr>
          <w:color w:val="000000"/>
        </w:rPr>
      </w:pPr>
      <w:r w:rsidRPr="00F712C0">
        <w:rPr>
          <w:color w:val="000000"/>
        </w:rPr>
        <w:t>фінансові операції політично значущих осіб, членів їх сім’ї та/або осіб, пов’язаних з політично значущими особами;</w:t>
      </w:r>
    </w:p>
    <w:p w:rsidR="005C5DDF" w:rsidRPr="00F712C0" w:rsidRDefault="005C5DDF" w:rsidP="005C5DDF">
      <w:pPr>
        <w:pStyle w:val="rvps2"/>
        <w:spacing w:before="0" w:beforeAutospacing="0" w:after="0" w:afterAutospacing="0"/>
        <w:ind w:firstLine="708"/>
        <w:jc w:val="both"/>
        <w:rPr>
          <w:color w:val="000000"/>
        </w:rPr>
      </w:pPr>
      <w:r w:rsidRPr="00F712C0">
        <w:rPr>
          <w:color w:val="000000"/>
        </w:rPr>
        <w:t>фінансові операції із переказу коштів за кордон (в тому числі до держав, віднесених Кабінетом Міністрів України до офшорних зон);</w:t>
      </w:r>
    </w:p>
    <w:p w:rsidR="005C5DDF" w:rsidRPr="00F712C0" w:rsidRDefault="005C5DDF" w:rsidP="005C5DDF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F712C0">
        <w:rPr>
          <w:color w:val="000000"/>
        </w:rPr>
        <w:t>фінансові операції з готівкою (внесення, переказ, отримання коштів)/</w:t>
      </w:r>
      <w:r w:rsidR="00F712C0">
        <w:rPr>
          <w:color w:val="000000"/>
          <w:lang w:val="ru-RU"/>
        </w:rPr>
        <w:t>;</w:t>
      </w:r>
    </w:p>
    <w:p w:rsidR="005C5DDF" w:rsidRPr="00D27BC6" w:rsidRDefault="005C5DDF" w:rsidP="005C5DDF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</w:p>
    <w:p w:rsidR="005C5DDF" w:rsidRPr="00D27BC6" w:rsidRDefault="005C5DDF" w:rsidP="005C5D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BC6">
        <w:rPr>
          <w:rFonts w:ascii="Times New Roman" w:hAnsi="Times New Roman" w:cs="Times New Roman"/>
          <w:i/>
          <w:sz w:val="28"/>
          <w:szCs w:val="28"/>
        </w:rPr>
        <w:t>встановлення ділових відносин.</w:t>
      </w:r>
    </w:p>
    <w:p w:rsidR="005C5DDF" w:rsidRPr="00D27BC6" w:rsidRDefault="005C5DDF" w:rsidP="005C5DDF">
      <w:pPr>
        <w:spacing w:after="0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DDF" w:rsidRPr="00D27BC6" w:rsidRDefault="005C5DDF" w:rsidP="00D27BC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D27BC6">
        <w:rPr>
          <w:rFonts w:ascii="Times New Roman" w:hAnsi="Times New Roman" w:cs="Times New Roman"/>
          <w:sz w:val="28"/>
          <w:szCs w:val="28"/>
        </w:rPr>
        <w:t xml:space="preserve"> </w:t>
      </w:r>
      <w:r w:rsidRPr="00D27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цьому </w:t>
      </w:r>
      <w:r w:rsidRPr="00D2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належна перевірка</w:t>
      </w:r>
      <w:r w:rsidRPr="00D2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- заходи, що включають</w:t>
      </w:r>
      <w:r w:rsidRPr="00D27B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:</w:t>
      </w:r>
    </w:p>
    <w:p w:rsidR="005C5DDF" w:rsidRPr="00D27BC6" w:rsidRDefault="005C5DDF" w:rsidP="00D27BC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ідентифікацію та верифікацію клієнта (його представника);</w:t>
      </w:r>
    </w:p>
    <w:p w:rsidR="005C5DDF" w:rsidRPr="00D27BC6" w:rsidRDefault="005C5DDF" w:rsidP="00D27B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встановлення </w:t>
      </w:r>
      <w:hyperlink r:id="rId6" w:anchor="w18" w:history="1">
        <w:r w:rsidRPr="00D27B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кінцевого</w:t>
        </w:r>
      </w:hyperlink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бенефіціарного власника клієнта або його відсутності, у тому числі отримання структури власності з метою її розуміння, та даних, що дають змогу встановити </w:t>
      </w:r>
      <w:hyperlink r:id="rId7" w:anchor="w19" w:history="1">
        <w:r w:rsidRPr="00D27B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кінцевого</w:t>
        </w:r>
      </w:hyperlink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бенефіціарного власника, та вжиття заходів з верифікації його особи (за наявності);</w:t>
      </w:r>
    </w:p>
    <w:p w:rsidR="005C5DDF" w:rsidRPr="00D27BC6" w:rsidRDefault="005C5DDF" w:rsidP="00D27B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встановлення (розуміння) мети та характеру майбутніх ділових відносин або проведення фінансової операції;</w:t>
      </w:r>
    </w:p>
    <w:p w:rsidR="005C5DDF" w:rsidRPr="00D27BC6" w:rsidRDefault="005C5DDF" w:rsidP="00D27B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 на постійній основі моніторингу ділових відносин та фінансових операцій клієнта, що здійснюються у процесі таких відносин, щодо відповідності таких фінансових операцій наявній у суб’єкта первинного фінансового моніторингу інформації про клієнта, його діяльність та ризик (у тому числі, в разі необхідності, про джерело коштів, пов’язаних з фінансовими операціями);</w:t>
      </w:r>
    </w:p>
    <w:p w:rsidR="005C5DDF" w:rsidRPr="00D27BC6" w:rsidRDefault="005C5DDF" w:rsidP="00D27B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актуальності отриманих та існуючих документів, даних та інформації про клієнта.</w:t>
      </w:r>
    </w:p>
    <w:p w:rsidR="005C5DDF" w:rsidRPr="00D27BC6" w:rsidRDefault="005C5DDF" w:rsidP="005C5DDF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DDF" w:rsidRPr="00D27BC6" w:rsidRDefault="005C5DDF" w:rsidP="00FD2A47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27BC6">
        <w:rPr>
          <w:color w:val="000000"/>
          <w:sz w:val="28"/>
          <w:szCs w:val="28"/>
        </w:rPr>
        <w:t xml:space="preserve">Також, відповідно до частини п’ятнадцятої статті 11 Закону </w:t>
      </w:r>
      <w:r w:rsidRPr="00D27BC6">
        <w:rPr>
          <w:b/>
          <w:sz w:val="28"/>
          <w:szCs w:val="28"/>
          <w:lang w:eastAsia="ru-RU"/>
        </w:rPr>
        <w:t>361-</w:t>
      </w:r>
      <w:r w:rsidRPr="00D27BC6">
        <w:rPr>
          <w:b/>
          <w:sz w:val="28"/>
          <w:szCs w:val="28"/>
          <w:lang w:val="en-US" w:eastAsia="ru-RU"/>
        </w:rPr>
        <w:t>IX</w:t>
      </w:r>
      <w:r w:rsidRPr="00D27BC6">
        <w:rPr>
          <w:b/>
          <w:color w:val="000000"/>
          <w:sz w:val="28"/>
          <w:szCs w:val="28"/>
        </w:rPr>
        <w:t xml:space="preserve"> </w:t>
      </w:r>
      <w:r w:rsidRPr="00D27BC6">
        <w:rPr>
          <w:color w:val="000000"/>
          <w:sz w:val="28"/>
          <w:szCs w:val="28"/>
        </w:rPr>
        <w:t>нормативно-правовими актами суб’єктів державного фінансового моніторингу, що відповідно до цього Закону виконують функції державного регулювання і нагляду за відповідними суб’єктами первинного фінансового моніторингу</w:t>
      </w:r>
      <w:r w:rsidRPr="00D27BC6">
        <w:rPr>
          <w:i/>
          <w:color w:val="000000"/>
          <w:sz w:val="28"/>
          <w:szCs w:val="28"/>
        </w:rPr>
        <w:t>, може визначатися скорочений перелік ідентифікаційних даних</w:t>
      </w:r>
      <w:r w:rsidRPr="00D27BC6">
        <w:rPr>
          <w:color w:val="000000"/>
          <w:sz w:val="28"/>
          <w:szCs w:val="28"/>
        </w:rPr>
        <w:t>, що з’ясовуються суб’єктами первинного фінансового моніторингу, зокрема у разі:</w:t>
      </w:r>
    </w:p>
    <w:p w:rsidR="005C5DDF" w:rsidRPr="00D27BC6" w:rsidRDefault="005C5DDF" w:rsidP="00FD2A47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bookmarkStart w:id="2" w:name="n373"/>
      <w:bookmarkEnd w:id="2"/>
      <w:r w:rsidRPr="00D27BC6">
        <w:rPr>
          <w:i/>
          <w:color w:val="000000"/>
          <w:sz w:val="28"/>
          <w:szCs w:val="28"/>
        </w:rPr>
        <w:t>встановлення ділових відносин або проведення фінансової операції, якщо клієнтом виступає орган державної влади</w:t>
      </w:r>
      <w:r w:rsidRPr="00D27BC6">
        <w:rPr>
          <w:color w:val="000000"/>
          <w:sz w:val="28"/>
          <w:szCs w:val="28"/>
        </w:rPr>
        <w:t>, фонд соціального страхування, підприємство, що повністю перебуває в державній власності, міжнародна установа чи організація (їх представництво), в яких бере участь Україна відповідно до міжнародних договорів України, згода на обов’язковість яких надана Верховною Радою України, а також міжнародних договорів України, що не підлягають ратифікації. Так, Проєктом у зв’язку з цим передбачається</w:t>
      </w:r>
      <w:r w:rsidRPr="00D27BC6">
        <w:rPr>
          <w:sz w:val="28"/>
          <w:szCs w:val="28"/>
        </w:rPr>
        <w:t xml:space="preserve">: </w:t>
      </w:r>
    </w:p>
    <w:p w:rsidR="005C5DDF" w:rsidRPr="00D27BC6" w:rsidRDefault="005C5DDF" w:rsidP="00FD2A47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27BC6">
        <w:rPr>
          <w:sz w:val="28"/>
          <w:szCs w:val="28"/>
        </w:rPr>
        <w:t>«У випадку, якщо</w:t>
      </w:r>
      <w:r w:rsidRPr="00D27BC6">
        <w:rPr>
          <w:b/>
          <w:color w:val="000000" w:themeColor="text1"/>
          <w:sz w:val="28"/>
          <w:szCs w:val="28"/>
        </w:rPr>
        <w:t xml:space="preserve"> власником є держава або якщо</w:t>
      </w:r>
      <w:r w:rsidRPr="00D27BC6">
        <w:rPr>
          <w:color w:val="000000" w:themeColor="text1"/>
          <w:sz w:val="28"/>
          <w:szCs w:val="28"/>
        </w:rPr>
        <w:t xml:space="preserve"> сумарна номінальна вартість цінних паперів менша</w:t>
      </w:r>
      <w:r w:rsidRPr="00D27BC6">
        <w:rPr>
          <w:b/>
          <w:color w:val="000000" w:themeColor="text1"/>
          <w:sz w:val="28"/>
          <w:szCs w:val="28"/>
          <w:u w:val="single"/>
        </w:rPr>
        <w:t xml:space="preserve"> 400 тисяч гривень </w:t>
      </w:r>
      <w:r w:rsidRPr="00D27BC6">
        <w:rPr>
          <w:color w:val="000000" w:themeColor="text1"/>
          <w:sz w:val="28"/>
          <w:szCs w:val="28"/>
        </w:rPr>
        <w:t xml:space="preserve">або суми, еквівалентної зазначеній сумі, у тому числі в іноземній валюті </w:t>
      </w:r>
      <w:r w:rsidRPr="00D27BC6">
        <w:rPr>
          <w:i/>
          <w:color w:val="000000" w:themeColor="text1"/>
          <w:sz w:val="28"/>
          <w:szCs w:val="28"/>
        </w:rPr>
        <w:t>депозитарна установа</w:t>
      </w:r>
      <w:r w:rsidRPr="00D27BC6">
        <w:rPr>
          <w:color w:val="000000" w:themeColor="text1"/>
          <w:sz w:val="28"/>
          <w:szCs w:val="28"/>
        </w:rPr>
        <w:t xml:space="preserve"> у випадку </w:t>
      </w:r>
      <w:r w:rsidRPr="00D27BC6">
        <w:rPr>
          <w:color w:val="000000"/>
          <w:sz w:val="28"/>
          <w:szCs w:val="28"/>
        </w:rPr>
        <w:lastRenderedPageBreak/>
        <w:t xml:space="preserve">якщо власник іменних цінних паперів випуску, що був переведений у бездокументарну форму існування, має рахунок у цінних паперах в іншій депозитарній установі або у цій депозитарній установі, що обслуговується на підставі договору про відкриття/обслуговування рахунку в цінних паперах, </w:t>
      </w:r>
      <w:r w:rsidRPr="00D27BC6">
        <w:rPr>
          <w:i/>
          <w:color w:val="000000"/>
          <w:sz w:val="28"/>
          <w:szCs w:val="28"/>
        </w:rPr>
        <w:t>повинна здійснити</w:t>
      </w:r>
      <w:r w:rsidRPr="00D27BC6">
        <w:rPr>
          <w:color w:val="000000"/>
          <w:sz w:val="28"/>
          <w:szCs w:val="28"/>
        </w:rPr>
        <w:t xml:space="preserve"> переведення прав на цінні папери з рахунку в цінних паперах власника, відкритого емітентом (з наступним закриттям цього рахунку за розпорядженням керівника депозитарної установи або уповноваженої ним особи), - </w:t>
      </w:r>
      <w:r w:rsidRPr="00D27BC6">
        <w:rPr>
          <w:i/>
          <w:color w:val="000000"/>
          <w:sz w:val="28"/>
          <w:szCs w:val="28"/>
        </w:rPr>
        <w:t xml:space="preserve">тільки якщо буде подано розпорядження, анкета рахунку в цінних паперах, що оформлюється згідно зі зразком, встановленим внутрішніми документами депозитарної установи (у разі якщо внутрішніми документами депозитарної установи передбачено подання відповідної анкети у формі паперового документа), або подана інформація, необхідна для заповнення анкети (у разі якщо внутрішніми документами депозитарної установи передбачено її формування у формі електронного документа), </w:t>
      </w:r>
      <w:r w:rsidRPr="00D27BC6">
        <w:rPr>
          <w:i/>
          <w:color w:val="000000" w:themeColor="text1"/>
          <w:sz w:val="28"/>
          <w:szCs w:val="28"/>
        </w:rPr>
        <w:t>та документи щодо встановлення особи власника відповідно до законодавства та внутрішніх документів депозитарної установи.</w:t>
      </w:r>
    </w:p>
    <w:p w:rsidR="005C5DDF" w:rsidRDefault="005C5DDF" w:rsidP="00FD2A47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7B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 випадку</w:t>
      </w:r>
      <w:r w:rsidRPr="00D2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якщо власником не є держава або</w:t>
      </w: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якщо сумарна номінальна вартість цінних паперів дорівнює чи перевищує</w:t>
      </w:r>
      <w:r w:rsidRPr="00D2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400 тисяч гривень, </w:t>
      </w: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або суму, еквівалентну зазначеній сумі, у тому числі в іноземній валюті)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депозитарна установа </w:t>
      </w:r>
      <w:r w:rsidRPr="00D27B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здійснює ідентифікацію та верифікацію.</w:t>
      </w:r>
    </w:p>
    <w:p w:rsidR="000D49F4" w:rsidRPr="000D49F4" w:rsidRDefault="000D49F4" w:rsidP="000D49F4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цьому передбачається, що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 w:rsidRPr="000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епозитарна установа, до укладання договору про обслуговування рахунку в цінних паперах з власником або переведення прав на цінні папери до депозитарної установи, в якій власнику відкрито рахунок, приймає від емітента щодо рахунків у цінних паперах, відкритих відповідно до договору про відкриття/обслуговування рахунків у цінних паперах власників, зокрема - розпорядження про внесення змін до інформації про власника цінних паперів (</w:t>
      </w:r>
      <w:r w:rsidRPr="000D4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крім держави</w:t>
      </w:r>
      <w:r w:rsidRPr="000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0D4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та</w:t>
      </w:r>
      <w:r w:rsidRPr="000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тільки стосовно власників, що є власниками іменних цінних паперів, що були переведені у бездокументарну форму, сумарна номінальна вартість яких не перевищує 50 неоподатковуваних мінімумів доход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 громадян).</w:t>
      </w:r>
    </w:p>
    <w:p w:rsidR="00841F4E" w:rsidRPr="00D27BC6" w:rsidRDefault="00841F4E" w:rsidP="00D27BC6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  <w:bookmarkStart w:id="3" w:name="n113"/>
      <w:bookmarkEnd w:id="3"/>
    </w:p>
    <w:p w:rsidR="00841F4E" w:rsidRPr="00D27BC6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D27BC6">
        <w:rPr>
          <w:rFonts w:ascii="Roboto" w:eastAsia="Times New Roman" w:hAnsi="Roboto" w:cs="Calibri"/>
          <w:b/>
          <w:sz w:val="28"/>
          <w:szCs w:val="28"/>
          <w:lang w:eastAsia="uk-UA"/>
        </w:rPr>
        <w:t>3. Суть акта</w:t>
      </w:r>
    </w:p>
    <w:p w:rsidR="00C92560" w:rsidRPr="00E90FA0" w:rsidRDefault="00C92560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841F4E" w:rsidRPr="00E90FA0" w:rsidRDefault="00C92560" w:rsidP="00C92560">
      <w:pPr>
        <w:tabs>
          <w:tab w:val="left" w:pos="0"/>
          <w:tab w:val="left" w:pos="1134"/>
        </w:tabs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0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Проєкт розроблено </w:t>
      </w:r>
      <w:r w:rsidRPr="00E9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</w:t>
      </w:r>
      <w:r w:rsidRPr="00E90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пункту 13 статті 8 Закону України «Про державне регулювання ринку цінних паперів в Україні», Закону України «Про депозитарну систему України», Закону Укра</w:t>
      </w:r>
      <w:r w:rsidR="00D27BC6" w:rsidRPr="00E90FA0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«Про запобігання та протидію</w:t>
      </w:r>
      <w:r w:rsidRPr="00E9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:rsidR="00B42152" w:rsidRPr="00E90FA0" w:rsidRDefault="00B42152" w:rsidP="00B42152">
      <w:pPr>
        <w:tabs>
          <w:tab w:val="left" w:pos="0"/>
          <w:tab w:val="left" w:pos="1134"/>
        </w:tabs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Проєктом вносяться зміни з метою приведення Положення у відповідність до вимог Закону України </w:t>
      </w:r>
      <w:r w:rsidR="00FD2A47" w:rsidRPr="00E90F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запобігання та протидію</w:t>
      </w:r>
      <w:r w:rsidRPr="00E9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 та Положення </w:t>
      </w:r>
      <w:r w:rsidRPr="00E90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 припинення депозитарною установою провадження професійної діяльності на фондовому ринку - депозитарної діяльності, затвердженого рішенням </w:t>
      </w:r>
      <w:r w:rsidR="00FD2A47"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Національної к</w:t>
      </w:r>
      <w:r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омісії</w:t>
      </w:r>
      <w:r w:rsidR="00FD2A47"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 цінних паперів та фондового ринку</w:t>
      </w:r>
      <w:r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від 08 квітня 2014 року, зареєстрованого в Міністерстві юстиції України 28 квітня 2014 року за № 459/25236 (у редакції рішення </w:t>
      </w:r>
      <w:r w:rsidR="00FD2A47"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Національної к</w:t>
      </w:r>
      <w:r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омісії </w:t>
      </w:r>
      <w:r w:rsidR="00FD2A47"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 цінних паперів та фондового ринку </w:t>
      </w:r>
      <w:r w:rsidRPr="00E9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від 14 листопада 2019 року № 690).</w:t>
      </w:r>
    </w:p>
    <w:p w:rsidR="00841F4E" w:rsidRPr="00D27BC6" w:rsidRDefault="00841F4E" w:rsidP="00B42152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841F4E" w:rsidRPr="00D27BC6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b/>
          <w:sz w:val="28"/>
          <w:szCs w:val="28"/>
          <w:lang w:eastAsia="uk-UA"/>
        </w:rPr>
      </w:pPr>
      <w:r w:rsidRPr="00D27BC6">
        <w:rPr>
          <w:rFonts w:ascii="Roboto" w:eastAsia="Times New Roman" w:hAnsi="Roboto" w:cs="Calibri"/>
          <w:b/>
          <w:sz w:val="28"/>
          <w:szCs w:val="28"/>
          <w:lang w:eastAsia="uk-UA"/>
        </w:rPr>
        <w:t>4. Вплив на бюджет</w:t>
      </w:r>
    </w:p>
    <w:p w:rsidR="00841F4E" w:rsidRPr="00D27BC6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841F4E" w:rsidRPr="00D27BC6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  <w:r w:rsidRPr="00D27BC6">
        <w:rPr>
          <w:rFonts w:ascii="Roboto" w:eastAsia="Times New Roman" w:hAnsi="Roboto" w:cs="Calibri"/>
          <w:sz w:val="28"/>
          <w:szCs w:val="28"/>
          <w:lang w:eastAsia="uk-UA"/>
        </w:rPr>
        <w:t xml:space="preserve">Реалізація </w:t>
      </w:r>
      <w:r w:rsidRPr="00D27BC6">
        <w:rPr>
          <w:rFonts w:ascii="Roboto" w:eastAsia="Times New Roman" w:hAnsi="Roboto" w:cs="Calibri"/>
          <w:sz w:val="28"/>
          <w:szCs w:val="28"/>
          <w:lang w:val="ru-RU" w:eastAsia="uk-UA"/>
        </w:rPr>
        <w:t>Проєкту</w:t>
      </w:r>
      <w:r w:rsidRPr="00D27BC6">
        <w:rPr>
          <w:rFonts w:ascii="Roboto" w:eastAsia="Times New Roman" w:hAnsi="Roboto" w:cs="Calibri"/>
          <w:sz w:val="28"/>
          <w:szCs w:val="28"/>
          <w:lang w:eastAsia="uk-UA"/>
        </w:rPr>
        <w:t xml:space="preserve"> не потребує фінансування з державного чи місцевого бюджетів.</w:t>
      </w: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841F4E" w:rsidRDefault="00841F4E" w:rsidP="00841F4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Позиція заінтересованих сторін</w:t>
      </w:r>
    </w:p>
    <w:p w:rsidR="00841F4E" w:rsidRPr="00BB17F5" w:rsidRDefault="00841F4E" w:rsidP="00841F4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41F4E" w:rsidRDefault="00841F4E" w:rsidP="00841F4E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41F4E">
        <w:rPr>
          <w:sz w:val="28"/>
          <w:szCs w:val="28"/>
        </w:rPr>
        <w:t>Проєкт</w:t>
      </w:r>
      <w:r w:rsidRPr="00C313C8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Pr="009269B2">
        <w:rPr>
          <w:color w:val="000000" w:themeColor="text1"/>
          <w:sz w:val="28"/>
          <w:szCs w:val="28"/>
        </w:rPr>
        <w:t>сфери наукової та науково-технічної діяль</w:t>
      </w:r>
      <w:r>
        <w:rPr>
          <w:color w:val="000000" w:themeColor="text1"/>
          <w:sz w:val="28"/>
          <w:szCs w:val="28"/>
        </w:rPr>
        <w:t>ності, прав осіб з інвалідністю.</w:t>
      </w:r>
    </w:p>
    <w:p w:rsidR="00841F4E" w:rsidRDefault="00841F4E" w:rsidP="00841F4E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Проє</w:t>
      </w:r>
      <w:r w:rsidRPr="00AF5CB7">
        <w:rPr>
          <w:sz w:val="28"/>
          <w:szCs w:val="28"/>
        </w:rPr>
        <w:t xml:space="preserve">кт </w:t>
      </w:r>
      <w:r>
        <w:rPr>
          <w:sz w:val="28"/>
          <w:szCs w:val="28"/>
        </w:rPr>
        <w:t xml:space="preserve">оприлюднено відповідно до Закону України «Про державне регулювання ринку цінних паперів в Україні» </w:t>
      </w:r>
      <w:r w:rsidRPr="00AF5CB7">
        <w:rPr>
          <w:sz w:val="28"/>
          <w:szCs w:val="28"/>
        </w:rPr>
        <w:t xml:space="preserve">на офіційному сайті </w:t>
      </w:r>
      <w:r w:rsidR="00E90FA0" w:rsidRPr="00E90FA0">
        <w:rPr>
          <w:sz w:val="28"/>
          <w:szCs w:val="28"/>
        </w:rPr>
        <w:t xml:space="preserve">Національної </w:t>
      </w:r>
      <w:r w:rsidR="00E90FA0">
        <w:rPr>
          <w:sz w:val="28"/>
          <w:szCs w:val="28"/>
        </w:rPr>
        <w:t>к</w:t>
      </w:r>
      <w:r w:rsidRPr="00AF5CB7">
        <w:rPr>
          <w:sz w:val="28"/>
          <w:szCs w:val="28"/>
        </w:rPr>
        <w:t>омісії</w:t>
      </w:r>
      <w:r w:rsidR="00E90FA0" w:rsidRPr="0054745C">
        <w:rPr>
          <w:sz w:val="28"/>
          <w:szCs w:val="28"/>
        </w:rPr>
        <w:t xml:space="preserve"> з цінних паперів та фондового ринку</w:t>
      </w:r>
      <w:r w:rsidRPr="00AF5CB7">
        <w:rPr>
          <w:sz w:val="28"/>
          <w:szCs w:val="28"/>
        </w:rPr>
        <w:t xml:space="preserve"> (http:// www.nssmc.gov.ua) </w:t>
      </w:r>
      <w:r w:rsidR="004142BD">
        <w:rPr>
          <w:sz w:val="28"/>
          <w:szCs w:val="28"/>
        </w:rPr>
        <w:t>з метою</w:t>
      </w:r>
      <w:r w:rsidR="004142BD" w:rsidRPr="004142BD">
        <w:rPr>
          <w:sz w:val="28"/>
          <w:szCs w:val="28"/>
        </w:rPr>
        <w:t xml:space="preserve"> отримання </w:t>
      </w:r>
      <w:r w:rsidRPr="00AF5CB7">
        <w:rPr>
          <w:sz w:val="28"/>
          <w:szCs w:val="28"/>
        </w:rPr>
        <w:t xml:space="preserve">зауважень та пропозицій. </w:t>
      </w:r>
    </w:p>
    <w:p w:rsidR="001035AA" w:rsidRPr="003B3714" w:rsidRDefault="00A04F63" w:rsidP="003B3714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09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1035AA" w:rsidRPr="001035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Інформацію про результати розгляду зауважень та пропозицій до </w:t>
      </w:r>
      <w:r w:rsidR="00745369" w:rsidRPr="00745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Проєкту</w:t>
      </w:r>
      <w:r w:rsidR="001035AA" w:rsidRPr="001035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(у разі їх наявності) буде оприлюднено на офіційному </w:t>
      </w:r>
      <w:r w:rsidR="0054745C" w:rsidRPr="005474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сайті</w:t>
      </w:r>
      <w:r w:rsidR="001035AA" w:rsidRPr="001035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Національної комісії з цінних паперів та фондового ринку в установленому законодавством порядку.</w:t>
      </w:r>
    </w:p>
    <w:p w:rsidR="003B3714" w:rsidRPr="003B3714" w:rsidRDefault="00A04F63" w:rsidP="003B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3B3714" w:rsidRPr="003B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Строк, протягом якого приймаються зауваження та пропозиції від фізичних та юридичних осіб, їх об'єднань, становить 10 робочих днів з дати оприлюднення </w:t>
      </w:r>
      <w:r w:rsidR="003B3714" w:rsidRPr="003B3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r w:rsidR="003B3714" w:rsidRPr="003B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F4E" w:rsidRPr="003B3714" w:rsidRDefault="00841F4E" w:rsidP="008C33C5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08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 Прогноз впливу</w:t>
      </w:r>
    </w:p>
    <w:p w:rsidR="00841F4E" w:rsidRPr="00B80816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41F4E" w:rsidRPr="00051558" w:rsidRDefault="00841F4E" w:rsidP="00841F4E">
      <w:pPr>
        <w:tabs>
          <w:tab w:val="left" w:pos="0"/>
        </w:tabs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Очікуваний вплив реалізації </w:t>
      </w:r>
      <w:r w:rsidR="008C33C5" w:rsidRPr="004143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Проєкту</w:t>
      </w: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на:</w:t>
      </w:r>
    </w:p>
    <w:p w:rsidR="00841F4E" w:rsidRPr="0041437A" w:rsidRDefault="00841F4E" w:rsidP="0041437A">
      <w:pPr>
        <w:tabs>
          <w:tab w:val="left" w:pos="0"/>
          <w:tab w:val="left" w:pos="1134"/>
        </w:tabs>
        <w:spacing w:after="0" w:line="300" w:lineRule="exact"/>
        <w:ind w:firstLine="851"/>
        <w:jc w:val="both"/>
        <w:rPr>
          <w:sz w:val="28"/>
          <w:szCs w:val="28"/>
          <w:lang w:eastAsia="uk-UA"/>
        </w:rPr>
      </w:pPr>
      <w:r w:rsidRPr="001D58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</w:t>
      </w:r>
      <w:r w:rsidRPr="0005155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инкове середовище, забезпечення прав та інтересів суб’єктів господарювання, громадян і держави, розвиток регіонів, ринок праці, сфери суспільних відносин</w:t>
      </w: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1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 спрямовано</w:t>
      </w:r>
      <w:r w:rsidR="0041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приведення</w:t>
      </w:r>
      <w:r w:rsidR="0041437A" w:rsidRPr="0041437A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 xml:space="preserve"> </w:t>
      </w:r>
      <w:r w:rsidR="0041437A" w:rsidRPr="00B42152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 xml:space="preserve">Положення у відповідність до вимог Закону України </w:t>
      </w:r>
      <w:r w:rsidR="00B507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запобігання та протиді</w:t>
      </w:r>
      <w:r w:rsidR="00B5075B" w:rsidRPr="00B507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1437A"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41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Положення </w:t>
      </w:r>
      <w:r w:rsidR="0041437A" w:rsidRPr="00E8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41437A"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 припинення депозитарною установою провадження професійної діяльності на фондовому ринку - депозитарної діяльності, затвердженого рішенням</w:t>
      </w:r>
      <w:r w:rsidR="00B5075B" w:rsidRP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Національної</w:t>
      </w:r>
      <w:r w:rsid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41437A"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омісії</w:t>
      </w:r>
      <w:r w:rsidR="00B5075B" w:rsidRP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 цінних паперів та фондового ринку</w:t>
      </w:r>
      <w:r w:rsidR="0041437A"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від 08 квітня 2014 року, зареєстрованого в Міністерстві юстиції України 28 квітня 2014 року за №</w:t>
      </w:r>
      <w:r w:rsid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 </w:t>
      </w:r>
      <w:r w:rsidR="0041437A"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459/25236 (у редакції рішення </w:t>
      </w:r>
      <w:r w:rsidR="00B5075B" w:rsidRP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Національної </w:t>
      </w:r>
      <w:r w:rsid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41437A"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омісії</w:t>
      </w:r>
      <w:r w:rsidR="00B5075B" w:rsidRPr="00B507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 цінних паперів та фондового ринку</w:t>
      </w:r>
      <w:r w:rsidR="0041437A"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від 14 листопада 2019 року № 690)</w:t>
      </w:r>
      <w:r w:rsidR="004143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що в свою чергу буде сприяти забезпеченню прав та інтересів власників, учасників фондового ринку</w:t>
      </w:r>
      <w:r w:rsidRPr="00414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41F4E" w:rsidRPr="00051558" w:rsidRDefault="00841F4E" w:rsidP="00841F4E">
      <w:pPr>
        <w:tabs>
          <w:tab w:val="left" w:pos="0"/>
        </w:tabs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155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громадське здоров’я, екологію та навколишнє природне середовище, обсяг природних ресурсів, рівень забрудненого атмосферного повітря, води, земель</w:t>
      </w: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Pr="00841F4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роєкт</w:t>
      </w:r>
      <w:r w:rsidRPr="00051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предметом правового регулювання не регулює зазначені сфери.</w:t>
      </w:r>
    </w:p>
    <w:p w:rsidR="00841F4E" w:rsidRDefault="00841F4E" w:rsidP="00841F4E">
      <w:pPr>
        <w:tabs>
          <w:tab w:val="left" w:pos="0"/>
        </w:tabs>
        <w:spacing w:after="0" w:line="300" w:lineRule="exac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6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Реалізація </w:t>
      </w:r>
      <w:r w:rsidRPr="0084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Проєкту</w:t>
      </w:r>
      <w:r w:rsidRPr="00926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матиме впливу на </w:t>
      </w:r>
      <w:r w:rsidRPr="009269B2">
        <w:rPr>
          <w:rFonts w:ascii="Times New Roman" w:hAnsi="Times New Roman"/>
          <w:color w:val="000000" w:themeColor="text1"/>
          <w:sz w:val="28"/>
          <w:szCs w:val="28"/>
        </w:rPr>
        <w:t>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841F4E" w:rsidRPr="00C64DC8" w:rsidRDefault="00A241EA" w:rsidP="00841F4E">
      <w:pPr>
        <w:tabs>
          <w:tab w:val="left" w:pos="0"/>
        </w:tabs>
        <w:spacing w:after="0" w:line="300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 </w:t>
      </w:r>
      <w:r w:rsidR="00863281"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розроблений з метою</w:t>
      </w:r>
      <w:r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приведення Положення у відпо</w:t>
      </w:r>
      <w:r w:rsidR="00863281"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відність до вимог законодавства, та з мет</w:t>
      </w:r>
      <w:r w:rsidR="00974962"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 удосконалення </w:t>
      </w:r>
      <w:r w:rsidR="007658C7" w:rsidRPr="007658C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його норм</w:t>
      </w:r>
      <w:r w:rsidR="00974962"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 свою чергу буде забезпечувати виконання вимог в частині приведення у </w:t>
      </w:r>
      <w:r w:rsidR="00C64DC8"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</w:t>
      </w:r>
      <w:r w:rsidR="00974962"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вимог законодавства, а також буде сприяти усуненню недоліків в нормативно-правовому акті.</w:t>
      </w:r>
    </w:p>
    <w:p w:rsidR="00841F4E" w:rsidRPr="00C27305" w:rsidRDefault="00841F4E" w:rsidP="00841F4E">
      <w:pPr>
        <w:tabs>
          <w:tab w:val="left" w:pos="0"/>
        </w:tabs>
        <w:spacing w:after="0" w:line="300" w:lineRule="exac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4D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 результатів</w:t>
      </w:r>
      <w:r w:rsidRPr="00C313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реалізації </w:t>
      </w:r>
      <w:r w:rsidRPr="00841F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r w:rsidRPr="00C313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учасників депозитарної системи України, інвесторів, а також не буде містити ризиків та негативних результатів при реалізації положень </w:t>
      </w:r>
      <w:r w:rsidRPr="00841F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r w:rsidRPr="00C313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41F4E" w:rsidRDefault="00841F4E" w:rsidP="000A2DF1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7. Позиція заінтересованих органів</w:t>
      </w: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2DF1" w:rsidRPr="000A2DF1" w:rsidRDefault="000A2DF1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0A2DF1">
        <w:rPr>
          <w:rFonts w:ascii="Times New Roman" w:hAnsi="Times New Roman" w:cs="Times New Roman"/>
          <w:sz w:val="28"/>
          <w:szCs w:val="28"/>
          <w:lang w:eastAsia="ru-RU"/>
        </w:rPr>
        <w:t>Проєкт потребує проведення цифрової експертизи та отримання висновку Міністерства цифрової трансформації України</w:t>
      </w:r>
      <w:r w:rsidRPr="000A2DF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41F4E" w:rsidRPr="00B5075B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line="3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075B">
        <w:rPr>
          <w:rFonts w:ascii="Roboto" w:hAnsi="Roboto"/>
          <w:color w:val="222222"/>
          <w:sz w:val="28"/>
          <w:szCs w:val="28"/>
          <w:shd w:val="clear" w:color="auto" w:fill="FFFFFF"/>
          <w:lang w:val="ru-RU"/>
        </w:rPr>
        <w:t>Проєкт</w:t>
      </w:r>
      <w:r w:rsidRPr="00B5075B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не стосується сфери компетенції інших органів та відповідно не потребує погодження з іншими органами.</w:t>
      </w:r>
    </w:p>
    <w:p w:rsidR="0099274E" w:rsidRPr="0099274E" w:rsidRDefault="0099274E" w:rsidP="0099274E">
      <w:pPr>
        <w:tabs>
          <w:tab w:val="left" w:pos="0"/>
        </w:tabs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927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Проєкт не є регуляторним актом та не потребує погодження Державною регуляторною службою України, оскільки </w:t>
      </w:r>
      <w:r w:rsidRPr="0099274E">
        <w:rPr>
          <w:rFonts w:ascii="Times New Roman" w:hAnsi="Times New Roman" w:cs="Times New Roman"/>
          <w:sz w:val="28"/>
          <w:szCs w:val="28"/>
        </w:rPr>
        <w:t xml:space="preserve">відповідно до частини другої статті 3 Закону України «Про засади державної регуляторної політики у сфері господарської діяльності» дія цього Закону не поширюється на здійснення регуляторної діяльності, пов’язаної з прийняттям, зокрема актів Національної комісії з цінних паперів та фондового ринку, за винятком тих, що спрямовані на виконання нею повноважень, визначених пунктами 6, 7, 9, 11-13, 14, 16, 17, 21, 22, 24-26, 30, 30-1, 34 та 37-8 частини другої статті 7 Закону України «Про державне регулювання ринку цінних паперів в Україні», та мають ознаки регуляторного акта. Зазначений </w:t>
      </w:r>
      <w:r w:rsidRPr="0099274E">
        <w:rPr>
          <w:rFonts w:ascii="Times New Roman" w:hAnsi="Times New Roman" w:cs="Times New Roman"/>
          <w:sz w:val="28"/>
          <w:szCs w:val="28"/>
          <w:lang w:val="ru-RU"/>
        </w:rPr>
        <w:t xml:space="preserve">акт </w:t>
      </w:r>
      <w:r w:rsidRPr="0099274E">
        <w:rPr>
          <w:rFonts w:ascii="Times New Roman" w:hAnsi="Times New Roman" w:cs="Times New Roman"/>
          <w:sz w:val="28"/>
          <w:szCs w:val="28"/>
        </w:rPr>
        <w:t>розроблено на виконання повноважень Національної комісії з цінних паперів та фондового ринку, визначених пунктом 13 статті 8 Закону України «Про державне регулювання ринку цінних паперів в Україні», Законом України «Про депозитарну систему України».</w:t>
      </w:r>
    </w:p>
    <w:p w:rsidR="0099274E" w:rsidRPr="0099274E" w:rsidRDefault="0099274E" w:rsidP="0099274E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841F4E" w:rsidRPr="00C6787F" w:rsidRDefault="00841F4E" w:rsidP="00EF0203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F5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8. Ризики та обмеження</w:t>
      </w:r>
    </w:p>
    <w:p w:rsidR="001035AA" w:rsidRDefault="001035AA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2768AC" w:rsidRDefault="002768AC" w:rsidP="002768AC">
      <w:pPr>
        <w:tabs>
          <w:tab w:val="left" w:pos="0"/>
        </w:tabs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768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 не містить норм, що порушують права та свободи, гарантовані Конвенцією про захист прав людини і основоположних свобод, та не містить положень, що стосується таких прав і свобод.</w:t>
      </w:r>
    </w:p>
    <w:p w:rsidR="00E91F9F" w:rsidRPr="00E91F9F" w:rsidRDefault="00E91F9F" w:rsidP="00E91F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не суперечить: Конституції України; актам, що мають вищу юридичну силу; актам такої самої ю</w:t>
      </w:r>
      <w:r w:rsidR="00B01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ридичної сили; вимогам нормопроє</w:t>
      </w:r>
      <w:r w:rsidRPr="00E9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ктувальної техніки.</w:t>
      </w:r>
    </w:p>
    <w:p w:rsidR="002768AC" w:rsidRPr="002768AC" w:rsidRDefault="002768AC" w:rsidP="002768AC">
      <w:pPr>
        <w:shd w:val="clear" w:color="auto" w:fill="FFFFFF"/>
        <w:tabs>
          <w:tab w:val="left" w:pos="0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68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У Проєкті </w:t>
      </w:r>
      <w:r w:rsidRPr="00276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відсутні положення, які містять ознаки дискримінації чи які створюють підстави для дискримінації.</w:t>
      </w:r>
    </w:p>
    <w:p w:rsidR="002768AC" w:rsidRPr="002768AC" w:rsidRDefault="002768AC" w:rsidP="002768AC">
      <w:pPr>
        <w:shd w:val="clear" w:color="auto" w:fill="FFFFFF"/>
        <w:tabs>
          <w:tab w:val="left" w:pos="0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6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</w:t>
      </w:r>
      <w:r w:rsidR="00B5075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Проєкті</w:t>
      </w:r>
      <w:r w:rsidRPr="00276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пов’язаних з корупцією.</w:t>
      </w:r>
    </w:p>
    <w:p w:rsidR="001035AA" w:rsidRPr="001035AA" w:rsidRDefault="00B5075B" w:rsidP="002768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Гендерно-правову експертизу Проє</w:t>
      </w:r>
      <w:r w:rsidR="001035AA" w:rsidRPr="001035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кту буде проведено юридичним департаментом Національної комісії з цінних паперів та фондового ринку.</w:t>
      </w:r>
    </w:p>
    <w:p w:rsidR="00841F4E" w:rsidRDefault="00841F4E" w:rsidP="00841F4E">
      <w:pPr>
        <w:tabs>
          <w:tab w:val="left" w:pos="0"/>
        </w:tabs>
        <w:spacing w:after="360" w:line="228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Проєкт не передбачає надання державної допомоги суб’єктам господарювання та відповідно дія Закону України «Про державну допомогу суб’єктам гос</w:t>
      </w:r>
      <w:r w:rsidR="00547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подарювання» не поширюється на П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роєкт та не поширюється на підтримку суб’єктів господарювання. У зв’язку з цим відповідне рішення Антимонопольного комітету України, передбачене </w:t>
      </w:r>
      <w:r w:rsidR="00BA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зазначеним Законом, щодо цього П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роєкту</w:t>
      </w:r>
      <w:r w:rsidRPr="00901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DC6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не потребується.</w:t>
      </w:r>
    </w:p>
    <w:p w:rsidR="0070267B" w:rsidRPr="00BB17F5" w:rsidRDefault="0070267B" w:rsidP="00841F4E">
      <w:pPr>
        <w:tabs>
          <w:tab w:val="left" w:pos="0"/>
        </w:tabs>
        <w:spacing w:after="360" w:line="228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before="36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9.</w:t>
      </w:r>
      <w:r>
        <w:rPr>
          <w:rFonts w:ascii="Roboto" w:eastAsia="Times New Roman" w:hAnsi="Roboto" w:cs="Calibri"/>
          <w:sz w:val="28"/>
          <w:szCs w:val="28"/>
          <w:lang w:eastAsia="uk-UA"/>
        </w:rPr>
        <w:t xml:space="preserve"> </w:t>
      </w:r>
      <w:r w:rsidRPr="001012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Підстава розроблення акта</w:t>
      </w:r>
    </w:p>
    <w:p w:rsidR="00841F4E" w:rsidRDefault="00841F4E" w:rsidP="00841F4E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95B37" w:rsidRPr="00C92560" w:rsidRDefault="00395B37" w:rsidP="00395B37">
      <w:pPr>
        <w:tabs>
          <w:tab w:val="left" w:pos="0"/>
          <w:tab w:val="left" w:pos="1134"/>
        </w:tabs>
        <w:spacing w:after="0" w:line="300" w:lineRule="exact"/>
        <w:ind w:firstLine="851"/>
        <w:jc w:val="both"/>
        <w:rPr>
          <w:sz w:val="28"/>
          <w:szCs w:val="28"/>
          <w:lang w:eastAsia="uk-UA"/>
        </w:rPr>
      </w:pPr>
      <w:r w:rsidRPr="00322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Проєкт розроблено </w:t>
      </w:r>
      <w:r w:rsidRPr="00322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</w:t>
      </w:r>
      <w:r w:rsidRPr="006E5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пункту</w:t>
      </w: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статті 8 Закону України «Про державне регулювання ринку цінних паперів в Україні», Закону України «Про депозитарну систему України», Закону Укра</w:t>
      </w:r>
      <w:r w:rsidR="00B5075B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«Про запобігання та протидію</w:t>
      </w: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Pr="00C92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B37" w:rsidRPr="00B42152" w:rsidRDefault="00395B37" w:rsidP="00395B37">
      <w:pPr>
        <w:tabs>
          <w:tab w:val="left" w:pos="0"/>
          <w:tab w:val="left" w:pos="1134"/>
        </w:tabs>
        <w:spacing w:after="0" w:line="300" w:lineRule="exact"/>
        <w:ind w:firstLine="851"/>
        <w:jc w:val="both"/>
        <w:rPr>
          <w:sz w:val="28"/>
          <w:szCs w:val="28"/>
          <w:lang w:eastAsia="uk-UA"/>
        </w:rPr>
      </w:pPr>
      <w:r w:rsidRPr="00B42152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>Проєктом вносяться зміни</w:t>
      </w:r>
      <w:r w:rsidR="00E1556A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 xml:space="preserve"> з метою приведення Положення </w:t>
      </w:r>
      <w:r w:rsidRPr="00B42152">
        <w:rPr>
          <w:rFonts w:ascii="Roboto" w:eastAsia="Times New Roman" w:hAnsi="Roboto" w:cs="Calibri"/>
          <w:color w:val="000000" w:themeColor="text1"/>
          <w:sz w:val="28"/>
          <w:szCs w:val="28"/>
          <w:lang w:eastAsia="uk-UA"/>
        </w:rPr>
        <w:t xml:space="preserve"> у відповідність до вимог Закону України </w:t>
      </w:r>
      <w:r w:rsidR="00E15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запобігання та протидію</w:t>
      </w:r>
      <w:r w:rsidRP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Положення </w:t>
      </w:r>
      <w:r w:rsidRPr="00E807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 припинення депозитарною установою провадження професійної діяльності на фондовому ринку - депозитарної діяльності, затвердженого рішенням</w:t>
      </w:r>
      <w:r w:rsidR="00E1556A" w:rsidRPr="00E155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Національної</w:t>
      </w:r>
      <w:r w:rsidR="00E155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омісії</w:t>
      </w:r>
      <w:r w:rsidR="00E1556A" w:rsidRPr="00E155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 цінних паперів та фондового ринку</w:t>
      </w:r>
      <w:r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від 08 квітня 2014 року, зареєстрованого в Міністерстві юстиції України 28 квітня 2014 року за №</w:t>
      </w:r>
      <w:r w:rsidR="00DF4B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459/25236 (у редакції рішення </w:t>
      </w:r>
      <w:r w:rsidR="00E1556A" w:rsidRPr="00E155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Національної комісії з цінних паперів та фондового ринку</w:t>
      </w:r>
      <w:r w:rsidRPr="00E807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від 14 листопада 2019 року № 690)</w:t>
      </w:r>
      <w:r w:rsidRPr="00B421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395B37" w:rsidRPr="00477709" w:rsidRDefault="00395B37" w:rsidP="00395B37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Roboto" w:eastAsia="Times New Roman" w:hAnsi="Roboto" w:cs="Calibri"/>
          <w:sz w:val="28"/>
          <w:szCs w:val="28"/>
          <w:lang w:eastAsia="uk-UA"/>
        </w:rPr>
      </w:pPr>
    </w:p>
    <w:p w:rsidR="00841F4E" w:rsidRDefault="00841F4E" w:rsidP="006F10A0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90C" w:rsidRPr="003D290C" w:rsidRDefault="003D290C" w:rsidP="003D290C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val="ru-RU" w:eastAsia="uk-UA"/>
        </w:rPr>
      </w:pPr>
      <w:r w:rsidRPr="003D290C">
        <w:rPr>
          <w:rFonts w:ascii="Roboto" w:eastAsia="Times New Roman" w:hAnsi="Roboto" w:cs="Calibri"/>
          <w:sz w:val="28"/>
          <w:szCs w:val="28"/>
          <w:lang w:val="ru-RU" w:eastAsia="uk-UA"/>
        </w:rPr>
        <w:t xml:space="preserve">Директор департаменту методології </w:t>
      </w:r>
    </w:p>
    <w:p w:rsidR="003D290C" w:rsidRPr="003D290C" w:rsidRDefault="003D290C" w:rsidP="003D290C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val="ru-RU" w:eastAsia="uk-UA"/>
        </w:rPr>
      </w:pPr>
      <w:r>
        <w:rPr>
          <w:rFonts w:ascii="Roboto" w:eastAsia="Times New Roman" w:hAnsi="Roboto" w:cs="Calibri"/>
          <w:sz w:val="28"/>
          <w:szCs w:val="28"/>
          <w:lang w:val="ru-RU" w:eastAsia="uk-UA"/>
        </w:rPr>
        <w:t>р</w:t>
      </w:r>
      <w:r w:rsidRPr="003D290C">
        <w:rPr>
          <w:rFonts w:ascii="Roboto" w:eastAsia="Times New Roman" w:hAnsi="Roboto" w:cs="Calibri"/>
          <w:sz w:val="28"/>
          <w:szCs w:val="28"/>
          <w:lang w:val="ru-RU" w:eastAsia="uk-UA"/>
        </w:rPr>
        <w:t xml:space="preserve">егулювання професійних учасників </w:t>
      </w:r>
    </w:p>
    <w:p w:rsidR="003D290C" w:rsidRPr="00863281" w:rsidRDefault="003D290C" w:rsidP="003D290C">
      <w:pPr>
        <w:pStyle w:val="a3"/>
        <w:tabs>
          <w:tab w:val="clear" w:pos="4819"/>
          <w:tab w:val="clear" w:pos="9639"/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851"/>
        <w:jc w:val="both"/>
        <w:rPr>
          <w:rFonts w:ascii="Roboto" w:eastAsia="Times New Roman" w:hAnsi="Roboto" w:cs="Calibri"/>
          <w:sz w:val="28"/>
          <w:szCs w:val="28"/>
          <w:lang w:val="ru-RU" w:eastAsia="uk-UA"/>
        </w:rPr>
      </w:pPr>
      <w:r w:rsidRPr="003D290C">
        <w:rPr>
          <w:rFonts w:ascii="Roboto" w:eastAsia="Times New Roman" w:hAnsi="Roboto" w:cs="Calibri"/>
          <w:sz w:val="28"/>
          <w:szCs w:val="28"/>
          <w:lang w:val="ru-RU" w:eastAsia="uk-UA"/>
        </w:rPr>
        <w:t>ринку цінних паперів</w:t>
      </w:r>
      <w:r>
        <w:rPr>
          <w:rFonts w:ascii="Roboto" w:eastAsia="Times New Roman" w:hAnsi="Roboto" w:cs="Calibri"/>
          <w:sz w:val="28"/>
          <w:szCs w:val="28"/>
          <w:lang w:val="ru-RU" w:eastAsia="uk-UA"/>
        </w:rPr>
        <w:tab/>
      </w:r>
      <w:r>
        <w:rPr>
          <w:rFonts w:ascii="Roboto" w:eastAsia="Times New Roman" w:hAnsi="Roboto" w:cs="Calibri"/>
          <w:sz w:val="28"/>
          <w:szCs w:val="28"/>
          <w:lang w:val="ru-RU" w:eastAsia="uk-UA"/>
        </w:rPr>
        <w:tab/>
      </w:r>
      <w:r>
        <w:rPr>
          <w:rFonts w:ascii="Roboto" w:eastAsia="Times New Roman" w:hAnsi="Roboto" w:cs="Calibri"/>
          <w:sz w:val="28"/>
          <w:szCs w:val="28"/>
          <w:lang w:val="ru-RU" w:eastAsia="uk-UA"/>
        </w:rPr>
        <w:tab/>
      </w:r>
      <w:r>
        <w:rPr>
          <w:rFonts w:ascii="Roboto" w:eastAsia="Times New Roman" w:hAnsi="Roboto" w:cs="Calibri"/>
          <w:sz w:val="28"/>
          <w:szCs w:val="28"/>
          <w:lang w:val="ru-RU" w:eastAsia="uk-UA"/>
        </w:rPr>
        <w:tab/>
      </w:r>
      <w:r>
        <w:rPr>
          <w:rFonts w:ascii="Roboto" w:eastAsia="Times New Roman" w:hAnsi="Roboto" w:cs="Calibri"/>
          <w:sz w:val="28"/>
          <w:szCs w:val="28"/>
          <w:lang w:val="ru-RU" w:eastAsia="uk-UA"/>
        </w:rPr>
        <w:tab/>
      </w:r>
      <w:r w:rsidRPr="003D290C">
        <w:rPr>
          <w:rFonts w:ascii="Roboto" w:eastAsia="Times New Roman" w:hAnsi="Roboto" w:cs="Calibri"/>
          <w:sz w:val="28"/>
          <w:szCs w:val="28"/>
          <w:lang w:val="ru-RU" w:eastAsia="uk-UA"/>
        </w:rPr>
        <w:t xml:space="preserve">І. </w:t>
      </w:r>
      <w:r w:rsidRPr="00863281">
        <w:rPr>
          <w:rFonts w:ascii="Roboto" w:eastAsia="Times New Roman" w:hAnsi="Roboto" w:cs="Calibri"/>
          <w:sz w:val="28"/>
          <w:szCs w:val="28"/>
          <w:lang w:val="ru-RU" w:eastAsia="uk-UA"/>
        </w:rPr>
        <w:t>Курочкіна</w:t>
      </w:r>
    </w:p>
    <w:p w:rsidR="00841F4E" w:rsidRDefault="00841F4E" w:rsidP="00841F4E">
      <w:pPr>
        <w:tabs>
          <w:tab w:val="left" w:pos="0"/>
        </w:tabs>
        <w:ind w:firstLine="851"/>
      </w:pPr>
    </w:p>
    <w:p w:rsidR="00841F4E" w:rsidRDefault="00841F4E" w:rsidP="00841F4E">
      <w:pPr>
        <w:tabs>
          <w:tab w:val="left" w:pos="0"/>
        </w:tabs>
        <w:ind w:firstLine="851"/>
      </w:pPr>
    </w:p>
    <w:p w:rsidR="00841F4E" w:rsidRPr="00FC60EB" w:rsidRDefault="006F10A0" w:rsidP="006F10A0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1F4E" w:rsidRPr="00FC60EB">
        <w:rPr>
          <w:rFonts w:ascii="Times New Roman" w:hAnsi="Times New Roman" w:cs="Times New Roman"/>
          <w:sz w:val="28"/>
          <w:szCs w:val="28"/>
          <w:lang w:val="ru-RU"/>
        </w:rPr>
        <w:t xml:space="preserve">“___” </w:t>
      </w:r>
      <w:r w:rsidR="001035AA" w:rsidRPr="00232BBA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841F4E" w:rsidRPr="00FC60EB">
        <w:rPr>
          <w:rFonts w:ascii="Times New Roman" w:hAnsi="Times New Roman" w:cs="Times New Roman"/>
          <w:sz w:val="28"/>
          <w:szCs w:val="28"/>
          <w:lang w:val="ru-RU"/>
        </w:rPr>
        <w:t>2020 р.</w:t>
      </w:r>
    </w:p>
    <w:p w:rsidR="005B6EDD" w:rsidRDefault="005B6EDD"/>
    <w:sectPr w:rsidR="005B6EDD" w:rsidSect="00674B80">
      <w:headerReference w:type="default" r:id="rId8"/>
      <w:pgSz w:w="11906" w:h="16838"/>
      <w:pgMar w:top="1135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F3" w:rsidRDefault="003013F3">
      <w:pPr>
        <w:spacing w:after="0" w:line="240" w:lineRule="auto"/>
      </w:pPr>
      <w:r>
        <w:separator/>
      </w:r>
    </w:p>
  </w:endnote>
  <w:endnote w:type="continuationSeparator" w:id="0">
    <w:p w:rsidR="003013F3" w:rsidRDefault="0030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F3" w:rsidRDefault="003013F3">
      <w:pPr>
        <w:spacing w:after="0" w:line="240" w:lineRule="auto"/>
      </w:pPr>
      <w:r>
        <w:separator/>
      </w:r>
    </w:p>
  </w:footnote>
  <w:footnote w:type="continuationSeparator" w:id="0">
    <w:p w:rsidR="003013F3" w:rsidRDefault="0030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107597"/>
      <w:docPartObj>
        <w:docPartGallery w:val="Page Numbers (Top of Page)"/>
        <w:docPartUnique/>
      </w:docPartObj>
    </w:sdtPr>
    <w:sdtEndPr/>
    <w:sdtContent>
      <w:p w:rsidR="0075490E" w:rsidRDefault="005249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40">
          <w:rPr>
            <w:noProof/>
          </w:rPr>
          <w:t>7</w:t>
        </w:r>
        <w:r>
          <w:fldChar w:fldCharType="end"/>
        </w:r>
      </w:p>
    </w:sdtContent>
  </w:sdt>
  <w:p w:rsidR="0075490E" w:rsidRDefault="00301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4E"/>
    <w:rsid w:val="000A2DF1"/>
    <w:rsid w:val="000D4824"/>
    <w:rsid w:val="000D49F4"/>
    <w:rsid w:val="001035AA"/>
    <w:rsid w:val="00167B5D"/>
    <w:rsid w:val="00232BBA"/>
    <w:rsid w:val="002768AC"/>
    <w:rsid w:val="00284306"/>
    <w:rsid w:val="002C023F"/>
    <w:rsid w:val="002D1F68"/>
    <w:rsid w:val="002F07C5"/>
    <w:rsid w:val="003013F3"/>
    <w:rsid w:val="00322023"/>
    <w:rsid w:val="003658D4"/>
    <w:rsid w:val="00395B37"/>
    <w:rsid w:val="003B3714"/>
    <w:rsid w:val="003D290C"/>
    <w:rsid w:val="004142BD"/>
    <w:rsid w:val="0041437A"/>
    <w:rsid w:val="0044415D"/>
    <w:rsid w:val="00462933"/>
    <w:rsid w:val="00475097"/>
    <w:rsid w:val="00524980"/>
    <w:rsid w:val="0054745C"/>
    <w:rsid w:val="005B6EDD"/>
    <w:rsid w:val="005C5DDF"/>
    <w:rsid w:val="005D14BB"/>
    <w:rsid w:val="00613C79"/>
    <w:rsid w:val="0064017C"/>
    <w:rsid w:val="006F10A0"/>
    <w:rsid w:val="0070267B"/>
    <w:rsid w:val="00724EF6"/>
    <w:rsid w:val="00745369"/>
    <w:rsid w:val="007658C7"/>
    <w:rsid w:val="007C7FF0"/>
    <w:rsid w:val="00811779"/>
    <w:rsid w:val="00841F4E"/>
    <w:rsid w:val="00847040"/>
    <w:rsid w:val="00863281"/>
    <w:rsid w:val="00896945"/>
    <w:rsid w:val="008B18F8"/>
    <w:rsid w:val="008C33C5"/>
    <w:rsid w:val="00974962"/>
    <w:rsid w:val="0099274E"/>
    <w:rsid w:val="009A7B96"/>
    <w:rsid w:val="009D6B92"/>
    <w:rsid w:val="00A04F63"/>
    <w:rsid w:val="00A2292F"/>
    <w:rsid w:val="00A241EA"/>
    <w:rsid w:val="00A51B23"/>
    <w:rsid w:val="00A6573D"/>
    <w:rsid w:val="00AC28F5"/>
    <w:rsid w:val="00AC2E11"/>
    <w:rsid w:val="00B01557"/>
    <w:rsid w:val="00B42152"/>
    <w:rsid w:val="00B47F45"/>
    <w:rsid w:val="00B5075B"/>
    <w:rsid w:val="00B7410A"/>
    <w:rsid w:val="00BA63FE"/>
    <w:rsid w:val="00C27FD0"/>
    <w:rsid w:val="00C64DC8"/>
    <w:rsid w:val="00C75BFE"/>
    <w:rsid w:val="00C92560"/>
    <w:rsid w:val="00CC360F"/>
    <w:rsid w:val="00CF233B"/>
    <w:rsid w:val="00D24DF5"/>
    <w:rsid w:val="00D27BC6"/>
    <w:rsid w:val="00D442C4"/>
    <w:rsid w:val="00D4796F"/>
    <w:rsid w:val="00DA7988"/>
    <w:rsid w:val="00DF4B4E"/>
    <w:rsid w:val="00E1556A"/>
    <w:rsid w:val="00E7098E"/>
    <w:rsid w:val="00E807DF"/>
    <w:rsid w:val="00E90FA0"/>
    <w:rsid w:val="00E91F9F"/>
    <w:rsid w:val="00EC56C8"/>
    <w:rsid w:val="00EC6706"/>
    <w:rsid w:val="00ED5457"/>
    <w:rsid w:val="00EE1CEB"/>
    <w:rsid w:val="00EF0203"/>
    <w:rsid w:val="00F34824"/>
    <w:rsid w:val="00F60286"/>
    <w:rsid w:val="00F712C0"/>
    <w:rsid w:val="00FC362C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7665-5BF2-4332-A946-44E2B849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1F4E"/>
  </w:style>
  <w:style w:type="paragraph" w:customStyle="1" w:styleId="rvps2">
    <w:name w:val="rvps2"/>
    <w:basedOn w:val="a"/>
    <w:rsid w:val="0084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41F4E"/>
  </w:style>
  <w:style w:type="paragraph" w:styleId="a5">
    <w:name w:val="List Paragraph"/>
    <w:basedOn w:val="a"/>
    <w:uiPriority w:val="34"/>
    <w:qFormat/>
    <w:rsid w:val="00841F4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1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61-20?find=1&amp;text=%D0%BA%D1%96%D0%BD%D1%86%D0%B5%D0%B2%D0%BE%D0%B3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61-20?find=1&amp;text=%D0%BA%D1%96%D0%BD%D1%86%D0%B5%D0%B2%D0%BE%D0%B3%D0%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2788</Words>
  <Characters>15896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КАРІНА</dc:creator>
  <cp:keywords/>
  <dc:description/>
  <cp:lastModifiedBy>Руслан Кисляк</cp:lastModifiedBy>
  <cp:revision>2</cp:revision>
  <dcterms:created xsi:type="dcterms:W3CDTF">2020-05-18T15:05:00Z</dcterms:created>
  <dcterms:modified xsi:type="dcterms:W3CDTF">2020-05-18T15:05:00Z</dcterms:modified>
</cp:coreProperties>
</file>