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AD" w:rsidRPr="003E0A55" w:rsidRDefault="001E6666" w:rsidP="00F67FF9">
      <w:pPr>
        <w:pStyle w:val="1"/>
        <w:widowControl w:val="0"/>
        <w:spacing w:before="0" w:after="0"/>
        <w:jc w:val="center"/>
        <w:rPr>
          <w:rFonts w:ascii="Times New Roman" w:hAnsi="Times New Roman" w:cs="Times New Roman"/>
          <w:color w:val="000000"/>
          <w:sz w:val="28"/>
          <w:szCs w:val="28"/>
        </w:rPr>
      </w:pPr>
      <w:bookmarkStart w:id="0" w:name="_GoBack"/>
      <w:bookmarkEnd w:id="0"/>
      <w:r w:rsidRPr="003E0A55">
        <w:rPr>
          <w:rFonts w:ascii="Times New Roman" w:hAnsi="Times New Roman" w:cs="Times New Roman"/>
          <w:color w:val="000000"/>
          <w:sz w:val="28"/>
          <w:szCs w:val="28"/>
        </w:rPr>
        <w:t>ПОЯСНЮВАЛЬНА ЗАПИСКА</w:t>
      </w:r>
    </w:p>
    <w:p w:rsidR="00756CD0" w:rsidRPr="003E0A55" w:rsidRDefault="00FC2F97" w:rsidP="00F67FF9">
      <w:pPr>
        <w:pStyle w:val="1"/>
        <w:widowControl w:val="0"/>
        <w:spacing w:before="0" w:after="0"/>
        <w:jc w:val="center"/>
        <w:rPr>
          <w:rFonts w:ascii="Times New Roman" w:hAnsi="Times New Roman" w:cs="Times New Roman"/>
          <w:b w:val="0"/>
          <w:bCs w:val="0"/>
          <w:kern w:val="0"/>
          <w:sz w:val="28"/>
          <w:szCs w:val="28"/>
        </w:rPr>
      </w:pPr>
      <w:r w:rsidRPr="003E0A55">
        <w:rPr>
          <w:rFonts w:ascii="Times New Roman" w:hAnsi="Times New Roman" w:cs="Times New Roman"/>
          <w:b w:val="0"/>
          <w:bCs w:val="0"/>
          <w:sz w:val="28"/>
          <w:szCs w:val="28"/>
        </w:rPr>
        <w:t xml:space="preserve">до </w:t>
      </w:r>
      <w:r w:rsidR="001428A0" w:rsidRPr="003E0A55">
        <w:rPr>
          <w:rFonts w:ascii="Times New Roman" w:hAnsi="Times New Roman" w:cs="Times New Roman"/>
          <w:b w:val="0"/>
          <w:bCs w:val="0"/>
          <w:sz w:val="28"/>
          <w:szCs w:val="28"/>
        </w:rPr>
        <w:t xml:space="preserve">проєкту </w:t>
      </w:r>
      <w:r w:rsidRPr="003E0A55">
        <w:rPr>
          <w:rFonts w:ascii="Times New Roman" w:hAnsi="Times New Roman" w:cs="Times New Roman"/>
          <w:b w:val="0"/>
          <w:bCs w:val="0"/>
          <w:sz w:val="28"/>
          <w:szCs w:val="28"/>
        </w:rPr>
        <w:t xml:space="preserve">рішення </w:t>
      </w:r>
      <w:r w:rsidRPr="003E0A55">
        <w:rPr>
          <w:rFonts w:ascii="Times New Roman" w:hAnsi="Times New Roman" w:cs="Times New Roman"/>
          <w:b w:val="0"/>
          <w:sz w:val="28"/>
          <w:szCs w:val="28"/>
        </w:rPr>
        <w:t>Національної комісії з цінних паперів та фондового ринку</w:t>
      </w:r>
      <w:r w:rsidR="006522F4" w:rsidRPr="003E0A55">
        <w:rPr>
          <w:rFonts w:ascii="Times New Roman" w:hAnsi="Times New Roman" w:cs="Times New Roman"/>
          <w:b w:val="0"/>
          <w:sz w:val="28"/>
          <w:szCs w:val="28"/>
        </w:rPr>
        <w:t xml:space="preserve"> </w:t>
      </w:r>
      <w:r w:rsidR="001428A0" w:rsidRPr="003E0A55">
        <w:rPr>
          <w:rFonts w:ascii="Times New Roman" w:hAnsi="Times New Roman" w:cs="Times New Roman"/>
          <w:b w:val="0"/>
          <w:bCs w:val="0"/>
          <w:kern w:val="0"/>
          <w:sz w:val="28"/>
          <w:szCs w:val="28"/>
        </w:rPr>
        <w:t>«Про затвердження змін до деяких нормативно-правових актів Національної комісії з цінних паперів та фондового ринку щодо провадження депозитарної діяльності»</w:t>
      </w:r>
    </w:p>
    <w:p w:rsidR="001428A0" w:rsidRPr="003E0A55" w:rsidRDefault="001428A0" w:rsidP="00F67FF9">
      <w:pPr>
        <w:tabs>
          <w:tab w:val="left" w:pos="0"/>
          <w:tab w:val="left" w:pos="142"/>
        </w:tabs>
        <w:spacing w:after="120"/>
        <w:ind w:firstLine="709"/>
        <w:jc w:val="both"/>
        <w:rPr>
          <w:sz w:val="28"/>
          <w:szCs w:val="28"/>
          <w:lang w:eastAsia="ru-RU"/>
        </w:rPr>
      </w:pPr>
    </w:p>
    <w:p w:rsidR="00FD402E" w:rsidRDefault="006522F4" w:rsidP="003726F6">
      <w:pPr>
        <w:tabs>
          <w:tab w:val="left" w:pos="0"/>
          <w:tab w:val="left" w:pos="142"/>
        </w:tabs>
        <w:spacing w:before="120" w:after="120"/>
        <w:ind w:firstLine="709"/>
        <w:jc w:val="both"/>
        <w:rPr>
          <w:sz w:val="28"/>
          <w:szCs w:val="28"/>
          <w:lang w:eastAsia="ru-RU"/>
        </w:rPr>
      </w:pPr>
      <w:r w:rsidRPr="002F2BE1">
        <w:rPr>
          <w:b/>
          <w:sz w:val="28"/>
          <w:szCs w:val="28"/>
          <w:lang w:eastAsia="ru-RU"/>
        </w:rPr>
        <w:t>1. Резюме</w:t>
      </w:r>
      <w:r w:rsidR="003C322D" w:rsidRPr="002F2BE1">
        <w:rPr>
          <w:b/>
          <w:sz w:val="28"/>
          <w:szCs w:val="28"/>
          <w:lang w:eastAsia="ru-RU"/>
        </w:rPr>
        <w:t xml:space="preserve"> </w:t>
      </w:r>
    </w:p>
    <w:p w:rsidR="001428A0" w:rsidRDefault="001428A0" w:rsidP="00FD402E">
      <w:pPr>
        <w:tabs>
          <w:tab w:val="left" w:pos="0"/>
          <w:tab w:val="left" w:pos="142"/>
        </w:tabs>
        <w:spacing w:before="120"/>
        <w:ind w:firstLine="709"/>
        <w:jc w:val="both"/>
        <w:rPr>
          <w:sz w:val="28"/>
          <w:szCs w:val="28"/>
          <w:lang w:eastAsia="ru-RU"/>
        </w:rPr>
      </w:pPr>
      <w:r w:rsidRPr="001428A0">
        <w:rPr>
          <w:sz w:val="28"/>
          <w:szCs w:val="28"/>
          <w:lang w:eastAsia="ru-RU"/>
        </w:rPr>
        <w:t>Проєкт рішення Національної комісії з цінних паперів та фондового ринку «Про затвердження змін до деяких нормативно-правових актів Національної комісії з цінних паперів та фондового ринку щодо провадження депозитарної діяльності» (далі – Проєкт) розроблено відповідно до пункту 13 статті 8 Закону України «Про державне регулювання ринку цінних паперів в Україні», Закону України «Про депозитарну систему України»,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03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12 вересня 2019</w:t>
      </w:r>
      <w:r w:rsidR="00E91C96">
        <w:rPr>
          <w:sz w:val="28"/>
          <w:szCs w:val="28"/>
          <w:lang w:eastAsia="ru-RU"/>
        </w:rPr>
        <w:t> </w:t>
      </w:r>
      <w:r w:rsidRPr="001428A0">
        <w:rPr>
          <w:sz w:val="28"/>
          <w:szCs w:val="28"/>
          <w:lang w:eastAsia="ru-RU"/>
        </w:rPr>
        <w:t>року № 79-ІХ «Про внесення змін до деяких законодавчих актів України щодо удосконалення функцій із державного регулювання ринків фінансових послуг», з метою дотримання учасниками депозитарної системи України вимог актів законодавства.</w:t>
      </w:r>
    </w:p>
    <w:p w:rsidR="00FD402E" w:rsidRPr="001428A0" w:rsidRDefault="00FD402E" w:rsidP="00FD402E">
      <w:pPr>
        <w:tabs>
          <w:tab w:val="left" w:pos="0"/>
          <w:tab w:val="left" w:pos="142"/>
        </w:tabs>
        <w:ind w:firstLine="709"/>
        <w:jc w:val="both"/>
        <w:rPr>
          <w:sz w:val="28"/>
          <w:szCs w:val="28"/>
          <w:lang w:eastAsia="ru-RU"/>
        </w:rPr>
      </w:pPr>
    </w:p>
    <w:p w:rsidR="00FD402E" w:rsidRDefault="00724C3C" w:rsidP="00FD402E">
      <w:pPr>
        <w:tabs>
          <w:tab w:val="left" w:pos="0"/>
          <w:tab w:val="left" w:pos="142"/>
        </w:tabs>
        <w:ind w:firstLine="709"/>
        <w:jc w:val="both"/>
        <w:rPr>
          <w:sz w:val="28"/>
          <w:szCs w:val="28"/>
          <w:lang w:eastAsia="ru-RU"/>
        </w:rPr>
      </w:pPr>
      <w:r w:rsidRPr="002F2BE1">
        <w:rPr>
          <w:b/>
          <w:sz w:val="28"/>
          <w:szCs w:val="28"/>
          <w:lang w:eastAsia="ru-RU"/>
        </w:rPr>
        <w:t>2. Проблема, яка потребує розв</w:t>
      </w:r>
      <w:r w:rsidR="0089064C" w:rsidRPr="002F2BE1">
        <w:rPr>
          <w:b/>
          <w:sz w:val="28"/>
          <w:szCs w:val="28"/>
          <w:lang w:eastAsia="ru-RU"/>
        </w:rPr>
        <w:t>’</w:t>
      </w:r>
      <w:r w:rsidRPr="002F2BE1">
        <w:rPr>
          <w:b/>
          <w:sz w:val="28"/>
          <w:szCs w:val="28"/>
          <w:lang w:eastAsia="ru-RU"/>
        </w:rPr>
        <w:t>язання</w:t>
      </w:r>
    </w:p>
    <w:p w:rsidR="001428A0" w:rsidRPr="001428A0" w:rsidRDefault="001428A0" w:rsidP="00FD402E">
      <w:pPr>
        <w:tabs>
          <w:tab w:val="left" w:pos="0"/>
          <w:tab w:val="left" w:pos="142"/>
        </w:tabs>
        <w:spacing w:before="120" w:after="120"/>
        <w:ind w:firstLine="709"/>
        <w:jc w:val="both"/>
        <w:rPr>
          <w:sz w:val="28"/>
          <w:szCs w:val="28"/>
          <w:lang w:eastAsia="ru-RU"/>
        </w:rPr>
      </w:pPr>
      <w:r w:rsidRPr="003E0A55">
        <w:rPr>
          <w:sz w:val="28"/>
          <w:szCs w:val="28"/>
          <w:lang w:eastAsia="ru-RU"/>
        </w:rPr>
        <w:t>Вищевказаними законами внесено зміни</w:t>
      </w:r>
      <w:r w:rsidRPr="001428A0">
        <w:rPr>
          <w:sz w:val="28"/>
          <w:szCs w:val="28"/>
          <w:lang w:eastAsia="ru-RU"/>
        </w:rPr>
        <w:t xml:space="preserve"> до Закону України «Про депозитарну систему України», Податкового кодексу України, Господарського кодексу України та в інші акти законодавства, запроваджен</w:t>
      </w:r>
      <w:r w:rsidRPr="003E0A55">
        <w:rPr>
          <w:sz w:val="28"/>
          <w:szCs w:val="28"/>
          <w:lang w:eastAsia="ru-RU"/>
        </w:rPr>
        <w:t>о</w:t>
      </w:r>
      <w:r w:rsidRPr="001428A0">
        <w:rPr>
          <w:sz w:val="28"/>
          <w:szCs w:val="28"/>
          <w:lang w:eastAsia="ru-RU"/>
        </w:rPr>
        <w:t xml:space="preserve"> </w:t>
      </w:r>
      <w:r w:rsidRPr="003E0A55">
        <w:rPr>
          <w:sz w:val="28"/>
          <w:szCs w:val="28"/>
          <w:lang w:eastAsia="ru-RU"/>
        </w:rPr>
        <w:t>нові законодавчі</w:t>
      </w:r>
      <w:r w:rsidRPr="001428A0">
        <w:rPr>
          <w:sz w:val="28"/>
          <w:szCs w:val="28"/>
          <w:lang w:eastAsia="ru-RU"/>
        </w:rPr>
        <w:t xml:space="preserve"> норм</w:t>
      </w:r>
      <w:r w:rsidRPr="003E0A55">
        <w:rPr>
          <w:sz w:val="28"/>
          <w:szCs w:val="28"/>
          <w:lang w:eastAsia="ru-RU"/>
        </w:rPr>
        <w:t xml:space="preserve">и, зокрема, </w:t>
      </w:r>
      <w:r w:rsidRPr="001428A0">
        <w:rPr>
          <w:sz w:val="28"/>
          <w:szCs w:val="28"/>
          <w:lang w:eastAsia="ru-RU"/>
        </w:rPr>
        <w:t>наступн</w:t>
      </w:r>
      <w:r w:rsidRPr="003E0A55">
        <w:rPr>
          <w:sz w:val="28"/>
          <w:szCs w:val="28"/>
          <w:lang w:eastAsia="ru-RU"/>
        </w:rPr>
        <w:t>і</w:t>
      </w:r>
      <w:r w:rsidRPr="001428A0">
        <w:rPr>
          <w:sz w:val="28"/>
          <w:szCs w:val="28"/>
          <w:lang w:eastAsia="ru-RU"/>
        </w:rPr>
        <w:t>.</w:t>
      </w:r>
    </w:p>
    <w:p w:rsidR="001428A0" w:rsidRPr="001428A0" w:rsidRDefault="001428A0" w:rsidP="00F67FF9">
      <w:pPr>
        <w:tabs>
          <w:tab w:val="left" w:pos="0"/>
        </w:tabs>
        <w:spacing w:before="120"/>
        <w:ind w:firstLine="709"/>
        <w:jc w:val="both"/>
        <w:rPr>
          <w:sz w:val="28"/>
          <w:szCs w:val="28"/>
          <w:lang w:eastAsia="ru-RU"/>
        </w:rPr>
      </w:pPr>
      <w:r w:rsidRPr="001428A0">
        <w:rPr>
          <w:sz w:val="28"/>
          <w:szCs w:val="28"/>
          <w:lang w:eastAsia="ru-RU"/>
        </w:rPr>
        <w:t>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зокрема:</w:t>
      </w:r>
    </w:p>
    <w:p w:rsidR="001428A0" w:rsidRPr="001428A0" w:rsidRDefault="001428A0" w:rsidP="00F67FF9">
      <w:pPr>
        <w:tabs>
          <w:tab w:val="left" w:pos="0"/>
        </w:tabs>
        <w:spacing w:before="120"/>
        <w:ind w:firstLine="709"/>
        <w:jc w:val="both"/>
        <w:rPr>
          <w:sz w:val="28"/>
          <w:szCs w:val="28"/>
          <w:lang w:eastAsia="ru-RU"/>
        </w:rPr>
      </w:pPr>
      <w:r w:rsidRPr="001428A0">
        <w:rPr>
          <w:sz w:val="28"/>
          <w:szCs w:val="28"/>
          <w:lang w:eastAsia="ru-RU"/>
        </w:rPr>
        <w:t>1) пунктами 9, 30, 32 статті 1 цього Закону визначено терміни: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вигодоодержувач (вигодонабувач) щодо цінних паперів,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lastRenderedPageBreak/>
        <w:t>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кореспондентські відносини - це відносини, що:</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2) пунктом 17 Розділу X «Прикінцеві та перехідні положення» цього Закону внесено зміни до Закону України «Про депозитарну систему України», а саме:</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уточнено термін «номінальний утримувач» (пункт 11</w:t>
      </w:r>
      <w:r w:rsidRPr="001428A0">
        <w:rPr>
          <w:sz w:val="28"/>
          <w:szCs w:val="28"/>
          <w:vertAlign w:val="superscript"/>
          <w:lang w:eastAsia="ru-RU"/>
        </w:rPr>
        <w:t>2</w:t>
      </w:r>
      <w:r w:rsidRPr="001428A0">
        <w:rPr>
          <w:sz w:val="28"/>
          <w:szCs w:val="28"/>
          <w:lang w:eastAsia="ru-RU"/>
        </w:rPr>
        <w:t xml:space="preserve"> частини першої статті 1 Закону України «Про депозитарну систему України») – встановлено вимогу, що номінальний утримувач має бути членом Міжнародної асоціації для системи з питань обслуговування цінних паперів (ISSA);</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змінено норму щодо надання інформації депозитарною установою якщо запит стосується розкриття інформації номінальним утримувачем (перше речення абзацу другого частини п'ятої статті 25 Закону України «Про депозитарну систему України»);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3) уточнено норми щодо необов’язковості повторної ідентифікації та верифікації клієнта (частина 14 статті 11 цього Закону), відповідно до якої, зокрема, 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rsidR="001428A0" w:rsidRPr="001428A0" w:rsidRDefault="001428A0" w:rsidP="00F67FF9">
      <w:pPr>
        <w:tabs>
          <w:tab w:val="left" w:pos="0"/>
          <w:tab w:val="left" w:pos="180"/>
        </w:tabs>
        <w:spacing w:before="120"/>
        <w:ind w:firstLine="709"/>
        <w:jc w:val="both"/>
        <w:rPr>
          <w:sz w:val="28"/>
          <w:szCs w:val="28"/>
          <w:lang w:eastAsia="ru-RU"/>
        </w:rPr>
      </w:pPr>
      <w:r w:rsidRPr="001428A0">
        <w:rPr>
          <w:sz w:val="28"/>
          <w:szCs w:val="28"/>
          <w:lang w:eastAsia="ru-RU"/>
        </w:rPr>
        <w:t xml:space="preserve">Відповідно до частини другої Закону України від </w:t>
      </w:r>
      <w:r w:rsidR="00517961">
        <w:rPr>
          <w:sz w:val="28"/>
          <w:szCs w:val="28"/>
          <w:lang w:eastAsia="ru-RU"/>
        </w:rPr>
        <w:t>0</w:t>
      </w:r>
      <w:r w:rsidRPr="001428A0">
        <w:rPr>
          <w:sz w:val="28"/>
          <w:szCs w:val="28"/>
          <w:lang w:eastAsia="ru-RU"/>
        </w:rPr>
        <w:t>3</w:t>
      </w:r>
      <w:r w:rsidR="00517961">
        <w:rPr>
          <w:sz w:val="28"/>
          <w:szCs w:val="28"/>
          <w:lang w:eastAsia="ru-RU"/>
        </w:rPr>
        <w:t xml:space="preserve"> </w:t>
      </w:r>
      <w:r w:rsidRPr="001428A0">
        <w:rPr>
          <w:sz w:val="28"/>
          <w:szCs w:val="28"/>
          <w:lang w:eastAsia="ru-RU"/>
        </w:rPr>
        <w:t>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статтю 25 Закону України «Про депозитарну систему України» доповнено частиною п’ятою, відповідно до якої:</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«Інформація, що міститься у системі депозитарного обліку, надається у випадках та в обсязі, визначених Угодою між Урядом України та Урядом Сполучених Штатів Америки для поліпшення виконання податкових правил й заст</w:t>
      </w:r>
      <w:r w:rsidR="00513513">
        <w:rPr>
          <w:sz w:val="28"/>
          <w:szCs w:val="28"/>
          <w:lang w:eastAsia="ru-RU"/>
        </w:rPr>
        <w:t>осування положень Закону США «</w:t>
      </w:r>
      <w:r w:rsidRPr="001428A0">
        <w:rPr>
          <w:sz w:val="28"/>
          <w:szCs w:val="28"/>
          <w:lang w:eastAsia="ru-RU"/>
        </w:rPr>
        <w:t>Про податкові вимоги до іноземних рахунків</w:t>
      </w:r>
      <w:r w:rsidR="00513513">
        <w:rPr>
          <w:sz w:val="28"/>
          <w:szCs w:val="28"/>
          <w:lang w:eastAsia="ru-RU"/>
        </w:rPr>
        <w:t>»</w:t>
      </w:r>
      <w:r w:rsidRPr="001428A0">
        <w:rPr>
          <w:sz w:val="28"/>
          <w:szCs w:val="28"/>
          <w:lang w:eastAsia="ru-RU"/>
        </w:rPr>
        <w:t xml:space="preserve">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w:t>
      </w:r>
      <w:r w:rsidRPr="001428A0">
        <w:rPr>
          <w:sz w:val="28"/>
          <w:szCs w:val="28"/>
          <w:lang w:eastAsia="ru-RU"/>
        </w:rPr>
        <w:lastRenderedPageBreak/>
        <w:t>встановлюється Комісією за погодженням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p w:rsidR="001428A0" w:rsidRPr="001428A0" w:rsidRDefault="001428A0" w:rsidP="00F67FF9">
      <w:pPr>
        <w:tabs>
          <w:tab w:val="left" w:pos="0"/>
          <w:tab w:val="left" w:pos="142"/>
        </w:tabs>
        <w:spacing w:before="120"/>
        <w:ind w:firstLine="709"/>
        <w:jc w:val="both"/>
        <w:rPr>
          <w:sz w:val="28"/>
          <w:szCs w:val="28"/>
          <w:lang w:eastAsia="ru-RU"/>
        </w:rPr>
      </w:pPr>
      <w:r w:rsidRPr="001428A0">
        <w:rPr>
          <w:sz w:val="28"/>
          <w:szCs w:val="28"/>
          <w:lang w:eastAsia="ru-RU"/>
        </w:rPr>
        <w:t xml:space="preserve">Відповідно до частини другої Закону України від </w:t>
      </w:r>
      <w:r w:rsidR="007C71AC">
        <w:rPr>
          <w:sz w:val="28"/>
          <w:szCs w:val="28"/>
          <w:lang w:eastAsia="ru-RU"/>
        </w:rPr>
        <w:t>0</w:t>
      </w:r>
      <w:r w:rsidRPr="001428A0">
        <w:rPr>
          <w:sz w:val="28"/>
          <w:szCs w:val="28"/>
          <w:lang w:eastAsia="ru-RU"/>
        </w:rPr>
        <w:t>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внесено зміни до Податкового кодексу України (далі - ПКУ), зокрема:</w:t>
      </w:r>
    </w:p>
    <w:p w:rsidR="001428A0" w:rsidRPr="001428A0" w:rsidRDefault="001428A0" w:rsidP="00F67FF9">
      <w:pPr>
        <w:tabs>
          <w:tab w:val="left" w:pos="0"/>
        </w:tabs>
        <w:spacing w:before="120"/>
        <w:ind w:firstLine="709"/>
        <w:jc w:val="both"/>
        <w:rPr>
          <w:sz w:val="28"/>
          <w:szCs w:val="28"/>
          <w:lang w:eastAsia="ru-RU"/>
        </w:rPr>
      </w:pPr>
      <w:r w:rsidRPr="001428A0">
        <w:rPr>
          <w:sz w:val="28"/>
          <w:szCs w:val="28"/>
          <w:lang w:eastAsia="ru-RU"/>
        </w:rPr>
        <w:t>1) у статті 69 ПКУ:</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назву викладено в такій редакції:</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доповнено статтю пунктом 69.8 такого змісту:</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«69.8. Особливості подання звітності за підзвітними рахунками.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69.8.1.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а) фізична особа - власник фінансового рахунка;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б) юридична особа - власник фінансового рахунка;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в) фізична особа - кінцевий бенефіціарний власник (контролер) юридичної особи, яка є власником фінансового рахунка.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Якщо власником фінансового рахунка є фізична особа - нерезидент, такий рахунок вважається підзвітним для такої особи.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Якщо власником фінансового рахунка є юридична особа - резидент, кінцевим бенефіціарним власником (контролером) якої є нерезидент, такий рахунок вважається підзвітним для такого нерезидента.</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Фінансові агенти встановлюють підзвітність фінансового рахунка за результатами проведення процедури комплексної перевірки.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69.8.2. Фінансові агенти зобов'язані вживати обґрунтованих та належних у відповідних умовах (обставинах) заходів 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Власники </w:t>
      </w:r>
      <w:r w:rsidRPr="001428A0">
        <w:rPr>
          <w:sz w:val="28"/>
          <w:szCs w:val="28"/>
          <w:lang w:eastAsia="ru-RU"/>
        </w:rPr>
        <w:lastRenderedPageBreak/>
        <w:t>фінансових рахунків зобов'язані протягом 10 робочих днів повідомити фінансовому агенту про зміну відповідного статусу.</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Ненадання власником рахунка протягом 15 календарних днів з дня отримання запиту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є підставою для відмови в подальшому наданні послуг, у тому числі для розірвання договірних відносин з ним. У разі розірвання договірних відносин з власником фінансового рахунка фінансовий агент повертає залишок коштів власнику такого рахунка та не несе відповідальності за спричинені власнику фінансового рахунка збитки, пов'язані з розірванням договірних відносин.»;</w:t>
      </w:r>
    </w:p>
    <w:p w:rsidR="001428A0" w:rsidRPr="001428A0" w:rsidRDefault="001428A0" w:rsidP="00F67FF9">
      <w:pPr>
        <w:tabs>
          <w:tab w:val="left" w:pos="0"/>
        </w:tabs>
        <w:spacing w:before="120"/>
        <w:ind w:firstLine="709"/>
        <w:jc w:val="both"/>
        <w:rPr>
          <w:sz w:val="28"/>
          <w:szCs w:val="28"/>
          <w:lang w:eastAsia="ru-RU"/>
        </w:rPr>
      </w:pPr>
      <w:r w:rsidRPr="001428A0">
        <w:rPr>
          <w:sz w:val="28"/>
          <w:szCs w:val="28"/>
          <w:lang w:eastAsia="ru-RU"/>
        </w:rPr>
        <w:t>2) пункт 73.3 статті 73 ПКУ доповнено абзацом двадцять третім такого змісту:</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«Інформація на запит центрального органу виконавчої влади, що реалізує державну податкову політику, надається фінансовими агентами безоплатно у порядку та обсягах, визначених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банками встановлюється Національним банком України, іншими фінансовими агентами - відповідним регулятором ринків фінансових послуг у межах повноважень, визначених Законом України "Про фінансові послуги та державне регулювання ринків фінансових послуг", за погодженням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p w:rsidR="001428A0" w:rsidRPr="001428A0" w:rsidRDefault="001428A0" w:rsidP="00F67FF9">
      <w:pPr>
        <w:tabs>
          <w:tab w:val="left" w:pos="0"/>
        </w:tabs>
        <w:spacing w:before="120"/>
        <w:ind w:firstLine="709"/>
        <w:jc w:val="both"/>
        <w:rPr>
          <w:sz w:val="28"/>
          <w:szCs w:val="28"/>
          <w:lang w:eastAsia="ru-RU"/>
        </w:rPr>
      </w:pPr>
      <w:r w:rsidRPr="001428A0">
        <w:rPr>
          <w:sz w:val="28"/>
          <w:szCs w:val="28"/>
          <w:lang w:eastAsia="ru-RU"/>
        </w:rPr>
        <w:t>Відповідно до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 а саме:</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пункту 1 частини другої розділу першого – у другому реченні частини другої статті 163 Господарського кодексу України» слова «іпотечні сертифікати (сертифікати з фіксованою дохідністю, сертифікати участі)» виключено;</w:t>
      </w:r>
    </w:p>
    <w:p w:rsidR="001428A0" w:rsidRPr="001428A0" w:rsidRDefault="001428A0" w:rsidP="00F67FF9">
      <w:pPr>
        <w:tabs>
          <w:tab w:val="left" w:pos="0"/>
        </w:tabs>
        <w:ind w:firstLine="709"/>
        <w:jc w:val="both"/>
        <w:rPr>
          <w:sz w:val="28"/>
          <w:szCs w:val="28"/>
          <w:lang w:eastAsia="ru-RU"/>
        </w:rPr>
      </w:pPr>
      <w:r w:rsidRPr="001428A0">
        <w:rPr>
          <w:sz w:val="28"/>
          <w:szCs w:val="28"/>
          <w:lang w:eastAsia="ru-RU"/>
        </w:rPr>
        <w:t>підпункту 1 пункту 2 розділу ІІ «Прикінцеві положення» – Закон України «Про іпотечне кредитування, операції з консолідованим іпотечним боргом та іпотечні сертифікати» визнано таким, що втратив чинність.</w:t>
      </w:r>
    </w:p>
    <w:p w:rsidR="001428A0" w:rsidRPr="001428A0" w:rsidRDefault="001B0421" w:rsidP="00F67FF9">
      <w:pPr>
        <w:tabs>
          <w:tab w:val="left" w:pos="0"/>
        </w:tabs>
        <w:spacing w:before="120"/>
        <w:ind w:firstLine="709"/>
        <w:jc w:val="both"/>
        <w:rPr>
          <w:sz w:val="28"/>
          <w:szCs w:val="28"/>
          <w:lang w:eastAsia="ru-RU"/>
        </w:rPr>
      </w:pPr>
      <w:r w:rsidRPr="003E0A55">
        <w:rPr>
          <w:sz w:val="28"/>
          <w:szCs w:val="28"/>
          <w:lang w:eastAsia="ru-RU"/>
        </w:rPr>
        <w:t>З огляду на</w:t>
      </w:r>
      <w:r w:rsidR="001428A0" w:rsidRPr="001428A0">
        <w:rPr>
          <w:sz w:val="28"/>
          <w:szCs w:val="28"/>
          <w:lang w:eastAsia="ru-RU"/>
        </w:rPr>
        <w:t xml:space="preserve"> </w:t>
      </w:r>
      <w:r w:rsidRPr="003E0A55">
        <w:rPr>
          <w:sz w:val="28"/>
          <w:szCs w:val="28"/>
          <w:lang w:eastAsia="ru-RU"/>
        </w:rPr>
        <w:t>запроваджені</w:t>
      </w:r>
      <w:r w:rsidR="001428A0" w:rsidRPr="001428A0">
        <w:rPr>
          <w:sz w:val="28"/>
          <w:szCs w:val="28"/>
          <w:lang w:eastAsia="ru-RU"/>
        </w:rPr>
        <w:t xml:space="preserve"> законодавч</w:t>
      </w:r>
      <w:r w:rsidRPr="003E0A55">
        <w:rPr>
          <w:sz w:val="28"/>
          <w:szCs w:val="28"/>
          <w:lang w:eastAsia="ru-RU"/>
        </w:rPr>
        <w:t>і</w:t>
      </w:r>
      <w:r w:rsidR="001428A0" w:rsidRPr="001428A0">
        <w:rPr>
          <w:sz w:val="28"/>
          <w:szCs w:val="28"/>
          <w:lang w:eastAsia="ru-RU"/>
        </w:rPr>
        <w:t xml:space="preserve"> норми виникла необхідність внесення змін до деяких нормативно-правових актів Національної комісії з цінних паперів та фондового ринку щодо провадження депозитарної діяльності </w:t>
      </w:r>
      <w:r w:rsidRPr="003E0A55">
        <w:rPr>
          <w:sz w:val="28"/>
          <w:szCs w:val="28"/>
          <w:lang w:eastAsia="ru-RU"/>
        </w:rPr>
        <w:t>на ринку цінних паперів та розробки Проєкту.</w:t>
      </w:r>
    </w:p>
    <w:p w:rsidR="001428A0" w:rsidRPr="003E0A55" w:rsidRDefault="001428A0" w:rsidP="00F67FF9">
      <w:pPr>
        <w:tabs>
          <w:tab w:val="left" w:pos="0"/>
        </w:tabs>
        <w:spacing w:before="120"/>
        <w:ind w:firstLine="709"/>
        <w:jc w:val="both"/>
        <w:rPr>
          <w:sz w:val="28"/>
          <w:szCs w:val="28"/>
          <w:lang w:eastAsia="ru-RU"/>
        </w:rPr>
      </w:pPr>
    </w:p>
    <w:p w:rsidR="0078298D" w:rsidRPr="00F67FF9" w:rsidRDefault="00CE35DB" w:rsidP="00F67FF9">
      <w:pPr>
        <w:tabs>
          <w:tab w:val="left" w:pos="0"/>
        </w:tabs>
        <w:ind w:firstLine="709"/>
        <w:jc w:val="both"/>
        <w:rPr>
          <w:b/>
          <w:sz w:val="28"/>
          <w:szCs w:val="28"/>
          <w:lang w:eastAsia="ru-RU"/>
        </w:rPr>
      </w:pPr>
      <w:r w:rsidRPr="00F67FF9">
        <w:rPr>
          <w:b/>
          <w:sz w:val="28"/>
          <w:szCs w:val="28"/>
          <w:lang w:eastAsia="ru-RU"/>
        </w:rPr>
        <w:t xml:space="preserve">3. Суть </w:t>
      </w:r>
      <w:r w:rsidR="0078298D" w:rsidRPr="00F67FF9">
        <w:rPr>
          <w:b/>
          <w:sz w:val="28"/>
          <w:szCs w:val="28"/>
          <w:lang w:eastAsia="ru-RU"/>
        </w:rPr>
        <w:t>акта</w:t>
      </w:r>
    </w:p>
    <w:p w:rsidR="00F67FF9" w:rsidRPr="001428A0" w:rsidRDefault="00F67FF9" w:rsidP="00544AFD">
      <w:pPr>
        <w:tabs>
          <w:tab w:val="left" w:pos="0"/>
          <w:tab w:val="left" w:pos="142"/>
        </w:tabs>
        <w:spacing w:before="240"/>
        <w:ind w:firstLine="709"/>
        <w:jc w:val="both"/>
        <w:rPr>
          <w:sz w:val="28"/>
          <w:szCs w:val="28"/>
          <w:lang w:eastAsia="ru-RU"/>
        </w:rPr>
      </w:pPr>
      <w:r w:rsidRPr="001428A0">
        <w:rPr>
          <w:sz w:val="28"/>
          <w:szCs w:val="28"/>
          <w:lang w:eastAsia="ru-RU"/>
        </w:rPr>
        <w:t>Проєкт) розроблено відповідно до пункту 13 статті 8 Закону України «Про державне регулювання ринку цінних паперів в Україні», Закону України «Про депозитарну систему України»,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03 грудня 2019</w:t>
      </w:r>
      <w:r w:rsidR="007C71AC">
        <w:rPr>
          <w:sz w:val="28"/>
          <w:szCs w:val="28"/>
          <w:lang w:eastAsia="ru-RU"/>
        </w:rPr>
        <w:t> </w:t>
      </w:r>
      <w:r w:rsidRPr="001428A0">
        <w:rPr>
          <w:sz w:val="28"/>
          <w:szCs w:val="28"/>
          <w:lang w:eastAsia="ru-RU"/>
        </w:rPr>
        <w:t>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12 вересня 2019</w:t>
      </w:r>
      <w:r>
        <w:rPr>
          <w:sz w:val="28"/>
          <w:szCs w:val="28"/>
          <w:lang w:eastAsia="ru-RU"/>
        </w:rPr>
        <w:t> </w:t>
      </w:r>
      <w:r w:rsidRPr="001428A0">
        <w:rPr>
          <w:sz w:val="28"/>
          <w:szCs w:val="28"/>
          <w:lang w:eastAsia="ru-RU"/>
        </w:rPr>
        <w:t>року № 79-ІХ «Про внесення змін до деяких законодавчих актів України щодо удосконалення функцій із державного регулю</w:t>
      </w:r>
      <w:r w:rsidR="009D48C1">
        <w:rPr>
          <w:sz w:val="28"/>
          <w:szCs w:val="28"/>
          <w:lang w:eastAsia="ru-RU"/>
        </w:rPr>
        <w:t>вання ринків фінансових послуг»</w:t>
      </w:r>
      <w:r w:rsidRPr="001428A0">
        <w:rPr>
          <w:sz w:val="28"/>
          <w:szCs w:val="28"/>
          <w:lang w:eastAsia="ru-RU"/>
        </w:rPr>
        <w:t>.</w:t>
      </w:r>
    </w:p>
    <w:p w:rsidR="00F67FF9" w:rsidRPr="00F67FF9" w:rsidRDefault="00F67FF9" w:rsidP="00F67FF9">
      <w:pPr>
        <w:tabs>
          <w:tab w:val="left" w:pos="142"/>
        </w:tabs>
        <w:spacing w:before="120"/>
        <w:ind w:firstLine="851"/>
        <w:jc w:val="both"/>
        <w:rPr>
          <w:sz w:val="28"/>
          <w:szCs w:val="28"/>
          <w:lang w:eastAsia="ru-RU"/>
        </w:rPr>
      </w:pPr>
      <w:r w:rsidRPr="00F67FF9">
        <w:rPr>
          <w:sz w:val="28"/>
          <w:szCs w:val="28"/>
          <w:lang w:eastAsia="ru-RU"/>
        </w:rPr>
        <w:t xml:space="preserve">У зв’язку з </w:t>
      </w:r>
      <w:r w:rsidR="00BF39DD">
        <w:rPr>
          <w:sz w:val="28"/>
          <w:szCs w:val="28"/>
          <w:lang w:eastAsia="ru-RU"/>
        </w:rPr>
        <w:t xml:space="preserve">запровадженими цими законами </w:t>
      </w:r>
      <w:r w:rsidRPr="00F67FF9">
        <w:rPr>
          <w:sz w:val="28"/>
          <w:szCs w:val="28"/>
          <w:lang w:eastAsia="ru-RU"/>
        </w:rPr>
        <w:t>законодавчими нормами</w:t>
      </w:r>
      <w:r w:rsidR="009D48C1">
        <w:rPr>
          <w:sz w:val="28"/>
          <w:szCs w:val="28"/>
          <w:lang w:eastAsia="ru-RU"/>
        </w:rPr>
        <w:t xml:space="preserve"> та</w:t>
      </w:r>
      <w:r w:rsidR="009D48C1" w:rsidRPr="009D48C1">
        <w:rPr>
          <w:sz w:val="28"/>
          <w:szCs w:val="28"/>
          <w:lang w:eastAsia="ru-RU"/>
        </w:rPr>
        <w:t xml:space="preserve"> </w:t>
      </w:r>
      <w:r w:rsidR="009D48C1" w:rsidRPr="001428A0">
        <w:rPr>
          <w:sz w:val="28"/>
          <w:szCs w:val="28"/>
          <w:lang w:eastAsia="ru-RU"/>
        </w:rPr>
        <w:t>з метою дотримання учасниками депозитарної системи України вимог актів законодавства</w:t>
      </w:r>
      <w:r w:rsidRPr="00F67FF9">
        <w:rPr>
          <w:sz w:val="28"/>
          <w:szCs w:val="28"/>
          <w:lang w:eastAsia="ru-RU"/>
        </w:rPr>
        <w:t xml:space="preserve"> Проєкт передбачає внесення відповідних змін до таких нормативно-правових актів Національної комісії </w:t>
      </w:r>
      <w:r w:rsidR="009D48C1">
        <w:rPr>
          <w:sz w:val="28"/>
          <w:szCs w:val="28"/>
          <w:lang w:eastAsia="ru-RU"/>
        </w:rPr>
        <w:t>з</w:t>
      </w:r>
      <w:r w:rsidRPr="00F67FF9">
        <w:rPr>
          <w:sz w:val="28"/>
          <w:szCs w:val="28"/>
          <w:lang w:eastAsia="ru-RU"/>
        </w:rPr>
        <w:t xml:space="preserve"> цінних паперів та фондового ринку:</w:t>
      </w:r>
    </w:p>
    <w:p w:rsidR="00F67FF9" w:rsidRPr="00F67FF9" w:rsidRDefault="00F67FF9" w:rsidP="00F67FF9">
      <w:pPr>
        <w:tabs>
          <w:tab w:val="left" w:pos="142"/>
        </w:tabs>
        <w:ind w:firstLine="851"/>
        <w:jc w:val="both"/>
        <w:rPr>
          <w:sz w:val="28"/>
          <w:szCs w:val="28"/>
          <w:lang w:eastAsia="ru-RU"/>
        </w:rPr>
      </w:pPr>
      <w:r w:rsidRPr="00F67FF9">
        <w:rPr>
          <w:sz w:val="28"/>
          <w:szCs w:val="28"/>
          <w:lang w:eastAsia="ru-RU"/>
        </w:rPr>
        <w:t>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(далі – Положення);</w:t>
      </w:r>
    </w:p>
    <w:p w:rsidR="00F67FF9" w:rsidRPr="00F67FF9" w:rsidRDefault="00F67FF9" w:rsidP="00F67FF9">
      <w:pPr>
        <w:tabs>
          <w:tab w:val="left" w:pos="142"/>
        </w:tabs>
        <w:ind w:firstLine="851"/>
        <w:jc w:val="both"/>
        <w:rPr>
          <w:sz w:val="28"/>
          <w:szCs w:val="28"/>
          <w:lang w:eastAsia="ru-RU"/>
        </w:rPr>
      </w:pPr>
      <w:r w:rsidRPr="00F67FF9">
        <w:rPr>
          <w:sz w:val="28"/>
          <w:szCs w:val="28"/>
          <w:lang w:eastAsia="ru-RU"/>
        </w:rPr>
        <w:t>Вимог до договору про обслуговування рахунку в цінних паперах, затверджених рішенням Національної комісії з цінних паперів та фондового ринку від 06 серпня 2013 року № 1412, зареєстрованих у Міністерстві юстиції України 02 вересня 2013 року за № 1502/24034 (далі – Вимоги).</w:t>
      </w:r>
    </w:p>
    <w:p w:rsidR="00F67FF9" w:rsidRPr="00F67FF9" w:rsidRDefault="00DB11E8" w:rsidP="00F67FF9">
      <w:pPr>
        <w:spacing w:before="120" w:after="120"/>
        <w:ind w:firstLine="851"/>
        <w:jc w:val="both"/>
        <w:rPr>
          <w:sz w:val="28"/>
          <w:szCs w:val="28"/>
          <w:lang w:eastAsia="ru-RU"/>
        </w:rPr>
      </w:pPr>
      <w:r>
        <w:rPr>
          <w:sz w:val="28"/>
          <w:szCs w:val="28"/>
          <w:lang w:eastAsia="ru-RU"/>
        </w:rPr>
        <w:t>З</w:t>
      </w:r>
      <w:r w:rsidR="00F67FF9" w:rsidRPr="00F67FF9">
        <w:rPr>
          <w:sz w:val="28"/>
          <w:szCs w:val="28"/>
          <w:lang w:eastAsia="ru-RU"/>
        </w:rPr>
        <w:t>міни до Положення передбачають, зокрема: встановлення термінів «резидент» відповідно до пп.14.1.213 пункту 14.1 статті 14 ПКУ та «нерезидент» – відповідно до пп.14.1.122,</w:t>
      </w:r>
      <w:r w:rsidR="007B663D">
        <w:rPr>
          <w:sz w:val="28"/>
          <w:szCs w:val="28"/>
          <w:lang w:eastAsia="ru-RU"/>
        </w:rPr>
        <w:t xml:space="preserve"> 14.1.213 пункту 14.1 статті 14 </w:t>
      </w:r>
      <w:r w:rsidR="00F67FF9" w:rsidRPr="00F67FF9">
        <w:rPr>
          <w:sz w:val="28"/>
          <w:szCs w:val="28"/>
          <w:lang w:eastAsia="ru-RU"/>
        </w:rPr>
        <w:t>ПКУ; визначення або уточнення інших термінів з урахуванням вимог податкового законодавства та законодавства у сфері фінансового моніторингу; запровадження норм щодо отримання депозитарними установами інформації щодо статусу податкового резидентства депонента та/або його кінцевих бенефіціарних власників; встановлення порядку розкриття інформації, що міститься в системі депозитарного обліку, Центральному органу виконавчої влади, що реалізує державну податкову політику, на його письмову вимогу відповідно до вимог законодавства.</w:t>
      </w:r>
    </w:p>
    <w:p w:rsidR="00986056" w:rsidRDefault="00986056" w:rsidP="00F67FF9">
      <w:pPr>
        <w:spacing w:before="120" w:after="120"/>
        <w:ind w:firstLine="851"/>
        <w:jc w:val="both"/>
        <w:rPr>
          <w:sz w:val="28"/>
          <w:szCs w:val="28"/>
          <w:lang w:eastAsia="ru-RU"/>
        </w:rPr>
      </w:pPr>
    </w:p>
    <w:p w:rsidR="00F67FF9" w:rsidRPr="00F67FF9" w:rsidRDefault="00F67FF9" w:rsidP="00F67FF9">
      <w:pPr>
        <w:spacing w:before="120" w:after="120"/>
        <w:ind w:firstLine="851"/>
        <w:jc w:val="both"/>
        <w:rPr>
          <w:sz w:val="28"/>
          <w:szCs w:val="28"/>
          <w:lang w:eastAsia="ru-RU"/>
        </w:rPr>
      </w:pPr>
      <w:r w:rsidRPr="00F67FF9">
        <w:rPr>
          <w:sz w:val="28"/>
          <w:szCs w:val="28"/>
          <w:lang w:eastAsia="ru-RU"/>
        </w:rPr>
        <w:t xml:space="preserve">Відповідно зміни до Вимог також передбачають, зокрема: визначення нових термінів «кінцевий бенефіціарний власник» відповідно до законодавства у сфері фінансового моніторингу, «підзвітний рахунок», «статус податкового резидентства» – відповідно до податкового законодавства; встановлення обов’язку депонента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 передбачаються наслідки невиконання депонентами зазначеної вимоги відповідно до закону. </w:t>
      </w:r>
    </w:p>
    <w:p w:rsidR="00BF39DD" w:rsidRPr="006C569A" w:rsidRDefault="00BF39DD" w:rsidP="00BF39DD">
      <w:pPr>
        <w:tabs>
          <w:tab w:val="left" w:pos="0"/>
        </w:tabs>
        <w:spacing w:line="300" w:lineRule="exact"/>
        <w:ind w:firstLine="709"/>
        <w:jc w:val="both"/>
        <w:rPr>
          <w:color w:val="000000"/>
          <w:sz w:val="28"/>
          <w:szCs w:val="28"/>
          <w:lang w:val="ru-RU" w:eastAsia="en-US"/>
        </w:rPr>
      </w:pPr>
      <w:r w:rsidRPr="006C569A">
        <w:rPr>
          <w:rFonts w:eastAsia="Calibri"/>
          <w:sz w:val="28"/>
          <w:szCs w:val="28"/>
          <w:lang w:eastAsia="en-US"/>
        </w:rPr>
        <w:t xml:space="preserve">Відповідно до частини другої статті 3 Закону України «Про засади державної регуляторної політики у сфері господарської діяльності» дія цього Закону не поширюється на здійснення регуляторної діяльності, пов’язаної з прийняттям, зокрема актів Національної комісії з цінних паперів та фондового ринку, за винятком тих, що спрямовані на виконання нею повноважень, визначених пунктами 6, 7, 9, 11-13, 14, 16, 17, 21, 22, 24-26, 30, 30-1, 34 та 37-8 частини другої статті 7 Закону України «Про державне регулювання ринку цінних паперів в Україні», та мають ознаки регуляторного акта. Зазначений </w:t>
      </w:r>
      <w:r w:rsidRPr="006C569A">
        <w:rPr>
          <w:rFonts w:eastAsia="Calibri"/>
          <w:sz w:val="28"/>
          <w:szCs w:val="28"/>
          <w:lang w:val="ru-RU" w:eastAsia="en-US"/>
        </w:rPr>
        <w:t xml:space="preserve">акт </w:t>
      </w:r>
      <w:r w:rsidRPr="006C569A">
        <w:rPr>
          <w:rFonts w:eastAsia="Calibri"/>
          <w:sz w:val="28"/>
          <w:szCs w:val="28"/>
          <w:lang w:eastAsia="en-US"/>
        </w:rPr>
        <w:t>розроблено на виконання повноважень Національної комісії з цінних паперів та фондового ринку, визначених пунктом 13 статті 8 Закону України «Про державне регулювання ринку цінних паперів в Україні», Законом України «Про депозитарну систему України».</w:t>
      </w:r>
    </w:p>
    <w:p w:rsidR="001A5160" w:rsidRDefault="001A5160" w:rsidP="001A5160">
      <w:pPr>
        <w:tabs>
          <w:tab w:val="left" w:pos="0"/>
        </w:tabs>
        <w:ind w:firstLine="709"/>
        <w:jc w:val="both"/>
        <w:rPr>
          <w:b/>
          <w:sz w:val="28"/>
          <w:szCs w:val="28"/>
          <w:lang w:eastAsia="ru-RU"/>
        </w:rPr>
      </w:pPr>
    </w:p>
    <w:p w:rsidR="00F66B18" w:rsidRDefault="0078298D" w:rsidP="00544AFD">
      <w:pPr>
        <w:tabs>
          <w:tab w:val="left" w:pos="0"/>
        </w:tabs>
        <w:spacing w:before="120" w:after="120"/>
        <w:ind w:firstLine="709"/>
        <w:jc w:val="both"/>
        <w:rPr>
          <w:b/>
          <w:sz w:val="28"/>
          <w:szCs w:val="28"/>
          <w:lang w:eastAsia="ru-RU"/>
        </w:rPr>
      </w:pPr>
      <w:r w:rsidRPr="00FD402E">
        <w:rPr>
          <w:b/>
          <w:sz w:val="28"/>
          <w:szCs w:val="28"/>
          <w:lang w:eastAsia="ru-RU"/>
        </w:rPr>
        <w:t xml:space="preserve">4. </w:t>
      </w:r>
      <w:r w:rsidR="00F66B18" w:rsidRPr="00FD402E">
        <w:rPr>
          <w:b/>
          <w:sz w:val="28"/>
          <w:szCs w:val="28"/>
          <w:lang w:eastAsia="ru-RU"/>
        </w:rPr>
        <w:t>Вплив на бюджет</w:t>
      </w:r>
    </w:p>
    <w:p w:rsidR="00986056" w:rsidRPr="00FD402E" w:rsidRDefault="00986056" w:rsidP="00544AFD">
      <w:pPr>
        <w:tabs>
          <w:tab w:val="left" w:pos="0"/>
        </w:tabs>
        <w:spacing w:before="120" w:after="120"/>
        <w:ind w:firstLine="709"/>
        <w:jc w:val="both"/>
        <w:rPr>
          <w:b/>
          <w:sz w:val="28"/>
          <w:szCs w:val="28"/>
          <w:lang w:eastAsia="ru-RU"/>
        </w:rPr>
      </w:pPr>
    </w:p>
    <w:p w:rsidR="00DE6463" w:rsidRPr="003E0A55" w:rsidRDefault="00DE6463" w:rsidP="00F112F5">
      <w:pPr>
        <w:tabs>
          <w:tab w:val="left" w:pos="0"/>
        </w:tabs>
        <w:spacing w:before="120"/>
        <w:ind w:firstLine="709"/>
        <w:jc w:val="both"/>
        <w:rPr>
          <w:sz w:val="28"/>
          <w:szCs w:val="28"/>
          <w:lang w:eastAsia="ru-RU"/>
        </w:rPr>
      </w:pPr>
      <w:r w:rsidRPr="003E0A55">
        <w:rPr>
          <w:sz w:val="28"/>
          <w:szCs w:val="28"/>
          <w:lang w:eastAsia="ru-RU"/>
        </w:rPr>
        <w:t xml:space="preserve">Реалізація </w:t>
      </w:r>
      <w:r w:rsidR="00FD402E">
        <w:rPr>
          <w:sz w:val="28"/>
          <w:szCs w:val="28"/>
          <w:lang w:eastAsia="ru-RU"/>
        </w:rPr>
        <w:t>Проєкту</w:t>
      </w:r>
      <w:r w:rsidRPr="003E0A55">
        <w:rPr>
          <w:sz w:val="28"/>
          <w:szCs w:val="28"/>
          <w:lang w:eastAsia="ru-RU"/>
        </w:rPr>
        <w:t xml:space="preserve"> не потребує фінансування з державного чи місцевого бюджетів.</w:t>
      </w:r>
    </w:p>
    <w:p w:rsidR="00F112F5" w:rsidRDefault="00F112F5" w:rsidP="003458C8">
      <w:pPr>
        <w:tabs>
          <w:tab w:val="left" w:pos="0"/>
        </w:tabs>
        <w:ind w:firstLine="709"/>
        <w:jc w:val="both"/>
        <w:rPr>
          <w:sz w:val="28"/>
          <w:szCs w:val="28"/>
          <w:lang w:eastAsia="ru-RU"/>
        </w:rPr>
      </w:pPr>
    </w:p>
    <w:p w:rsidR="00151D05" w:rsidRDefault="00B0165F" w:rsidP="00544AFD">
      <w:pPr>
        <w:tabs>
          <w:tab w:val="left" w:pos="0"/>
        </w:tabs>
        <w:spacing w:before="120" w:after="120"/>
        <w:ind w:firstLine="709"/>
        <w:jc w:val="both"/>
        <w:rPr>
          <w:b/>
          <w:sz w:val="28"/>
          <w:szCs w:val="28"/>
          <w:lang w:eastAsia="ru-RU"/>
        </w:rPr>
      </w:pPr>
      <w:r w:rsidRPr="00F112F5">
        <w:rPr>
          <w:b/>
          <w:sz w:val="28"/>
          <w:szCs w:val="28"/>
          <w:lang w:eastAsia="ru-RU"/>
        </w:rPr>
        <w:t>5. Позиція заінтересованих сторін</w:t>
      </w:r>
    </w:p>
    <w:p w:rsidR="00986056" w:rsidRPr="00F112F5" w:rsidRDefault="00986056" w:rsidP="00544AFD">
      <w:pPr>
        <w:tabs>
          <w:tab w:val="left" w:pos="0"/>
        </w:tabs>
        <w:spacing w:before="120" w:after="120"/>
        <w:ind w:firstLine="709"/>
        <w:jc w:val="both"/>
        <w:rPr>
          <w:b/>
          <w:sz w:val="28"/>
          <w:szCs w:val="28"/>
          <w:lang w:eastAsia="ru-RU"/>
        </w:rPr>
      </w:pPr>
    </w:p>
    <w:p w:rsidR="000C5BE3" w:rsidRPr="003E0A55" w:rsidRDefault="00F112F5" w:rsidP="0080388A">
      <w:pPr>
        <w:tabs>
          <w:tab w:val="left" w:pos="0"/>
        </w:tabs>
        <w:spacing w:before="120" w:after="120"/>
        <w:ind w:firstLine="709"/>
        <w:jc w:val="both"/>
        <w:rPr>
          <w:sz w:val="28"/>
          <w:szCs w:val="28"/>
          <w:lang w:eastAsia="ru-RU"/>
        </w:rPr>
      </w:pPr>
      <w:r>
        <w:rPr>
          <w:sz w:val="28"/>
          <w:szCs w:val="28"/>
          <w:lang w:eastAsia="ru-RU"/>
        </w:rPr>
        <w:t>Проєкт</w:t>
      </w:r>
      <w:r w:rsidR="000C5BE3" w:rsidRPr="003E0A55">
        <w:rPr>
          <w:sz w:val="28"/>
          <w:szCs w:val="28"/>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p>
    <w:p w:rsidR="000C5BE3" w:rsidRPr="003E0A55" w:rsidRDefault="00F112F5" w:rsidP="0080388A">
      <w:pPr>
        <w:tabs>
          <w:tab w:val="left" w:pos="0"/>
        </w:tabs>
        <w:spacing w:before="120" w:after="120"/>
        <w:ind w:firstLine="709"/>
        <w:jc w:val="both"/>
        <w:rPr>
          <w:sz w:val="28"/>
          <w:szCs w:val="28"/>
          <w:lang w:eastAsia="ru-RU"/>
        </w:rPr>
      </w:pPr>
      <w:r>
        <w:rPr>
          <w:sz w:val="28"/>
          <w:szCs w:val="28"/>
          <w:lang w:eastAsia="ru-RU"/>
        </w:rPr>
        <w:t>Проєкт</w:t>
      </w:r>
      <w:r w:rsidR="000C5BE3" w:rsidRPr="003E0A55">
        <w:rPr>
          <w:sz w:val="28"/>
          <w:szCs w:val="28"/>
          <w:lang w:eastAsia="ru-RU"/>
        </w:rPr>
        <w:t xml:space="preserve"> не стосується наукової та науково-технічної діяльності.</w:t>
      </w:r>
    </w:p>
    <w:p w:rsidR="002D4E8E" w:rsidRPr="003E0A55" w:rsidRDefault="000C5BE3" w:rsidP="0080388A">
      <w:pPr>
        <w:tabs>
          <w:tab w:val="left" w:pos="0"/>
        </w:tabs>
        <w:spacing w:before="120" w:after="120"/>
        <w:ind w:firstLine="709"/>
        <w:jc w:val="both"/>
        <w:rPr>
          <w:sz w:val="28"/>
          <w:szCs w:val="28"/>
          <w:lang w:eastAsia="ru-RU"/>
        </w:rPr>
      </w:pPr>
      <w:r w:rsidRPr="003E0A55">
        <w:rPr>
          <w:sz w:val="28"/>
          <w:szCs w:val="28"/>
          <w:lang w:eastAsia="ru-RU"/>
        </w:rPr>
        <w:t>Проєкт акта оприлюдн</w:t>
      </w:r>
      <w:r w:rsidR="00F112F5">
        <w:rPr>
          <w:sz w:val="28"/>
          <w:szCs w:val="28"/>
          <w:lang w:eastAsia="ru-RU"/>
        </w:rPr>
        <w:t>юється</w:t>
      </w:r>
      <w:r w:rsidRPr="003E0A55">
        <w:rPr>
          <w:sz w:val="28"/>
          <w:szCs w:val="28"/>
          <w:lang w:eastAsia="ru-RU"/>
        </w:rPr>
        <w:t xml:space="preserve"> відповідно до Закону України «Про державне регулювання ринку цінних паперів в Україні» на офіційному сайті Комісії (http:// www.nssmc.gov.ua) для надання зауважень та пропозицій. </w:t>
      </w:r>
    </w:p>
    <w:p w:rsidR="00B413D0" w:rsidRDefault="00B413D0" w:rsidP="0080388A">
      <w:pPr>
        <w:tabs>
          <w:tab w:val="left" w:pos="0"/>
        </w:tabs>
        <w:spacing w:before="120" w:after="120"/>
        <w:ind w:firstLine="709"/>
        <w:jc w:val="both"/>
        <w:rPr>
          <w:sz w:val="28"/>
          <w:szCs w:val="28"/>
          <w:lang w:eastAsia="ru-RU"/>
        </w:rPr>
      </w:pPr>
    </w:p>
    <w:p w:rsidR="002E7DE9" w:rsidRPr="00B413D0" w:rsidRDefault="002E7DE9" w:rsidP="00641F45">
      <w:pPr>
        <w:tabs>
          <w:tab w:val="left" w:pos="0"/>
        </w:tabs>
        <w:spacing w:before="240" w:after="120"/>
        <w:ind w:firstLine="709"/>
        <w:jc w:val="both"/>
        <w:rPr>
          <w:b/>
          <w:sz w:val="28"/>
          <w:szCs w:val="28"/>
          <w:lang w:eastAsia="ru-RU"/>
        </w:rPr>
      </w:pPr>
      <w:r w:rsidRPr="00B413D0">
        <w:rPr>
          <w:b/>
          <w:sz w:val="28"/>
          <w:szCs w:val="28"/>
          <w:lang w:eastAsia="ru-RU"/>
        </w:rPr>
        <w:lastRenderedPageBreak/>
        <w:t>6. Прогноз впливу</w:t>
      </w:r>
    </w:p>
    <w:p w:rsidR="000C5BE3" w:rsidRPr="003E0A55" w:rsidRDefault="000C5BE3" w:rsidP="00641F45">
      <w:pPr>
        <w:tabs>
          <w:tab w:val="left" w:pos="0"/>
        </w:tabs>
        <w:spacing w:before="240"/>
        <w:ind w:firstLine="709"/>
        <w:jc w:val="both"/>
        <w:rPr>
          <w:sz w:val="28"/>
          <w:szCs w:val="28"/>
          <w:lang w:eastAsia="ru-RU"/>
        </w:rPr>
      </w:pPr>
      <w:bookmarkStart w:id="1" w:name="n1731"/>
      <w:bookmarkStart w:id="2" w:name="n1732"/>
      <w:bookmarkEnd w:id="1"/>
      <w:bookmarkEnd w:id="2"/>
      <w:r w:rsidRPr="003E0A55">
        <w:rPr>
          <w:sz w:val="28"/>
          <w:szCs w:val="28"/>
          <w:lang w:eastAsia="ru-RU"/>
        </w:rPr>
        <w:t xml:space="preserve">Очікуваний вплив реалізації </w:t>
      </w:r>
      <w:r w:rsidR="00B413D0">
        <w:rPr>
          <w:sz w:val="28"/>
          <w:szCs w:val="28"/>
          <w:lang w:eastAsia="ru-RU"/>
        </w:rPr>
        <w:t>Проєкту</w:t>
      </w:r>
      <w:r w:rsidRPr="003E0A55">
        <w:rPr>
          <w:sz w:val="28"/>
          <w:szCs w:val="28"/>
          <w:lang w:eastAsia="ru-RU"/>
        </w:rPr>
        <w:t xml:space="preserve"> на:</w:t>
      </w:r>
    </w:p>
    <w:p w:rsidR="000C5BE3" w:rsidRPr="005A22B3" w:rsidRDefault="000C5BE3" w:rsidP="00B23EEC">
      <w:pPr>
        <w:tabs>
          <w:tab w:val="left" w:pos="0"/>
        </w:tabs>
        <w:ind w:firstLine="709"/>
        <w:jc w:val="both"/>
        <w:rPr>
          <w:sz w:val="28"/>
          <w:szCs w:val="28"/>
          <w:lang w:eastAsia="ru-RU"/>
        </w:rPr>
      </w:pPr>
      <w:r w:rsidRPr="005A22B3">
        <w:rPr>
          <w:sz w:val="28"/>
          <w:szCs w:val="28"/>
          <w:lang w:eastAsia="ru-RU"/>
        </w:rPr>
        <w:t>ринкове середовище, забезпечення прав та інтересів суб’єктів господарювання, громадян і держави, розвиток регіонів, ринок праці, сфери суспільних відносин</w:t>
      </w:r>
      <w:r w:rsidRPr="003E0A55">
        <w:rPr>
          <w:sz w:val="28"/>
          <w:szCs w:val="28"/>
          <w:lang w:eastAsia="ru-RU"/>
        </w:rPr>
        <w:t xml:space="preserve"> – </w:t>
      </w:r>
      <w:r w:rsidR="005C01B2">
        <w:rPr>
          <w:sz w:val="28"/>
          <w:szCs w:val="28"/>
          <w:lang w:eastAsia="ru-RU"/>
        </w:rPr>
        <w:t>Проєкт</w:t>
      </w:r>
      <w:r w:rsidRPr="003E0A55">
        <w:rPr>
          <w:sz w:val="28"/>
          <w:szCs w:val="28"/>
          <w:lang w:eastAsia="ru-RU"/>
        </w:rPr>
        <w:t xml:space="preserve"> спрямован</w:t>
      </w:r>
      <w:r w:rsidR="005C01B2">
        <w:rPr>
          <w:sz w:val="28"/>
          <w:szCs w:val="28"/>
          <w:lang w:eastAsia="ru-RU"/>
        </w:rPr>
        <w:t>ий</w:t>
      </w:r>
      <w:r w:rsidRPr="003E0A55">
        <w:rPr>
          <w:sz w:val="28"/>
          <w:szCs w:val="28"/>
          <w:lang w:eastAsia="ru-RU"/>
        </w:rPr>
        <w:t xml:space="preserve"> на приведення </w:t>
      </w:r>
      <w:r w:rsidRPr="005A22B3">
        <w:rPr>
          <w:sz w:val="28"/>
          <w:szCs w:val="28"/>
          <w:lang w:eastAsia="ru-RU"/>
        </w:rPr>
        <w:t xml:space="preserve">нормативно-правових актів Національної комісії з цінних паперів та фондового ринку </w:t>
      </w:r>
      <w:r w:rsidR="005C01B2">
        <w:rPr>
          <w:sz w:val="28"/>
          <w:szCs w:val="28"/>
          <w:lang w:eastAsia="ru-RU"/>
        </w:rPr>
        <w:t xml:space="preserve">щодо провадження депозитарної діяльності </w:t>
      </w:r>
      <w:r w:rsidRPr="005A22B3">
        <w:rPr>
          <w:sz w:val="28"/>
          <w:szCs w:val="28"/>
          <w:lang w:eastAsia="ru-RU"/>
        </w:rPr>
        <w:t xml:space="preserve">у відповідність до вимог </w:t>
      </w:r>
      <w:r w:rsidR="005C01B2">
        <w:rPr>
          <w:sz w:val="28"/>
          <w:szCs w:val="28"/>
          <w:lang w:eastAsia="ru-RU"/>
        </w:rPr>
        <w:t xml:space="preserve">вищевказаних законів </w:t>
      </w:r>
      <w:r w:rsidR="005C01B2" w:rsidRPr="001428A0">
        <w:rPr>
          <w:sz w:val="28"/>
          <w:szCs w:val="28"/>
          <w:lang w:eastAsia="ru-RU"/>
        </w:rPr>
        <w:t xml:space="preserve">з метою </w:t>
      </w:r>
      <w:r w:rsidR="005C01B2">
        <w:rPr>
          <w:sz w:val="28"/>
          <w:szCs w:val="28"/>
          <w:lang w:eastAsia="ru-RU"/>
        </w:rPr>
        <w:t xml:space="preserve">забезпечення </w:t>
      </w:r>
      <w:r w:rsidR="005C01B2" w:rsidRPr="001428A0">
        <w:rPr>
          <w:sz w:val="28"/>
          <w:szCs w:val="28"/>
          <w:lang w:eastAsia="ru-RU"/>
        </w:rPr>
        <w:t>дотримання учасниками депозитарної системи Ук</w:t>
      </w:r>
      <w:r w:rsidR="005C01B2">
        <w:rPr>
          <w:sz w:val="28"/>
          <w:szCs w:val="28"/>
          <w:lang w:eastAsia="ru-RU"/>
        </w:rPr>
        <w:t>раїни вимог актів законодавства</w:t>
      </w:r>
      <w:r w:rsidRPr="005A22B3">
        <w:rPr>
          <w:sz w:val="28"/>
          <w:szCs w:val="28"/>
          <w:lang w:eastAsia="ru-RU"/>
        </w:rPr>
        <w:t>;</w:t>
      </w:r>
    </w:p>
    <w:p w:rsidR="000C5BE3" w:rsidRPr="003E0A55" w:rsidRDefault="000C5BE3" w:rsidP="00B23EEC">
      <w:pPr>
        <w:tabs>
          <w:tab w:val="left" w:pos="0"/>
        </w:tabs>
        <w:ind w:firstLine="709"/>
        <w:jc w:val="both"/>
        <w:rPr>
          <w:sz w:val="28"/>
          <w:szCs w:val="28"/>
          <w:lang w:eastAsia="ru-RU"/>
        </w:rPr>
      </w:pPr>
      <w:r w:rsidRPr="005A22B3">
        <w:rPr>
          <w:sz w:val="28"/>
          <w:szCs w:val="28"/>
          <w:lang w:eastAsia="ru-RU"/>
        </w:rPr>
        <w:t>громадське здоров’я, екологію та навколишнє природне середовище, обсяг природних ресурсів, рівень забрудненого атмосферного повітря, води, земель</w:t>
      </w:r>
      <w:r w:rsidRPr="003E0A55">
        <w:rPr>
          <w:sz w:val="28"/>
          <w:szCs w:val="28"/>
          <w:lang w:eastAsia="ru-RU"/>
        </w:rPr>
        <w:t xml:space="preserve"> – </w:t>
      </w:r>
      <w:r w:rsidR="00BF2A12">
        <w:rPr>
          <w:sz w:val="28"/>
          <w:szCs w:val="28"/>
          <w:lang w:eastAsia="ru-RU"/>
        </w:rPr>
        <w:t>Проєкт</w:t>
      </w:r>
      <w:r w:rsidRPr="003E0A55">
        <w:rPr>
          <w:sz w:val="28"/>
          <w:szCs w:val="28"/>
          <w:lang w:eastAsia="ru-RU"/>
        </w:rPr>
        <w:t xml:space="preserve"> за предметом правового регулювання не регулює зазначені сфери.</w:t>
      </w:r>
    </w:p>
    <w:p w:rsidR="002C62EB" w:rsidRPr="003E0A55" w:rsidRDefault="00BF2A12" w:rsidP="00B23EEC">
      <w:pPr>
        <w:tabs>
          <w:tab w:val="left" w:pos="0"/>
        </w:tabs>
        <w:spacing w:after="120"/>
        <w:ind w:firstLine="709"/>
        <w:jc w:val="both"/>
        <w:rPr>
          <w:sz w:val="28"/>
          <w:szCs w:val="28"/>
          <w:lang w:eastAsia="ru-RU"/>
        </w:rPr>
      </w:pPr>
      <w:r>
        <w:rPr>
          <w:sz w:val="28"/>
          <w:szCs w:val="28"/>
          <w:lang w:eastAsia="ru-RU"/>
        </w:rPr>
        <w:t>Прийняття акта</w:t>
      </w:r>
      <w:r w:rsidR="002C62EB" w:rsidRPr="003E0A55">
        <w:rPr>
          <w:sz w:val="28"/>
          <w:szCs w:val="28"/>
          <w:lang w:eastAsia="ru-RU"/>
        </w:rPr>
        <w:t xml:space="preserve"> забезпечить дотримання учасниками депозитарної системи України вимог актів законодавства, що сприятиме захисту прав та інтересів суб’єктів господарювання, інвесторів в цінні папери і держави у зв’язку з підвищенням якості послуг, які надаються професійними учасниками депозитарної системи України під час обслуговування інвесторів.</w:t>
      </w:r>
    </w:p>
    <w:p w:rsidR="000C5BE3" w:rsidRPr="003E0A55" w:rsidRDefault="000C5BE3" w:rsidP="00B23EEC">
      <w:pPr>
        <w:tabs>
          <w:tab w:val="left" w:pos="0"/>
        </w:tabs>
        <w:ind w:firstLine="709"/>
        <w:jc w:val="both"/>
        <w:rPr>
          <w:sz w:val="28"/>
          <w:szCs w:val="28"/>
          <w:lang w:eastAsia="ru-RU"/>
        </w:rPr>
      </w:pPr>
      <w:r w:rsidRPr="003E0A55">
        <w:rPr>
          <w:sz w:val="28"/>
          <w:szCs w:val="28"/>
          <w:lang w:eastAsia="ru-RU"/>
        </w:rPr>
        <w:t xml:space="preserve">Реалізація </w:t>
      </w:r>
      <w:r w:rsidR="00BF2A12">
        <w:rPr>
          <w:sz w:val="28"/>
          <w:szCs w:val="28"/>
          <w:lang w:eastAsia="ru-RU"/>
        </w:rPr>
        <w:t>акта</w:t>
      </w:r>
      <w:r w:rsidRPr="003E0A55">
        <w:rPr>
          <w:sz w:val="28"/>
          <w:szCs w:val="28"/>
          <w:lang w:eastAsia="ru-RU"/>
        </w:rPr>
        <w:t xml:space="preserve">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0C5BE3" w:rsidRPr="003E0A55" w:rsidRDefault="000C5BE3" w:rsidP="00B23EEC">
      <w:pPr>
        <w:tabs>
          <w:tab w:val="left" w:pos="0"/>
        </w:tabs>
        <w:ind w:firstLine="709"/>
        <w:jc w:val="both"/>
        <w:rPr>
          <w:sz w:val="28"/>
          <w:szCs w:val="28"/>
          <w:lang w:eastAsia="ru-RU"/>
        </w:rPr>
      </w:pPr>
      <w:r w:rsidRPr="003E0A55">
        <w:rPr>
          <w:sz w:val="28"/>
          <w:szCs w:val="28"/>
          <w:lang w:eastAsia="ru-RU"/>
        </w:rPr>
        <w:t xml:space="preserve">Прогноз результатів реалізації </w:t>
      </w:r>
      <w:r w:rsidR="00BF2A12">
        <w:rPr>
          <w:sz w:val="28"/>
          <w:szCs w:val="28"/>
          <w:lang w:eastAsia="ru-RU"/>
        </w:rPr>
        <w:t>акта</w:t>
      </w:r>
      <w:r w:rsidRPr="003E0A55">
        <w:rPr>
          <w:sz w:val="28"/>
          <w:szCs w:val="28"/>
          <w:lang w:eastAsia="ru-RU"/>
        </w:rPr>
        <w:t xml:space="preserve"> визначається в якісному вимірі та є позитивним для усіх заінтересованих сторін: держави, учасників депозитарної системи України, а також не буде містити ризиків при реалізації положень </w:t>
      </w:r>
      <w:r w:rsidR="00BF2A12">
        <w:rPr>
          <w:sz w:val="28"/>
          <w:szCs w:val="28"/>
          <w:lang w:eastAsia="ru-RU"/>
        </w:rPr>
        <w:t>акта</w:t>
      </w:r>
      <w:r w:rsidRPr="003E0A55">
        <w:rPr>
          <w:sz w:val="28"/>
          <w:szCs w:val="28"/>
          <w:lang w:eastAsia="ru-RU"/>
        </w:rPr>
        <w:t>.</w:t>
      </w:r>
    </w:p>
    <w:p w:rsidR="0078648D" w:rsidRDefault="0078648D" w:rsidP="0078648D">
      <w:pPr>
        <w:tabs>
          <w:tab w:val="left" w:pos="0"/>
        </w:tabs>
        <w:ind w:firstLine="709"/>
        <w:jc w:val="both"/>
        <w:rPr>
          <w:sz w:val="28"/>
          <w:szCs w:val="28"/>
          <w:lang w:eastAsia="ru-RU"/>
        </w:rPr>
      </w:pPr>
    </w:p>
    <w:p w:rsidR="00763D6E" w:rsidRPr="0078648D" w:rsidRDefault="000C6EBA" w:rsidP="00B9744E">
      <w:pPr>
        <w:tabs>
          <w:tab w:val="left" w:pos="0"/>
        </w:tabs>
        <w:spacing w:before="120" w:after="240"/>
        <w:ind w:firstLine="709"/>
        <w:jc w:val="both"/>
        <w:rPr>
          <w:b/>
          <w:sz w:val="28"/>
          <w:szCs w:val="28"/>
          <w:lang w:eastAsia="ru-RU"/>
        </w:rPr>
      </w:pPr>
      <w:r w:rsidRPr="0078648D">
        <w:rPr>
          <w:b/>
          <w:sz w:val="28"/>
          <w:szCs w:val="28"/>
          <w:lang w:eastAsia="ru-RU"/>
        </w:rPr>
        <w:t xml:space="preserve">7. </w:t>
      </w:r>
      <w:r w:rsidR="00763D6E" w:rsidRPr="0078648D">
        <w:rPr>
          <w:b/>
          <w:sz w:val="28"/>
          <w:szCs w:val="28"/>
          <w:lang w:eastAsia="ru-RU"/>
        </w:rPr>
        <w:t xml:space="preserve">Позиція заінтересованих </w:t>
      </w:r>
      <w:r w:rsidR="00617BAF" w:rsidRPr="0078648D">
        <w:rPr>
          <w:b/>
          <w:sz w:val="28"/>
          <w:szCs w:val="28"/>
          <w:lang w:eastAsia="ru-RU"/>
        </w:rPr>
        <w:t>органів</w:t>
      </w:r>
    </w:p>
    <w:p w:rsidR="000C5BE3" w:rsidRPr="005A22B3" w:rsidRDefault="009064AB" w:rsidP="00F67FF9">
      <w:pPr>
        <w:tabs>
          <w:tab w:val="left" w:pos="0"/>
        </w:tabs>
        <w:spacing w:before="120"/>
        <w:ind w:firstLine="709"/>
        <w:jc w:val="both"/>
        <w:rPr>
          <w:sz w:val="28"/>
          <w:szCs w:val="28"/>
          <w:lang w:eastAsia="ru-RU"/>
        </w:rPr>
      </w:pPr>
      <w:r>
        <w:rPr>
          <w:sz w:val="28"/>
          <w:szCs w:val="28"/>
          <w:lang w:eastAsia="ru-RU"/>
        </w:rPr>
        <w:t xml:space="preserve">Проєкт </w:t>
      </w:r>
      <w:r w:rsidR="000C5BE3" w:rsidRPr="005A22B3">
        <w:rPr>
          <w:sz w:val="28"/>
          <w:szCs w:val="28"/>
          <w:lang w:eastAsia="ru-RU"/>
        </w:rPr>
        <w:t xml:space="preserve">потребує погодження з </w:t>
      </w:r>
      <w:r w:rsidR="00BA12A0" w:rsidRPr="00783934">
        <w:rPr>
          <w:sz w:val="28"/>
          <w:szCs w:val="28"/>
          <w:lang w:eastAsia="ru-RU"/>
        </w:rPr>
        <w:t>Міністерств</w:t>
      </w:r>
      <w:r w:rsidR="00BA12A0">
        <w:rPr>
          <w:sz w:val="28"/>
          <w:szCs w:val="28"/>
          <w:lang w:eastAsia="ru-RU"/>
        </w:rPr>
        <w:t>ом</w:t>
      </w:r>
      <w:r w:rsidR="00BA12A0" w:rsidRPr="00783934">
        <w:rPr>
          <w:sz w:val="28"/>
          <w:szCs w:val="28"/>
          <w:lang w:eastAsia="ru-RU"/>
        </w:rPr>
        <w:t xml:space="preserve"> фінансів України, Держ</w:t>
      </w:r>
      <w:r w:rsidR="00BA12A0">
        <w:rPr>
          <w:sz w:val="28"/>
          <w:szCs w:val="28"/>
          <w:lang w:eastAsia="ru-RU"/>
        </w:rPr>
        <w:t xml:space="preserve">авною податковою службою України в частині запровадження вимог, встановлених </w:t>
      </w:r>
      <w:r w:rsidR="00BA12A0" w:rsidRPr="001428A0">
        <w:rPr>
          <w:sz w:val="28"/>
          <w:szCs w:val="28"/>
          <w:lang w:eastAsia="ru-RU"/>
        </w:rPr>
        <w:t>Закон</w:t>
      </w:r>
      <w:r w:rsidR="00BA12A0">
        <w:rPr>
          <w:sz w:val="28"/>
          <w:szCs w:val="28"/>
          <w:lang w:eastAsia="ru-RU"/>
        </w:rPr>
        <w:t>ом</w:t>
      </w:r>
      <w:r w:rsidR="00BA12A0" w:rsidRPr="001428A0">
        <w:rPr>
          <w:sz w:val="28"/>
          <w:szCs w:val="28"/>
          <w:lang w:eastAsia="ru-RU"/>
        </w:rPr>
        <w:t xml:space="preserve">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w:t>
      </w:r>
      <w:r w:rsidR="00BA12A0">
        <w:rPr>
          <w:sz w:val="28"/>
          <w:szCs w:val="28"/>
          <w:lang w:eastAsia="ru-RU"/>
        </w:rPr>
        <w:t xml:space="preserve"> до іноземних рахунків» (FATCA) та</w:t>
      </w:r>
      <w:r w:rsidR="00BA12A0" w:rsidRPr="001428A0">
        <w:rPr>
          <w:sz w:val="28"/>
          <w:szCs w:val="28"/>
          <w:lang w:eastAsia="ru-RU"/>
        </w:rPr>
        <w:t xml:space="preserve"> Закон</w:t>
      </w:r>
      <w:r w:rsidR="00BA12A0">
        <w:rPr>
          <w:sz w:val="28"/>
          <w:szCs w:val="28"/>
          <w:lang w:eastAsia="ru-RU"/>
        </w:rPr>
        <w:t>ом</w:t>
      </w:r>
      <w:r w:rsidR="00BA12A0" w:rsidRPr="001428A0">
        <w:rPr>
          <w:sz w:val="28"/>
          <w:szCs w:val="28"/>
          <w:lang w:eastAsia="ru-RU"/>
        </w:rPr>
        <w:t xml:space="preserve"> України від</w:t>
      </w:r>
      <w:r w:rsidR="00BA12A0">
        <w:rPr>
          <w:sz w:val="28"/>
          <w:szCs w:val="28"/>
          <w:lang w:eastAsia="ru-RU"/>
        </w:rPr>
        <w:t> </w:t>
      </w:r>
      <w:r w:rsidR="00BA12A0" w:rsidRPr="001428A0">
        <w:rPr>
          <w:sz w:val="28"/>
          <w:szCs w:val="28"/>
          <w:lang w:eastAsia="ru-RU"/>
        </w:rPr>
        <w:t>03</w:t>
      </w:r>
      <w:r w:rsidR="00BA12A0">
        <w:rPr>
          <w:sz w:val="28"/>
          <w:szCs w:val="28"/>
          <w:lang w:eastAsia="ru-RU"/>
        </w:rPr>
        <w:t> </w:t>
      </w:r>
      <w:r w:rsidR="00BA12A0" w:rsidRPr="001428A0">
        <w:rPr>
          <w:sz w:val="28"/>
          <w:szCs w:val="28"/>
          <w:lang w:eastAsia="ru-RU"/>
        </w:rPr>
        <w:t>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000C5BE3" w:rsidRPr="005A22B3">
        <w:rPr>
          <w:sz w:val="28"/>
          <w:szCs w:val="28"/>
          <w:lang w:eastAsia="ru-RU"/>
        </w:rPr>
        <w:t xml:space="preserve">. </w:t>
      </w:r>
    </w:p>
    <w:p w:rsidR="0030302C" w:rsidRDefault="00125F28" w:rsidP="0034180A">
      <w:pPr>
        <w:tabs>
          <w:tab w:val="left" w:pos="0"/>
        </w:tabs>
        <w:spacing w:before="240"/>
        <w:ind w:firstLine="709"/>
        <w:jc w:val="both"/>
        <w:rPr>
          <w:sz w:val="28"/>
          <w:szCs w:val="28"/>
          <w:lang w:eastAsia="ru-RU"/>
        </w:rPr>
      </w:pPr>
      <w:r>
        <w:rPr>
          <w:sz w:val="28"/>
          <w:szCs w:val="28"/>
          <w:lang w:eastAsia="ru-RU"/>
        </w:rPr>
        <w:lastRenderedPageBreak/>
        <w:t xml:space="preserve">Проєкт </w:t>
      </w:r>
      <w:r w:rsidR="0030302C" w:rsidRPr="003E0A55">
        <w:rPr>
          <w:sz w:val="28"/>
          <w:szCs w:val="28"/>
          <w:lang w:eastAsia="ru-RU"/>
        </w:rPr>
        <w:t>не</w:t>
      </w:r>
      <w:r w:rsidR="006C3121" w:rsidRPr="003E0A55">
        <w:rPr>
          <w:sz w:val="28"/>
          <w:szCs w:val="28"/>
          <w:lang w:eastAsia="ru-RU"/>
        </w:rPr>
        <w:t xml:space="preserve"> потребує проведення цифрової експертизи та отримання висновку</w:t>
      </w:r>
      <w:r w:rsidR="0030302C" w:rsidRPr="003E0A55">
        <w:rPr>
          <w:sz w:val="28"/>
          <w:szCs w:val="28"/>
          <w:lang w:eastAsia="ru-RU"/>
        </w:rPr>
        <w:t xml:space="preserve"> </w:t>
      </w:r>
      <w:r w:rsidR="006C3121" w:rsidRPr="003E0A55">
        <w:rPr>
          <w:sz w:val="28"/>
          <w:szCs w:val="28"/>
          <w:lang w:eastAsia="ru-RU"/>
        </w:rPr>
        <w:t>Міністерства цифрової трансформаці</w:t>
      </w:r>
      <w:r w:rsidR="003D66C6" w:rsidRPr="003E0A55">
        <w:rPr>
          <w:sz w:val="28"/>
          <w:szCs w:val="28"/>
          <w:lang w:eastAsia="ru-RU"/>
        </w:rPr>
        <w:t xml:space="preserve">ї України, у зв’язку з тим, що </w:t>
      </w:r>
      <w:r>
        <w:rPr>
          <w:sz w:val="28"/>
          <w:szCs w:val="28"/>
          <w:lang w:eastAsia="ru-RU"/>
        </w:rPr>
        <w:t>Проєкт</w:t>
      </w:r>
      <w:r w:rsidR="006C3121" w:rsidRPr="003E0A55">
        <w:rPr>
          <w:sz w:val="28"/>
          <w:szCs w:val="28"/>
          <w:lang w:eastAsia="ru-RU"/>
        </w:rPr>
        <w:t xml:space="preserve"> не </w:t>
      </w:r>
      <w:r w:rsidR="0030302C" w:rsidRPr="003E0A55">
        <w:rPr>
          <w:sz w:val="28"/>
          <w:szCs w:val="28"/>
          <w:lang w:eastAsia="ru-RU"/>
        </w:rPr>
        <w:t>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w:t>
      </w:r>
      <w:r w:rsidR="006C3121" w:rsidRPr="003E0A55">
        <w:rPr>
          <w:sz w:val="28"/>
          <w:szCs w:val="28"/>
          <w:lang w:eastAsia="ru-RU"/>
        </w:rPr>
        <w:t xml:space="preserve"> послуг або цифрового розвитку.</w:t>
      </w:r>
    </w:p>
    <w:p w:rsidR="00BD537C" w:rsidRPr="003E0A55" w:rsidRDefault="00BD537C" w:rsidP="00621358">
      <w:pPr>
        <w:tabs>
          <w:tab w:val="left" w:pos="0"/>
        </w:tabs>
        <w:ind w:firstLine="709"/>
        <w:jc w:val="both"/>
        <w:rPr>
          <w:sz w:val="28"/>
          <w:szCs w:val="28"/>
          <w:lang w:eastAsia="ru-RU"/>
        </w:rPr>
      </w:pPr>
    </w:p>
    <w:p w:rsidR="002E7DE9" w:rsidRPr="007A5D1A" w:rsidRDefault="005F770C" w:rsidP="00BD537C">
      <w:pPr>
        <w:tabs>
          <w:tab w:val="left" w:pos="0"/>
        </w:tabs>
        <w:spacing w:before="120" w:after="240"/>
        <w:ind w:firstLine="709"/>
        <w:jc w:val="both"/>
        <w:rPr>
          <w:b/>
          <w:sz w:val="28"/>
          <w:szCs w:val="28"/>
          <w:lang w:eastAsia="ru-RU"/>
        </w:rPr>
      </w:pPr>
      <w:r w:rsidRPr="007A5D1A">
        <w:rPr>
          <w:b/>
          <w:sz w:val="28"/>
          <w:szCs w:val="28"/>
          <w:lang w:eastAsia="ru-RU"/>
        </w:rPr>
        <w:t>8. Ризики та обмеження</w:t>
      </w:r>
    </w:p>
    <w:p w:rsidR="006C3121" w:rsidRPr="005A22B3" w:rsidRDefault="00A82209" w:rsidP="00835854">
      <w:pPr>
        <w:tabs>
          <w:tab w:val="left" w:pos="0"/>
        </w:tabs>
        <w:spacing w:before="240"/>
        <w:ind w:firstLine="709"/>
        <w:jc w:val="both"/>
        <w:rPr>
          <w:sz w:val="28"/>
          <w:szCs w:val="28"/>
          <w:lang w:eastAsia="ru-RU"/>
        </w:rPr>
      </w:pPr>
      <w:r>
        <w:rPr>
          <w:sz w:val="28"/>
          <w:szCs w:val="28"/>
          <w:lang w:eastAsia="ru-RU"/>
        </w:rPr>
        <w:t>Проєкт</w:t>
      </w:r>
      <w:r w:rsidR="006C3121" w:rsidRPr="005A22B3">
        <w:rPr>
          <w:sz w:val="28"/>
          <w:szCs w:val="28"/>
          <w:lang w:eastAsia="ru-RU"/>
        </w:rPr>
        <w:t xml:space="preserve"> не містить норм, що порушують права та свободи, гарантовані Конвенцією про захист прав людини і основоположних свобод, та не містить положень, що стосуються таких прав і свобод.</w:t>
      </w:r>
    </w:p>
    <w:p w:rsidR="006C3121" w:rsidRPr="005A22B3" w:rsidRDefault="00A82209" w:rsidP="008C5B1B">
      <w:pPr>
        <w:tabs>
          <w:tab w:val="left" w:pos="0"/>
        </w:tabs>
        <w:ind w:firstLine="709"/>
        <w:jc w:val="both"/>
        <w:rPr>
          <w:sz w:val="28"/>
          <w:szCs w:val="28"/>
          <w:lang w:eastAsia="ru-RU"/>
        </w:rPr>
      </w:pPr>
      <w:r>
        <w:rPr>
          <w:sz w:val="28"/>
          <w:szCs w:val="28"/>
          <w:lang w:eastAsia="ru-RU"/>
        </w:rPr>
        <w:t>П</w:t>
      </w:r>
      <w:r w:rsidR="006C3121" w:rsidRPr="005A22B3">
        <w:rPr>
          <w:sz w:val="28"/>
          <w:szCs w:val="28"/>
          <w:lang w:eastAsia="ru-RU"/>
        </w:rPr>
        <w:t>роєкт не суперечить: Конституції України; актам, що мають вищу юридичну силу; актам такої самої юридичної сили; вимогам нормопроектувальної техніки.</w:t>
      </w:r>
    </w:p>
    <w:p w:rsidR="006C3121" w:rsidRPr="005A22B3" w:rsidRDefault="006C3121" w:rsidP="008C5B1B">
      <w:pPr>
        <w:tabs>
          <w:tab w:val="left" w:pos="0"/>
        </w:tabs>
        <w:ind w:firstLine="709"/>
        <w:jc w:val="both"/>
        <w:rPr>
          <w:sz w:val="28"/>
          <w:szCs w:val="28"/>
          <w:lang w:eastAsia="ru-RU"/>
        </w:rPr>
      </w:pPr>
      <w:r w:rsidRPr="005A22B3">
        <w:rPr>
          <w:sz w:val="28"/>
          <w:szCs w:val="28"/>
          <w:lang w:eastAsia="ru-RU"/>
        </w:rPr>
        <w:t xml:space="preserve">У </w:t>
      </w:r>
      <w:r w:rsidR="00A82209">
        <w:rPr>
          <w:sz w:val="28"/>
          <w:szCs w:val="28"/>
          <w:lang w:eastAsia="ru-RU"/>
        </w:rPr>
        <w:t>Проєкті</w:t>
      </w:r>
      <w:r w:rsidRPr="005A22B3">
        <w:rPr>
          <w:sz w:val="28"/>
          <w:szCs w:val="28"/>
          <w:lang w:eastAsia="ru-RU"/>
        </w:rPr>
        <w:t xml:space="preserve"> відсутні положення, які містять ознаки дискримінації чи які створюють підстави для дискримінації.</w:t>
      </w:r>
    </w:p>
    <w:p w:rsidR="006C3121" w:rsidRPr="005A22B3" w:rsidRDefault="003D66C6" w:rsidP="008C5B1B">
      <w:pPr>
        <w:tabs>
          <w:tab w:val="left" w:pos="0"/>
        </w:tabs>
        <w:ind w:firstLine="709"/>
        <w:jc w:val="both"/>
        <w:rPr>
          <w:sz w:val="28"/>
          <w:szCs w:val="28"/>
          <w:lang w:eastAsia="ru-RU"/>
        </w:rPr>
      </w:pPr>
      <w:r w:rsidRPr="005A22B3">
        <w:rPr>
          <w:sz w:val="28"/>
          <w:szCs w:val="28"/>
          <w:lang w:eastAsia="ru-RU"/>
        </w:rPr>
        <w:t xml:space="preserve">У </w:t>
      </w:r>
      <w:r w:rsidR="006E2112">
        <w:rPr>
          <w:sz w:val="28"/>
          <w:szCs w:val="28"/>
          <w:lang w:eastAsia="ru-RU"/>
        </w:rPr>
        <w:t>Проєкті</w:t>
      </w:r>
      <w:r w:rsidR="006C3121" w:rsidRPr="005A22B3">
        <w:rPr>
          <w:sz w:val="28"/>
          <w:szCs w:val="28"/>
          <w:lang w:eastAsia="ru-RU"/>
        </w:rPr>
        <w:t xml:space="preserve"> відсутні положення, що містять ризики вчинення корупційних правопорушень та правопорушень, пов’язаних з корупцією.</w:t>
      </w:r>
    </w:p>
    <w:p w:rsidR="009645DD" w:rsidRPr="005A22B3" w:rsidRDefault="006E2112" w:rsidP="008C5B1B">
      <w:pPr>
        <w:tabs>
          <w:tab w:val="left" w:pos="0"/>
        </w:tabs>
        <w:ind w:firstLine="709"/>
        <w:jc w:val="both"/>
        <w:rPr>
          <w:sz w:val="28"/>
          <w:szCs w:val="28"/>
          <w:lang w:eastAsia="ru-RU"/>
        </w:rPr>
      </w:pPr>
      <w:r>
        <w:rPr>
          <w:sz w:val="28"/>
          <w:szCs w:val="28"/>
          <w:lang w:eastAsia="ru-RU"/>
        </w:rPr>
        <w:t>У</w:t>
      </w:r>
      <w:r w:rsidR="003D66C6" w:rsidRPr="005A22B3">
        <w:rPr>
          <w:sz w:val="28"/>
          <w:szCs w:val="28"/>
          <w:lang w:eastAsia="ru-RU"/>
        </w:rPr>
        <w:t xml:space="preserve"> </w:t>
      </w:r>
      <w:r>
        <w:rPr>
          <w:sz w:val="28"/>
          <w:szCs w:val="28"/>
          <w:lang w:eastAsia="ru-RU"/>
        </w:rPr>
        <w:t>П</w:t>
      </w:r>
      <w:r w:rsidR="003D66C6" w:rsidRPr="005A22B3">
        <w:rPr>
          <w:sz w:val="28"/>
          <w:szCs w:val="28"/>
          <w:lang w:eastAsia="ru-RU"/>
        </w:rPr>
        <w:t xml:space="preserve">роєкті </w:t>
      </w:r>
      <w:r w:rsidR="009645DD" w:rsidRPr="005A22B3">
        <w:rPr>
          <w:sz w:val="28"/>
          <w:szCs w:val="28"/>
          <w:lang w:eastAsia="ru-RU"/>
        </w:rPr>
        <w:t xml:space="preserve">відсутні положення, які не відповідають принципу забезпечення рівних прав та можливостей жінок і чоловіків. </w:t>
      </w:r>
    </w:p>
    <w:p w:rsidR="00557A97" w:rsidRDefault="006E2112" w:rsidP="00835854">
      <w:pPr>
        <w:tabs>
          <w:tab w:val="left" w:pos="0"/>
        </w:tabs>
        <w:spacing w:before="120"/>
        <w:ind w:firstLine="709"/>
        <w:jc w:val="both"/>
        <w:rPr>
          <w:sz w:val="28"/>
          <w:szCs w:val="28"/>
          <w:lang w:eastAsia="ru-RU"/>
        </w:rPr>
      </w:pPr>
      <w:r>
        <w:rPr>
          <w:sz w:val="28"/>
          <w:szCs w:val="28"/>
          <w:lang w:eastAsia="ru-RU"/>
        </w:rPr>
        <w:t>Проєкт</w:t>
      </w:r>
      <w:r w:rsidR="006C3121" w:rsidRPr="005A22B3">
        <w:rPr>
          <w:sz w:val="28"/>
          <w:szCs w:val="28"/>
          <w:lang w:eastAsia="ru-RU"/>
        </w:rPr>
        <w:t xml:space="preserve"> не передбачає надання державної допомоги суб’єктам господарювання та відповідно дія Закону України «Про державну допомогу суб’єктам гос</w:t>
      </w:r>
      <w:r w:rsidR="003D66C6" w:rsidRPr="005A22B3">
        <w:rPr>
          <w:sz w:val="28"/>
          <w:szCs w:val="28"/>
          <w:lang w:eastAsia="ru-RU"/>
        </w:rPr>
        <w:t xml:space="preserve">подарювання» не поширюється на </w:t>
      </w:r>
      <w:r w:rsidR="008C5B1B">
        <w:rPr>
          <w:sz w:val="28"/>
          <w:szCs w:val="28"/>
          <w:lang w:eastAsia="ru-RU"/>
        </w:rPr>
        <w:t>Проєкт</w:t>
      </w:r>
      <w:r w:rsidR="006C3121" w:rsidRPr="005A22B3">
        <w:rPr>
          <w:sz w:val="28"/>
          <w:szCs w:val="28"/>
          <w:lang w:eastAsia="ru-RU"/>
        </w:rPr>
        <w:t xml:space="preserve"> та не поширюється на підтримку суб’єктів господарюван</w:t>
      </w:r>
      <w:r w:rsidR="003D66C6" w:rsidRPr="005A22B3">
        <w:rPr>
          <w:sz w:val="28"/>
          <w:szCs w:val="28"/>
          <w:lang w:eastAsia="ru-RU"/>
        </w:rPr>
        <w:t>ня. У зв’язку з цим відповідне р</w:t>
      </w:r>
      <w:r w:rsidR="006C3121" w:rsidRPr="005A22B3">
        <w:rPr>
          <w:sz w:val="28"/>
          <w:szCs w:val="28"/>
          <w:lang w:eastAsia="ru-RU"/>
        </w:rPr>
        <w:t xml:space="preserve">ішення Антимонопольного комітету України, передбачене </w:t>
      </w:r>
      <w:r w:rsidR="008C5B1B">
        <w:rPr>
          <w:sz w:val="28"/>
          <w:szCs w:val="28"/>
          <w:lang w:eastAsia="ru-RU"/>
        </w:rPr>
        <w:t>цим</w:t>
      </w:r>
      <w:r w:rsidR="003D66C6" w:rsidRPr="005A22B3">
        <w:rPr>
          <w:sz w:val="28"/>
          <w:szCs w:val="28"/>
          <w:lang w:eastAsia="ru-RU"/>
        </w:rPr>
        <w:t xml:space="preserve"> Законом, щодо цього </w:t>
      </w:r>
      <w:r w:rsidR="008C5B1B">
        <w:rPr>
          <w:sz w:val="28"/>
          <w:szCs w:val="28"/>
          <w:lang w:eastAsia="ru-RU"/>
        </w:rPr>
        <w:t>Проєкту</w:t>
      </w:r>
      <w:r w:rsidR="006C3121" w:rsidRPr="005A22B3">
        <w:rPr>
          <w:sz w:val="28"/>
          <w:szCs w:val="28"/>
          <w:lang w:eastAsia="ru-RU"/>
        </w:rPr>
        <w:t xml:space="preserve"> не потребується.</w:t>
      </w:r>
    </w:p>
    <w:p w:rsidR="00AE4DC5" w:rsidRPr="005A22B3" w:rsidRDefault="00AE4DC5" w:rsidP="00AE4DC5">
      <w:pPr>
        <w:tabs>
          <w:tab w:val="left" w:pos="0"/>
        </w:tabs>
        <w:ind w:firstLine="709"/>
        <w:jc w:val="both"/>
        <w:rPr>
          <w:sz w:val="28"/>
          <w:szCs w:val="28"/>
          <w:lang w:eastAsia="ru-RU"/>
        </w:rPr>
      </w:pPr>
    </w:p>
    <w:p w:rsidR="00324F5E" w:rsidRPr="005A22B3" w:rsidRDefault="00324F5E" w:rsidP="00BD537C">
      <w:pPr>
        <w:tabs>
          <w:tab w:val="left" w:pos="0"/>
        </w:tabs>
        <w:spacing w:before="120" w:after="240"/>
        <w:ind w:firstLine="709"/>
        <w:jc w:val="both"/>
        <w:rPr>
          <w:b/>
          <w:sz w:val="28"/>
          <w:szCs w:val="28"/>
          <w:lang w:eastAsia="ru-RU"/>
        </w:rPr>
      </w:pPr>
      <w:r w:rsidRPr="005A22B3">
        <w:rPr>
          <w:b/>
          <w:sz w:val="28"/>
          <w:szCs w:val="28"/>
          <w:lang w:eastAsia="ru-RU"/>
        </w:rPr>
        <w:t xml:space="preserve">9. Підстава розроблення акта </w:t>
      </w:r>
    </w:p>
    <w:p w:rsidR="00D815D0" w:rsidRDefault="006953E7" w:rsidP="00D815D0">
      <w:pPr>
        <w:tabs>
          <w:tab w:val="left" w:pos="0"/>
          <w:tab w:val="left" w:pos="142"/>
        </w:tabs>
        <w:spacing w:before="120"/>
        <w:ind w:firstLine="709"/>
        <w:jc w:val="both"/>
        <w:rPr>
          <w:sz w:val="28"/>
          <w:szCs w:val="28"/>
          <w:lang w:eastAsia="ru-RU"/>
        </w:rPr>
      </w:pPr>
      <w:r>
        <w:rPr>
          <w:sz w:val="28"/>
          <w:szCs w:val="28"/>
          <w:lang w:eastAsia="ru-RU"/>
        </w:rPr>
        <w:t>Проєкт</w:t>
      </w:r>
      <w:r w:rsidR="009660E6" w:rsidRPr="003E0A55">
        <w:rPr>
          <w:sz w:val="28"/>
          <w:szCs w:val="28"/>
          <w:lang w:eastAsia="ru-RU"/>
        </w:rPr>
        <w:t xml:space="preserve"> розроблено з метою </w:t>
      </w:r>
      <w:r w:rsidR="00324F5E" w:rsidRPr="003E0A55">
        <w:rPr>
          <w:sz w:val="28"/>
          <w:szCs w:val="28"/>
          <w:lang w:eastAsia="ru-RU"/>
        </w:rPr>
        <w:t xml:space="preserve">приведення деяких нормативно-правових актів Національної комісії з цінних паперів та фондового ринку </w:t>
      </w:r>
      <w:r w:rsidR="00D815D0">
        <w:rPr>
          <w:sz w:val="28"/>
          <w:szCs w:val="28"/>
          <w:lang w:eastAsia="ru-RU"/>
        </w:rPr>
        <w:t xml:space="preserve">щодо провадження депозитарної діяльності </w:t>
      </w:r>
      <w:r w:rsidR="00324F5E" w:rsidRPr="003E0A55">
        <w:rPr>
          <w:sz w:val="28"/>
          <w:szCs w:val="28"/>
          <w:lang w:eastAsia="ru-RU"/>
        </w:rPr>
        <w:t xml:space="preserve">у відповідність до вимог </w:t>
      </w:r>
      <w:r w:rsidR="00D815D0" w:rsidRPr="001428A0">
        <w:rPr>
          <w:sz w:val="28"/>
          <w:szCs w:val="28"/>
          <w:lang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03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w:t>
      </w:r>
      <w:r w:rsidR="00D815D0" w:rsidRPr="001428A0">
        <w:rPr>
          <w:sz w:val="28"/>
          <w:szCs w:val="28"/>
          <w:lang w:eastAsia="ru-RU"/>
        </w:rPr>
        <w:lastRenderedPageBreak/>
        <w:t>вимоги до іноземних рахунків» (FATCA), Закону України від 12 вересня 2019</w:t>
      </w:r>
      <w:r w:rsidR="00E110B9">
        <w:rPr>
          <w:sz w:val="28"/>
          <w:szCs w:val="28"/>
          <w:lang w:eastAsia="ru-RU"/>
        </w:rPr>
        <w:t> </w:t>
      </w:r>
      <w:r w:rsidR="00D815D0" w:rsidRPr="001428A0">
        <w:rPr>
          <w:sz w:val="28"/>
          <w:szCs w:val="28"/>
          <w:lang w:eastAsia="ru-RU"/>
        </w:rPr>
        <w:t>року № 79-ІХ «Про внесення змін до деяких законодавчих актів України щодо удосконалення функцій із державного регулювання ринків фінансових послуг», з метою дотримання учасниками депозитарної системи України вимог актів законодавства.</w:t>
      </w:r>
    </w:p>
    <w:p w:rsidR="00324F5E" w:rsidRDefault="00324F5E" w:rsidP="00F67FF9">
      <w:pPr>
        <w:tabs>
          <w:tab w:val="left" w:pos="0"/>
        </w:tabs>
        <w:spacing w:before="120"/>
        <w:ind w:firstLine="709"/>
        <w:jc w:val="both"/>
        <w:rPr>
          <w:sz w:val="28"/>
          <w:szCs w:val="28"/>
          <w:lang w:eastAsia="ru-RU"/>
        </w:rPr>
      </w:pPr>
    </w:p>
    <w:p w:rsidR="00F2536E" w:rsidRDefault="00F2536E" w:rsidP="00F67FF9">
      <w:pPr>
        <w:tabs>
          <w:tab w:val="left" w:pos="0"/>
        </w:tabs>
        <w:spacing w:before="120"/>
        <w:ind w:firstLine="709"/>
        <w:jc w:val="both"/>
        <w:rPr>
          <w:sz w:val="28"/>
          <w:szCs w:val="28"/>
          <w:lang w:eastAsia="ru-RU"/>
        </w:rPr>
      </w:pPr>
    </w:p>
    <w:p w:rsidR="001B6E51" w:rsidRPr="003E0A55" w:rsidRDefault="001B6E51" w:rsidP="00F67FF9">
      <w:pPr>
        <w:tabs>
          <w:tab w:val="left" w:pos="0"/>
        </w:tabs>
        <w:spacing w:before="120"/>
        <w:ind w:firstLine="709"/>
        <w:jc w:val="both"/>
        <w:rPr>
          <w:sz w:val="28"/>
          <w:szCs w:val="28"/>
          <w:lang w:eastAsia="ru-RU"/>
        </w:rPr>
      </w:pPr>
    </w:p>
    <w:p w:rsidR="005A34AB" w:rsidRPr="005A34AB" w:rsidRDefault="005A34AB" w:rsidP="005A34AB">
      <w:pPr>
        <w:keepNext/>
        <w:jc w:val="both"/>
        <w:rPr>
          <w:sz w:val="28"/>
          <w:szCs w:val="28"/>
          <w:lang w:eastAsia="ru-RU"/>
        </w:rPr>
      </w:pPr>
      <w:r w:rsidRPr="005A34AB">
        <w:rPr>
          <w:sz w:val="28"/>
          <w:szCs w:val="28"/>
          <w:lang w:eastAsia="ru-RU"/>
        </w:rPr>
        <w:t xml:space="preserve">Директор департаменту методології </w:t>
      </w:r>
    </w:p>
    <w:p w:rsidR="005A34AB" w:rsidRPr="005A34AB" w:rsidRDefault="005A34AB" w:rsidP="005A34AB">
      <w:pPr>
        <w:keepNext/>
        <w:jc w:val="both"/>
        <w:rPr>
          <w:sz w:val="28"/>
          <w:szCs w:val="28"/>
          <w:lang w:eastAsia="ru-RU"/>
        </w:rPr>
      </w:pPr>
      <w:r w:rsidRPr="005A34AB">
        <w:rPr>
          <w:sz w:val="28"/>
          <w:szCs w:val="28"/>
          <w:lang w:eastAsia="ru-RU"/>
        </w:rPr>
        <w:t xml:space="preserve">регулювання професійних учасників   </w:t>
      </w:r>
    </w:p>
    <w:p w:rsidR="005A34AB" w:rsidRPr="005A34AB" w:rsidRDefault="005A34AB" w:rsidP="005A34AB">
      <w:pPr>
        <w:keepNext/>
        <w:jc w:val="both"/>
        <w:rPr>
          <w:sz w:val="28"/>
          <w:szCs w:val="28"/>
          <w:lang w:eastAsia="ru-RU"/>
        </w:rPr>
      </w:pPr>
      <w:r w:rsidRPr="005A34AB">
        <w:rPr>
          <w:sz w:val="28"/>
          <w:szCs w:val="28"/>
          <w:lang w:eastAsia="ru-RU"/>
        </w:rPr>
        <w:t>ринку цінних паперів                                                                         І. Курочкіна</w:t>
      </w:r>
    </w:p>
    <w:p w:rsidR="00853CD8" w:rsidRPr="005A22B3" w:rsidRDefault="00853CD8" w:rsidP="00F67FF9">
      <w:pPr>
        <w:tabs>
          <w:tab w:val="left" w:pos="0"/>
        </w:tabs>
        <w:spacing w:before="120"/>
        <w:ind w:firstLine="709"/>
        <w:jc w:val="both"/>
        <w:rPr>
          <w:b/>
          <w:sz w:val="28"/>
          <w:szCs w:val="28"/>
          <w:lang w:eastAsia="ru-RU"/>
        </w:rPr>
      </w:pPr>
    </w:p>
    <w:p w:rsidR="00853CD8" w:rsidRDefault="00853CD8" w:rsidP="00F67FF9">
      <w:pPr>
        <w:tabs>
          <w:tab w:val="left" w:pos="0"/>
        </w:tabs>
        <w:spacing w:before="120"/>
        <w:ind w:firstLine="709"/>
        <w:jc w:val="both"/>
        <w:rPr>
          <w:sz w:val="28"/>
          <w:szCs w:val="28"/>
          <w:lang w:eastAsia="ru-RU"/>
        </w:rPr>
      </w:pPr>
    </w:p>
    <w:p w:rsidR="001B6E51" w:rsidRDefault="001B6E51" w:rsidP="00F67FF9">
      <w:pPr>
        <w:tabs>
          <w:tab w:val="left" w:pos="0"/>
        </w:tabs>
        <w:spacing w:before="120"/>
        <w:ind w:firstLine="709"/>
        <w:jc w:val="both"/>
        <w:rPr>
          <w:sz w:val="28"/>
          <w:szCs w:val="28"/>
          <w:lang w:eastAsia="ru-RU"/>
        </w:rPr>
      </w:pPr>
    </w:p>
    <w:p w:rsidR="001B6E51" w:rsidRDefault="001B6E51" w:rsidP="00F67FF9">
      <w:pPr>
        <w:tabs>
          <w:tab w:val="left" w:pos="0"/>
        </w:tabs>
        <w:spacing w:before="120"/>
        <w:ind w:firstLine="709"/>
        <w:jc w:val="both"/>
        <w:rPr>
          <w:sz w:val="28"/>
          <w:szCs w:val="28"/>
          <w:lang w:eastAsia="ru-RU"/>
        </w:rPr>
      </w:pPr>
    </w:p>
    <w:p w:rsidR="001B6E51" w:rsidRDefault="001B6E51" w:rsidP="00F67FF9">
      <w:pPr>
        <w:tabs>
          <w:tab w:val="left" w:pos="0"/>
        </w:tabs>
        <w:spacing w:before="120"/>
        <w:ind w:firstLine="709"/>
        <w:jc w:val="both"/>
        <w:rPr>
          <w:sz w:val="28"/>
          <w:szCs w:val="28"/>
          <w:lang w:eastAsia="ru-RU"/>
        </w:rPr>
      </w:pPr>
    </w:p>
    <w:p w:rsidR="001B6E51" w:rsidRPr="005A22B3" w:rsidRDefault="001B6E51" w:rsidP="00F67FF9">
      <w:pPr>
        <w:tabs>
          <w:tab w:val="left" w:pos="0"/>
        </w:tabs>
        <w:spacing w:before="120"/>
        <w:ind w:firstLine="709"/>
        <w:jc w:val="both"/>
        <w:rPr>
          <w:sz w:val="28"/>
          <w:szCs w:val="28"/>
          <w:lang w:eastAsia="ru-RU"/>
        </w:rPr>
      </w:pPr>
    </w:p>
    <w:p w:rsidR="00853CD8" w:rsidRPr="005A22B3" w:rsidRDefault="005A22B3" w:rsidP="00F67FF9">
      <w:pPr>
        <w:tabs>
          <w:tab w:val="left" w:pos="0"/>
        </w:tabs>
        <w:spacing w:before="120"/>
        <w:ind w:firstLine="709"/>
        <w:jc w:val="both"/>
        <w:rPr>
          <w:sz w:val="28"/>
          <w:szCs w:val="28"/>
          <w:lang w:eastAsia="ru-RU"/>
        </w:rPr>
      </w:pPr>
      <w:r>
        <w:rPr>
          <w:sz w:val="28"/>
          <w:szCs w:val="28"/>
          <w:lang w:eastAsia="ru-RU"/>
        </w:rPr>
        <w:t xml:space="preserve">__ травня </w:t>
      </w:r>
      <w:r w:rsidR="00853CD8" w:rsidRPr="005A22B3">
        <w:rPr>
          <w:sz w:val="28"/>
          <w:szCs w:val="28"/>
          <w:lang w:eastAsia="ru-RU"/>
        </w:rPr>
        <w:t>2020 р.</w:t>
      </w:r>
    </w:p>
    <w:p w:rsidR="000925F0" w:rsidRPr="003E0A55" w:rsidRDefault="000925F0" w:rsidP="00F67FF9">
      <w:pPr>
        <w:tabs>
          <w:tab w:val="left" w:pos="0"/>
        </w:tabs>
        <w:ind w:firstLine="709"/>
        <w:jc w:val="both"/>
        <w:rPr>
          <w:sz w:val="28"/>
          <w:szCs w:val="28"/>
          <w:lang w:eastAsia="ru-RU"/>
        </w:rPr>
      </w:pPr>
    </w:p>
    <w:sectPr w:rsidR="000925F0" w:rsidRPr="003E0A55" w:rsidSect="00F407B9">
      <w:headerReference w:type="even" r:id="rId7"/>
      <w:headerReference w:type="default" r:id="rId8"/>
      <w:pgSz w:w="11906" w:h="16838"/>
      <w:pgMar w:top="1135" w:right="99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2E" w:rsidRDefault="0026602E">
      <w:r>
        <w:separator/>
      </w:r>
    </w:p>
  </w:endnote>
  <w:endnote w:type="continuationSeparator" w:id="0">
    <w:p w:rsidR="0026602E" w:rsidRDefault="0026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2E" w:rsidRDefault="0026602E">
      <w:r>
        <w:separator/>
      </w:r>
    </w:p>
  </w:footnote>
  <w:footnote w:type="continuationSeparator" w:id="0">
    <w:p w:rsidR="0026602E" w:rsidRDefault="0026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0C" w:rsidRDefault="00673D0C" w:rsidP="00452D75">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73D0C" w:rsidRDefault="00673D0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0C" w:rsidRDefault="00673D0C" w:rsidP="00452D75">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14F01">
      <w:rPr>
        <w:rStyle w:val="ad"/>
        <w:noProof/>
      </w:rPr>
      <w:t>2</w:t>
    </w:r>
    <w:r>
      <w:rPr>
        <w:rStyle w:val="ad"/>
      </w:rPr>
      <w:fldChar w:fldCharType="end"/>
    </w:r>
  </w:p>
  <w:p w:rsidR="00093EB9" w:rsidRDefault="00093EB9" w:rsidP="005F141F">
    <w:pPr>
      <w:pStyle w:val="aa"/>
    </w:pPr>
  </w:p>
  <w:p w:rsidR="004D5134" w:rsidRDefault="004D5134" w:rsidP="005F141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79C"/>
    <w:multiLevelType w:val="hybridMultilevel"/>
    <w:tmpl w:val="F056A00A"/>
    <w:lvl w:ilvl="0" w:tplc="A49A2A1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900A6F"/>
    <w:multiLevelType w:val="hybridMultilevel"/>
    <w:tmpl w:val="7F60FE14"/>
    <w:lvl w:ilvl="0" w:tplc="F3D2805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5AC03082"/>
    <w:multiLevelType w:val="hybridMultilevel"/>
    <w:tmpl w:val="46B85E52"/>
    <w:lvl w:ilvl="0" w:tplc="3A04FCBC">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15:restartNumberingAfterBreak="0">
    <w:nsid w:val="655118CC"/>
    <w:multiLevelType w:val="hybridMultilevel"/>
    <w:tmpl w:val="EC867B8C"/>
    <w:lvl w:ilvl="0" w:tplc="8528DEB2">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9F64B68"/>
    <w:multiLevelType w:val="hybridMultilevel"/>
    <w:tmpl w:val="3AE25586"/>
    <w:lvl w:ilvl="0" w:tplc="84BCB040">
      <w:start w:val="2"/>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A4226A0"/>
    <w:multiLevelType w:val="singleLevel"/>
    <w:tmpl w:val="9F6C6828"/>
    <w:lvl w:ilvl="0">
      <w:numFmt w:val="bullet"/>
      <w:lvlText w:val="-"/>
      <w:lvlJc w:val="left"/>
      <w:pPr>
        <w:tabs>
          <w:tab w:val="num" w:pos="360"/>
        </w:tabs>
        <w:ind w:left="360" w:hanging="360"/>
      </w:pPr>
      <w:rPr>
        <w:rFonts w:hint="default"/>
      </w:rPr>
    </w:lvl>
  </w:abstractNum>
  <w:abstractNum w:abstractNumId="7" w15:restartNumberingAfterBreak="0">
    <w:nsid w:val="70FB1DF4"/>
    <w:multiLevelType w:val="hybridMultilevel"/>
    <w:tmpl w:val="1D1E743A"/>
    <w:lvl w:ilvl="0" w:tplc="022EF5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666"/>
    <w:rsid w:val="00000B0B"/>
    <w:rsid w:val="00005697"/>
    <w:rsid w:val="00013A18"/>
    <w:rsid w:val="00021441"/>
    <w:rsid w:val="0002705A"/>
    <w:rsid w:val="0004004C"/>
    <w:rsid w:val="00042027"/>
    <w:rsid w:val="00044F6A"/>
    <w:rsid w:val="0005039A"/>
    <w:rsid w:val="00062960"/>
    <w:rsid w:val="00062AEE"/>
    <w:rsid w:val="000631BE"/>
    <w:rsid w:val="00065806"/>
    <w:rsid w:val="00071724"/>
    <w:rsid w:val="00072525"/>
    <w:rsid w:val="00073269"/>
    <w:rsid w:val="0007489E"/>
    <w:rsid w:val="000749A5"/>
    <w:rsid w:val="00075301"/>
    <w:rsid w:val="00080164"/>
    <w:rsid w:val="0008171A"/>
    <w:rsid w:val="00084102"/>
    <w:rsid w:val="00086390"/>
    <w:rsid w:val="00086468"/>
    <w:rsid w:val="00091338"/>
    <w:rsid w:val="000925F0"/>
    <w:rsid w:val="00093EB9"/>
    <w:rsid w:val="000B0149"/>
    <w:rsid w:val="000B4195"/>
    <w:rsid w:val="000C06A4"/>
    <w:rsid w:val="000C5BE3"/>
    <w:rsid w:val="000C6EBA"/>
    <w:rsid w:val="000C73B5"/>
    <w:rsid w:val="000E1660"/>
    <w:rsid w:val="000E301E"/>
    <w:rsid w:val="000F0F0D"/>
    <w:rsid w:val="0010066E"/>
    <w:rsid w:val="00101A12"/>
    <w:rsid w:val="00104ABD"/>
    <w:rsid w:val="0010529C"/>
    <w:rsid w:val="00107881"/>
    <w:rsid w:val="00114F01"/>
    <w:rsid w:val="00117313"/>
    <w:rsid w:val="00117C4D"/>
    <w:rsid w:val="00120AA2"/>
    <w:rsid w:val="00122B83"/>
    <w:rsid w:val="00125F28"/>
    <w:rsid w:val="00126AFD"/>
    <w:rsid w:val="0013093D"/>
    <w:rsid w:val="001322C2"/>
    <w:rsid w:val="00133248"/>
    <w:rsid w:val="00134BAA"/>
    <w:rsid w:val="00134F95"/>
    <w:rsid w:val="001372AF"/>
    <w:rsid w:val="00141FD9"/>
    <w:rsid w:val="001428A0"/>
    <w:rsid w:val="00151D05"/>
    <w:rsid w:val="00154A2F"/>
    <w:rsid w:val="001661B6"/>
    <w:rsid w:val="00166259"/>
    <w:rsid w:val="00173A29"/>
    <w:rsid w:val="00174612"/>
    <w:rsid w:val="0017698D"/>
    <w:rsid w:val="00176BED"/>
    <w:rsid w:val="001810AE"/>
    <w:rsid w:val="00187FEF"/>
    <w:rsid w:val="001911AC"/>
    <w:rsid w:val="00192B47"/>
    <w:rsid w:val="00194589"/>
    <w:rsid w:val="00194CDC"/>
    <w:rsid w:val="001A2F02"/>
    <w:rsid w:val="001A5160"/>
    <w:rsid w:val="001B0421"/>
    <w:rsid w:val="001B3E0F"/>
    <w:rsid w:val="001B6E51"/>
    <w:rsid w:val="001C2164"/>
    <w:rsid w:val="001C24F4"/>
    <w:rsid w:val="001D13AE"/>
    <w:rsid w:val="001D1FE0"/>
    <w:rsid w:val="001D2B38"/>
    <w:rsid w:val="001E414E"/>
    <w:rsid w:val="001E6666"/>
    <w:rsid w:val="001E796F"/>
    <w:rsid w:val="001F47F1"/>
    <w:rsid w:val="00201120"/>
    <w:rsid w:val="0020677B"/>
    <w:rsid w:val="0020761D"/>
    <w:rsid w:val="00220B5C"/>
    <w:rsid w:val="00221D3A"/>
    <w:rsid w:val="0022219C"/>
    <w:rsid w:val="00230FC6"/>
    <w:rsid w:val="00231987"/>
    <w:rsid w:val="0023703B"/>
    <w:rsid w:val="002402DC"/>
    <w:rsid w:val="002453E8"/>
    <w:rsid w:val="00245DF5"/>
    <w:rsid w:val="0025009A"/>
    <w:rsid w:val="00252159"/>
    <w:rsid w:val="00264A9B"/>
    <w:rsid w:val="0026602E"/>
    <w:rsid w:val="0026736F"/>
    <w:rsid w:val="00271435"/>
    <w:rsid w:val="00274DC2"/>
    <w:rsid w:val="00281176"/>
    <w:rsid w:val="00281510"/>
    <w:rsid w:val="00281BF9"/>
    <w:rsid w:val="0028360A"/>
    <w:rsid w:val="002915B7"/>
    <w:rsid w:val="0029236C"/>
    <w:rsid w:val="002A0059"/>
    <w:rsid w:val="002A6C95"/>
    <w:rsid w:val="002B15BA"/>
    <w:rsid w:val="002B433B"/>
    <w:rsid w:val="002C62EB"/>
    <w:rsid w:val="002D0E9E"/>
    <w:rsid w:val="002D4827"/>
    <w:rsid w:val="002D4A77"/>
    <w:rsid w:val="002D4E8E"/>
    <w:rsid w:val="002D7794"/>
    <w:rsid w:val="002E3261"/>
    <w:rsid w:val="002E67CB"/>
    <w:rsid w:val="002E7DE9"/>
    <w:rsid w:val="002F0A63"/>
    <w:rsid w:val="002F2BE1"/>
    <w:rsid w:val="002F2EB2"/>
    <w:rsid w:val="002F6500"/>
    <w:rsid w:val="00301005"/>
    <w:rsid w:val="00302915"/>
    <w:rsid w:val="0030302C"/>
    <w:rsid w:val="00304EB1"/>
    <w:rsid w:val="003059AF"/>
    <w:rsid w:val="00307E26"/>
    <w:rsid w:val="00310EC3"/>
    <w:rsid w:val="0031318E"/>
    <w:rsid w:val="00315A0A"/>
    <w:rsid w:val="00324F5E"/>
    <w:rsid w:val="00330DBE"/>
    <w:rsid w:val="0033371C"/>
    <w:rsid w:val="0034114A"/>
    <w:rsid w:val="0034180A"/>
    <w:rsid w:val="00342649"/>
    <w:rsid w:val="00343CF2"/>
    <w:rsid w:val="003458C8"/>
    <w:rsid w:val="00351139"/>
    <w:rsid w:val="003527E7"/>
    <w:rsid w:val="00353095"/>
    <w:rsid w:val="0035437C"/>
    <w:rsid w:val="00354531"/>
    <w:rsid w:val="00356801"/>
    <w:rsid w:val="00356FB8"/>
    <w:rsid w:val="00364C49"/>
    <w:rsid w:val="003713B0"/>
    <w:rsid w:val="00371E87"/>
    <w:rsid w:val="003726F6"/>
    <w:rsid w:val="00372FC1"/>
    <w:rsid w:val="003738DE"/>
    <w:rsid w:val="003825C8"/>
    <w:rsid w:val="003829A2"/>
    <w:rsid w:val="00390B15"/>
    <w:rsid w:val="00393734"/>
    <w:rsid w:val="00394DCA"/>
    <w:rsid w:val="003A576A"/>
    <w:rsid w:val="003B79C4"/>
    <w:rsid w:val="003B7D81"/>
    <w:rsid w:val="003C2362"/>
    <w:rsid w:val="003C3124"/>
    <w:rsid w:val="003C322D"/>
    <w:rsid w:val="003C6D91"/>
    <w:rsid w:val="003C7FEF"/>
    <w:rsid w:val="003D3490"/>
    <w:rsid w:val="003D5CC8"/>
    <w:rsid w:val="003D66C6"/>
    <w:rsid w:val="003E0A55"/>
    <w:rsid w:val="003E20AD"/>
    <w:rsid w:val="003E2A05"/>
    <w:rsid w:val="003E2F34"/>
    <w:rsid w:val="003E6A46"/>
    <w:rsid w:val="003E794E"/>
    <w:rsid w:val="003F2738"/>
    <w:rsid w:val="004030F1"/>
    <w:rsid w:val="00413C93"/>
    <w:rsid w:val="00413F69"/>
    <w:rsid w:val="00430245"/>
    <w:rsid w:val="00435583"/>
    <w:rsid w:val="00435E15"/>
    <w:rsid w:val="004414FF"/>
    <w:rsid w:val="0044197C"/>
    <w:rsid w:val="00451FAA"/>
    <w:rsid w:val="00452D75"/>
    <w:rsid w:val="00454A6F"/>
    <w:rsid w:val="004703EF"/>
    <w:rsid w:val="00477574"/>
    <w:rsid w:val="00485538"/>
    <w:rsid w:val="00490FDC"/>
    <w:rsid w:val="00492993"/>
    <w:rsid w:val="00493D0E"/>
    <w:rsid w:val="00497804"/>
    <w:rsid w:val="004A4A6A"/>
    <w:rsid w:val="004A4B39"/>
    <w:rsid w:val="004B62E1"/>
    <w:rsid w:val="004B7B7E"/>
    <w:rsid w:val="004C06D2"/>
    <w:rsid w:val="004C23D3"/>
    <w:rsid w:val="004C5336"/>
    <w:rsid w:val="004C7714"/>
    <w:rsid w:val="004D0DE6"/>
    <w:rsid w:val="004D24DC"/>
    <w:rsid w:val="004D2EC3"/>
    <w:rsid w:val="004D5134"/>
    <w:rsid w:val="004D6A8C"/>
    <w:rsid w:val="004E6631"/>
    <w:rsid w:val="004F5EDB"/>
    <w:rsid w:val="004F6E80"/>
    <w:rsid w:val="00505F56"/>
    <w:rsid w:val="00510F2B"/>
    <w:rsid w:val="00512C33"/>
    <w:rsid w:val="0051306D"/>
    <w:rsid w:val="00513513"/>
    <w:rsid w:val="00513A57"/>
    <w:rsid w:val="00514045"/>
    <w:rsid w:val="005142CE"/>
    <w:rsid w:val="00517961"/>
    <w:rsid w:val="005242DA"/>
    <w:rsid w:val="00526C77"/>
    <w:rsid w:val="0053265B"/>
    <w:rsid w:val="005333B9"/>
    <w:rsid w:val="0053371B"/>
    <w:rsid w:val="00543E14"/>
    <w:rsid w:val="00544AFD"/>
    <w:rsid w:val="00553814"/>
    <w:rsid w:val="005562BD"/>
    <w:rsid w:val="00557A97"/>
    <w:rsid w:val="00562D92"/>
    <w:rsid w:val="00565B2C"/>
    <w:rsid w:val="00566C63"/>
    <w:rsid w:val="0056767C"/>
    <w:rsid w:val="00574529"/>
    <w:rsid w:val="00577531"/>
    <w:rsid w:val="00581355"/>
    <w:rsid w:val="00582D22"/>
    <w:rsid w:val="0058641B"/>
    <w:rsid w:val="00593D49"/>
    <w:rsid w:val="00597323"/>
    <w:rsid w:val="005A0448"/>
    <w:rsid w:val="005A22B3"/>
    <w:rsid w:val="005A34AB"/>
    <w:rsid w:val="005A4760"/>
    <w:rsid w:val="005B2F2D"/>
    <w:rsid w:val="005B3722"/>
    <w:rsid w:val="005B617D"/>
    <w:rsid w:val="005C01B2"/>
    <w:rsid w:val="005C5468"/>
    <w:rsid w:val="005D0598"/>
    <w:rsid w:val="005D1239"/>
    <w:rsid w:val="005D7474"/>
    <w:rsid w:val="005D7A07"/>
    <w:rsid w:val="005E1895"/>
    <w:rsid w:val="005F0236"/>
    <w:rsid w:val="005F086B"/>
    <w:rsid w:val="005F141F"/>
    <w:rsid w:val="005F5840"/>
    <w:rsid w:val="005F724F"/>
    <w:rsid w:val="005F73EC"/>
    <w:rsid w:val="005F770C"/>
    <w:rsid w:val="0060166E"/>
    <w:rsid w:val="00602255"/>
    <w:rsid w:val="00615374"/>
    <w:rsid w:val="00617BAF"/>
    <w:rsid w:val="00617E71"/>
    <w:rsid w:val="00621358"/>
    <w:rsid w:val="00627BE7"/>
    <w:rsid w:val="00627EE0"/>
    <w:rsid w:val="0063593E"/>
    <w:rsid w:val="006407F0"/>
    <w:rsid w:val="00641F45"/>
    <w:rsid w:val="006423F3"/>
    <w:rsid w:val="00651A18"/>
    <w:rsid w:val="006522F4"/>
    <w:rsid w:val="00654641"/>
    <w:rsid w:val="00661AD9"/>
    <w:rsid w:val="00664C7F"/>
    <w:rsid w:val="00666EB6"/>
    <w:rsid w:val="006724CB"/>
    <w:rsid w:val="00673D0C"/>
    <w:rsid w:val="00682F67"/>
    <w:rsid w:val="00692AF3"/>
    <w:rsid w:val="006953E7"/>
    <w:rsid w:val="00695F5A"/>
    <w:rsid w:val="006A5B75"/>
    <w:rsid w:val="006B2A8E"/>
    <w:rsid w:val="006B473E"/>
    <w:rsid w:val="006B4CE9"/>
    <w:rsid w:val="006B5410"/>
    <w:rsid w:val="006B554F"/>
    <w:rsid w:val="006B61EE"/>
    <w:rsid w:val="006B673A"/>
    <w:rsid w:val="006C0EAA"/>
    <w:rsid w:val="006C3121"/>
    <w:rsid w:val="006C569A"/>
    <w:rsid w:val="006D014B"/>
    <w:rsid w:val="006D269F"/>
    <w:rsid w:val="006D473D"/>
    <w:rsid w:val="006E2112"/>
    <w:rsid w:val="006E2264"/>
    <w:rsid w:val="006E403D"/>
    <w:rsid w:val="006E5DB6"/>
    <w:rsid w:val="006E7843"/>
    <w:rsid w:val="006F1303"/>
    <w:rsid w:val="006F5E19"/>
    <w:rsid w:val="0070261B"/>
    <w:rsid w:val="00706885"/>
    <w:rsid w:val="00713BA0"/>
    <w:rsid w:val="00715486"/>
    <w:rsid w:val="007167EC"/>
    <w:rsid w:val="00717973"/>
    <w:rsid w:val="00724C3C"/>
    <w:rsid w:val="00726FDF"/>
    <w:rsid w:val="00730464"/>
    <w:rsid w:val="00733D6A"/>
    <w:rsid w:val="007421D6"/>
    <w:rsid w:val="00756CD0"/>
    <w:rsid w:val="00757985"/>
    <w:rsid w:val="00757F1B"/>
    <w:rsid w:val="00763D6E"/>
    <w:rsid w:val="00763F41"/>
    <w:rsid w:val="007670DF"/>
    <w:rsid w:val="00770E67"/>
    <w:rsid w:val="00776910"/>
    <w:rsid w:val="0078245A"/>
    <w:rsid w:val="0078298D"/>
    <w:rsid w:val="0078648D"/>
    <w:rsid w:val="00787F64"/>
    <w:rsid w:val="0079013E"/>
    <w:rsid w:val="007906CA"/>
    <w:rsid w:val="007A2905"/>
    <w:rsid w:val="007A537C"/>
    <w:rsid w:val="007A5D1A"/>
    <w:rsid w:val="007B49DE"/>
    <w:rsid w:val="007B663D"/>
    <w:rsid w:val="007C71AC"/>
    <w:rsid w:val="007D146B"/>
    <w:rsid w:val="007D381D"/>
    <w:rsid w:val="007D6C32"/>
    <w:rsid w:val="007E20F4"/>
    <w:rsid w:val="007E4DA7"/>
    <w:rsid w:val="007F61F7"/>
    <w:rsid w:val="008007DD"/>
    <w:rsid w:val="0080364E"/>
    <w:rsid w:val="0080388A"/>
    <w:rsid w:val="00803919"/>
    <w:rsid w:val="00804CA3"/>
    <w:rsid w:val="00811F7C"/>
    <w:rsid w:val="0081238A"/>
    <w:rsid w:val="00814B67"/>
    <w:rsid w:val="00821F71"/>
    <w:rsid w:val="00823FA0"/>
    <w:rsid w:val="00832004"/>
    <w:rsid w:val="008329AD"/>
    <w:rsid w:val="0083348E"/>
    <w:rsid w:val="00835854"/>
    <w:rsid w:val="00835AC3"/>
    <w:rsid w:val="00844DB3"/>
    <w:rsid w:val="00847A37"/>
    <w:rsid w:val="00850D5F"/>
    <w:rsid w:val="00851CAD"/>
    <w:rsid w:val="00853CD8"/>
    <w:rsid w:val="00855C0C"/>
    <w:rsid w:val="00857B88"/>
    <w:rsid w:val="00860A85"/>
    <w:rsid w:val="008614BE"/>
    <w:rsid w:val="008641F5"/>
    <w:rsid w:val="00865DD7"/>
    <w:rsid w:val="00870A43"/>
    <w:rsid w:val="0088315B"/>
    <w:rsid w:val="00885919"/>
    <w:rsid w:val="0089064C"/>
    <w:rsid w:val="008921A8"/>
    <w:rsid w:val="008921DE"/>
    <w:rsid w:val="00893F6F"/>
    <w:rsid w:val="00897328"/>
    <w:rsid w:val="00897B6A"/>
    <w:rsid w:val="008A2023"/>
    <w:rsid w:val="008A209D"/>
    <w:rsid w:val="008A65E1"/>
    <w:rsid w:val="008A6ACB"/>
    <w:rsid w:val="008B0BE5"/>
    <w:rsid w:val="008B5FB7"/>
    <w:rsid w:val="008B6055"/>
    <w:rsid w:val="008B6841"/>
    <w:rsid w:val="008B7C2C"/>
    <w:rsid w:val="008B7DCD"/>
    <w:rsid w:val="008C4ABB"/>
    <w:rsid w:val="008C5B1B"/>
    <w:rsid w:val="008C78AE"/>
    <w:rsid w:val="008D5A2E"/>
    <w:rsid w:val="008E2191"/>
    <w:rsid w:val="008E3593"/>
    <w:rsid w:val="008F0FC3"/>
    <w:rsid w:val="009042CA"/>
    <w:rsid w:val="00904FE5"/>
    <w:rsid w:val="009064AB"/>
    <w:rsid w:val="009069F3"/>
    <w:rsid w:val="009071F1"/>
    <w:rsid w:val="00907230"/>
    <w:rsid w:val="00912EF5"/>
    <w:rsid w:val="00916874"/>
    <w:rsid w:val="0092651A"/>
    <w:rsid w:val="00927B0C"/>
    <w:rsid w:val="00927D56"/>
    <w:rsid w:val="009300DE"/>
    <w:rsid w:val="00933ECE"/>
    <w:rsid w:val="00943C32"/>
    <w:rsid w:val="00945631"/>
    <w:rsid w:val="00947F2F"/>
    <w:rsid w:val="00955CD8"/>
    <w:rsid w:val="00957F68"/>
    <w:rsid w:val="00961450"/>
    <w:rsid w:val="00964014"/>
    <w:rsid w:val="009645DD"/>
    <w:rsid w:val="00964F2A"/>
    <w:rsid w:val="009660E6"/>
    <w:rsid w:val="009677AD"/>
    <w:rsid w:val="00970103"/>
    <w:rsid w:val="009721E5"/>
    <w:rsid w:val="00983127"/>
    <w:rsid w:val="00983B3B"/>
    <w:rsid w:val="00985D61"/>
    <w:rsid w:val="00986056"/>
    <w:rsid w:val="00990F85"/>
    <w:rsid w:val="00991370"/>
    <w:rsid w:val="00997CF7"/>
    <w:rsid w:val="009A37EA"/>
    <w:rsid w:val="009A4A76"/>
    <w:rsid w:val="009C0B82"/>
    <w:rsid w:val="009C7CEB"/>
    <w:rsid w:val="009D48C1"/>
    <w:rsid w:val="009D4DAF"/>
    <w:rsid w:val="009E0B29"/>
    <w:rsid w:val="009E157E"/>
    <w:rsid w:val="009E5D53"/>
    <w:rsid w:val="009F607B"/>
    <w:rsid w:val="009F70E1"/>
    <w:rsid w:val="00A01903"/>
    <w:rsid w:val="00A01E06"/>
    <w:rsid w:val="00A17E7C"/>
    <w:rsid w:val="00A241B6"/>
    <w:rsid w:val="00A25A25"/>
    <w:rsid w:val="00A26768"/>
    <w:rsid w:val="00A2697F"/>
    <w:rsid w:val="00A31051"/>
    <w:rsid w:val="00A31731"/>
    <w:rsid w:val="00A34274"/>
    <w:rsid w:val="00A355E0"/>
    <w:rsid w:val="00A36B7B"/>
    <w:rsid w:val="00A37866"/>
    <w:rsid w:val="00A51017"/>
    <w:rsid w:val="00A579E6"/>
    <w:rsid w:val="00A65A86"/>
    <w:rsid w:val="00A7180D"/>
    <w:rsid w:val="00A7352F"/>
    <w:rsid w:val="00A74383"/>
    <w:rsid w:val="00A74C0B"/>
    <w:rsid w:val="00A80BF2"/>
    <w:rsid w:val="00A82209"/>
    <w:rsid w:val="00A844DE"/>
    <w:rsid w:val="00A869C5"/>
    <w:rsid w:val="00A919BC"/>
    <w:rsid w:val="00A95503"/>
    <w:rsid w:val="00AB0436"/>
    <w:rsid w:val="00AB2753"/>
    <w:rsid w:val="00AB37E7"/>
    <w:rsid w:val="00AB7338"/>
    <w:rsid w:val="00AC3E87"/>
    <w:rsid w:val="00AC408A"/>
    <w:rsid w:val="00AD14AC"/>
    <w:rsid w:val="00AE0BF6"/>
    <w:rsid w:val="00AE4DC5"/>
    <w:rsid w:val="00AF52DA"/>
    <w:rsid w:val="00AF5DE1"/>
    <w:rsid w:val="00AF6BD7"/>
    <w:rsid w:val="00B0165F"/>
    <w:rsid w:val="00B1051F"/>
    <w:rsid w:val="00B17E0B"/>
    <w:rsid w:val="00B206E8"/>
    <w:rsid w:val="00B2219C"/>
    <w:rsid w:val="00B23EEC"/>
    <w:rsid w:val="00B40594"/>
    <w:rsid w:val="00B413D0"/>
    <w:rsid w:val="00B42ACD"/>
    <w:rsid w:val="00B431D9"/>
    <w:rsid w:val="00B50319"/>
    <w:rsid w:val="00B526DE"/>
    <w:rsid w:val="00B56400"/>
    <w:rsid w:val="00B576F2"/>
    <w:rsid w:val="00B64D2A"/>
    <w:rsid w:val="00B65014"/>
    <w:rsid w:val="00B66265"/>
    <w:rsid w:val="00B70407"/>
    <w:rsid w:val="00B77746"/>
    <w:rsid w:val="00B80110"/>
    <w:rsid w:val="00B836D4"/>
    <w:rsid w:val="00B933A2"/>
    <w:rsid w:val="00B966E2"/>
    <w:rsid w:val="00B96C1A"/>
    <w:rsid w:val="00B9744E"/>
    <w:rsid w:val="00BA10B3"/>
    <w:rsid w:val="00BA12A0"/>
    <w:rsid w:val="00BA6CFC"/>
    <w:rsid w:val="00BA7774"/>
    <w:rsid w:val="00BB039B"/>
    <w:rsid w:val="00BB1B14"/>
    <w:rsid w:val="00BC465D"/>
    <w:rsid w:val="00BC59CB"/>
    <w:rsid w:val="00BD166C"/>
    <w:rsid w:val="00BD2FF9"/>
    <w:rsid w:val="00BD3A67"/>
    <w:rsid w:val="00BD537C"/>
    <w:rsid w:val="00BD57FF"/>
    <w:rsid w:val="00BE0002"/>
    <w:rsid w:val="00BE01F9"/>
    <w:rsid w:val="00BE1D8E"/>
    <w:rsid w:val="00BE210E"/>
    <w:rsid w:val="00BE2FB4"/>
    <w:rsid w:val="00BE47F9"/>
    <w:rsid w:val="00BF054C"/>
    <w:rsid w:val="00BF16A7"/>
    <w:rsid w:val="00BF2A12"/>
    <w:rsid w:val="00BF36B2"/>
    <w:rsid w:val="00BF39DD"/>
    <w:rsid w:val="00C0110A"/>
    <w:rsid w:val="00C011AB"/>
    <w:rsid w:val="00C029B8"/>
    <w:rsid w:val="00C11AC1"/>
    <w:rsid w:val="00C12449"/>
    <w:rsid w:val="00C13592"/>
    <w:rsid w:val="00C13E66"/>
    <w:rsid w:val="00C2248E"/>
    <w:rsid w:val="00C31E0D"/>
    <w:rsid w:val="00C33F82"/>
    <w:rsid w:val="00C35F86"/>
    <w:rsid w:val="00C36ABA"/>
    <w:rsid w:val="00C45F7A"/>
    <w:rsid w:val="00C6190C"/>
    <w:rsid w:val="00C668DE"/>
    <w:rsid w:val="00C67407"/>
    <w:rsid w:val="00C6741A"/>
    <w:rsid w:val="00C67814"/>
    <w:rsid w:val="00C67A12"/>
    <w:rsid w:val="00C757B3"/>
    <w:rsid w:val="00C8680B"/>
    <w:rsid w:val="00C91026"/>
    <w:rsid w:val="00C922DB"/>
    <w:rsid w:val="00CA0E6A"/>
    <w:rsid w:val="00CA6917"/>
    <w:rsid w:val="00CB0122"/>
    <w:rsid w:val="00CB2DDE"/>
    <w:rsid w:val="00CB373B"/>
    <w:rsid w:val="00CB4B17"/>
    <w:rsid w:val="00CC15C8"/>
    <w:rsid w:val="00CC1D69"/>
    <w:rsid w:val="00CC2662"/>
    <w:rsid w:val="00CC26B3"/>
    <w:rsid w:val="00CC50E1"/>
    <w:rsid w:val="00CD1728"/>
    <w:rsid w:val="00CE1F75"/>
    <w:rsid w:val="00CE35DB"/>
    <w:rsid w:val="00CE5AA9"/>
    <w:rsid w:val="00CE6938"/>
    <w:rsid w:val="00CF3859"/>
    <w:rsid w:val="00D01131"/>
    <w:rsid w:val="00D01F01"/>
    <w:rsid w:val="00D025D0"/>
    <w:rsid w:val="00D04FE2"/>
    <w:rsid w:val="00D05148"/>
    <w:rsid w:val="00D066E4"/>
    <w:rsid w:val="00D10D0A"/>
    <w:rsid w:val="00D127C8"/>
    <w:rsid w:val="00D25C0E"/>
    <w:rsid w:val="00D25F5F"/>
    <w:rsid w:val="00D2710A"/>
    <w:rsid w:val="00D313C0"/>
    <w:rsid w:val="00D31FD3"/>
    <w:rsid w:val="00D33B6D"/>
    <w:rsid w:val="00D34898"/>
    <w:rsid w:val="00D34A5F"/>
    <w:rsid w:val="00D40FBB"/>
    <w:rsid w:val="00D45C63"/>
    <w:rsid w:val="00D501B1"/>
    <w:rsid w:val="00D526FE"/>
    <w:rsid w:val="00D52846"/>
    <w:rsid w:val="00D55C82"/>
    <w:rsid w:val="00D6633A"/>
    <w:rsid w:val="00D67579"/>
    <w:rsid w:val="00D72A0F"/>
    <w:rsid w:val="00D815D0"/>
    <w:rsid w:val="00D854F4"/>
    <w:rsid w:val="00D924A2"/>
    <w:rsid w:val="00DA33E0"/>
    <w:rsid w:val="00DA3C71"/>
    <w:rsid w:val="00DA3FB5"/>
    <w:rsid w:val="00DA5AC9"/>
    <w:rsid w:val="00DA5EAB"/>
    <w:rsid w:val="00DA64F7"/>
    <w:rsid w:val="00DB0DB4"/>
    <w:rsid w:val="00DB11E8"/>
    <w:rsid w:val="00DB1776"/>
    <w:rsid w:val="00DB3627"/>
    <w:rsid w:val="00DB45DA"/>
    <w:rsid w:val="00DB64C9"/>
    <w:rsid w:val="00DB7270"/>
    <w:rsid w:val="00DC0CA6"/>
    <w:rsid w:val="00DC112B"/>
    <w:rsid w:val="00DC4F79"/>
    <w:rsid w:val="00DC6536"/>
    <w:rsid w:val="00DD51D7"/>
    <w:rsid w:val="00DE43DD"/>
    <w:rsid w:val="00DE6463"/>
    <w:rsid w:val="00DF168D"/>
    <w:rsid w:val="00DF1ED3"/>
    <w:rsid w:val="00E008FC"/>
    <w:rsid w:val="00E0095E"/>
    <w:rsid w:val="00E00CDF"/>
    <w:rsid w:val="00E06DCF"/>
    <w:rsid w:val="00E110B9"/>
    <w:rsid w:val="00E13B7C"/>
    <w:rsid w:val="00E20419"/>
    <w:rsid w:val="00E24700"/>
    <w:rsid w:val="00E2732E"/>
    <w:rsid w:val="00E275C0"/>
    <w:rsid w:val="00E359DD"/>
    <w:rsid w:val="00E40468"/>
    <w:rsid w:val="00E51EE1"/>
    <w:rsid w:val="00E557D2"/>
    <w:rsid w:val="00E55DC0"/>
    <w:rsid w:val="00E62B2C"/>
    <w:rsid w:val="00E640FD"/>
    <w:rsid w:val="00E65188"/>
    <w:rsid w:val="00E662B1"/>
    <w:rsid w:val="00E7322C"/>
    <w:rsid w:val="00E733C8"/>
    <w:rsid w:val="00E73EFA"/>
    <w:rsid w:val="00E76A82"/>
    <w:rsid w:val="00E807E1"/>
    <w:rsid w:val="00E81148"/>
    <w:rsid w:val="00E87EC9"/>
    <w:rsid w:val="00E91C96"/>
    <w:rsid w:val="00E92B1B"/>
    <w:rsid w:val="00EA3EA1"/>
    <w:rsid w:val="00EB0130"/>
    <w:rsid w:val="00EB11E8"/>
    <w:rsid w:val="00EB7967"/>
    <w:rsid w:val="00EB7DE6"/>
    <w:rsid w:val="00EC0BB5"/>
    <w:rsid w:val="00EC5E54"/>
    <w:rsid w:val="00ED3D63"/>
    <w:rsid w:val="00ED5BCA"/>
    <w:rsid w:val="00EE4632"/>
    <w:rsid w:val="00EE55E3"/>
    <w:rsid w:val="00EE5875"/>
    <w:rsid w:val="00EE65FF"/>
    <w:rsid w:val="00EE6C03"/>
    <w:rsid w:val="00EF2945"/>
    <w:rsid w:val="00EF2EFC"/>
    <w:rsid w:val="00EF675F"/>
    <w:rsid w:val="00F02FD1"/>
    <w:rsid w:val="00F036A3"/>
    <w:rsid w:val="00F0391D"/>
    <w:rsid w:val="00F112F5"/>
    <w:rsid w:val="00F12E15"/>
    <w:rsid w:val="00F160BB"/>
    <w:rsid w:val="00F1789B"/>
    <w:rsid w:val="00F20C05"/>
    <w:rsid w:val="00F22771"/>
    <w:rsid w:val="00F2536E"/>
    <w:rsid w:val="00F26C1D"/>
    <w:rsid w:val="00F26CE4"/>
    <w:rsid w:val="00F31526"/>
    <w:rsid w:val="00F407B9"/>
    <w:rsid w:val="00F42333"/>
    <w:rsid w:val="00F45DFD"/>
    <w:rsid w:val="00F65513"/>
    <w:rsid w:val="00F66B18"/>
    <w:rsid w:val="00F67FF9"/>
    <w:rsid w:val="00F80405"/>
    <w:rsid w:val="00F85596"/>
    <w:rsid w:val="00F90197"/>
    <w:rsid w:val="00F9539C"/>
    <w:rsid w:val="00F95BD2"/>
    <w:rsid w:val="00FA10E1"/>
    <w:rsid w:val="00FA5F81"/>
    <w:rsid w:val="00FB2913"/>
    <w:rsid w:val="00FB4043"/>
    <w:rsid w:val="00FB4CAF"/>
    <w:rsid w:val="00FC2F97"/>
    <w:rsid w:val="00FC64FE"/>
    <w:rsid w:val="00FC68AC"/>
    <w:rsid w:val="00FD402E"/>
    <w:rsid w:val="00FE1C9A"/>
    <w:rsid w:val="00FE4C51"/>
    <w:rsid w:val="00FE583E"/>
    <w:rsid w:val="00FE60C6"/>
    <w:rsid w:val="00FE61B8"/>
    <w:rsid w:val="00FF0B17"/>
    <w:rsid w:val="00FF4896"/>
    <w:rsid w:val="00FF4AF1"/>
    <w:rsid w:val="00FF61E8"/>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58087-8073-4216-B5CA-B3AF792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C3"/>
    <w:rPr>
      <w:sz w:val="24"/>
      <w:szCs w:val="24"/>
      <w:lang w:val="uk-UA" w:eastAsia="uk-UA"/>
    </w:rPr>
  </w:style>
  <w:style w:type="paragraph" w:styleId="1">
    <w:name w:val="heading 1"/>
    <w:basedOn w:val="a"/>
    <w:next w:val="a"/>
    <w:qFormat/>
    <w:rsid w:val="00FC2F97"/>
    <w:pPr>
      <w:keepNext/>
      <w:spacing w:before="240" w:after="60"/>
      <w:outlineLvl w:val="0"/>
    </w:pPr>
    <w:rPr>
      <w:rFonts w:ascii="Arial" w:hAnsi="Arial" w:cs="Arial"/>
      <w:b/>
      <w:bCs/>
      <w:kern w:val="32"/>
      <w:sz w:val="32"/>
      <w:szCs w:val="32"/>
    </w:rPr>
  </w:style>
  <w:style w:type="paragraph" w:styleId="3">
    <w:name w:val="heading 3"/>
    <w:basedOn w:val="a"/>
    <w:link w:val="30"/>
    <w:qFormat/>
    <w:rsid w:val="001E6666"/>
    <w:pPr>
      <w:spacing w:before="100" w:beforeAutospacing="1" w:after="100" w:afterAutospacing="1"/>
      <w:outlineLvl w:val="2"/>
    </w:pPr>
    <w:rPr>
      <w:b/>
      <w:bCs/>
      <w:sz w:val="27"/>
      <w:szCs w:val="27"/>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6666"/>
    <w:pPr>
      <w:spacing w:before="100" w:beforeAutospacing="1" w:after="100" w:afterAutospacing="1"/>
    </w:pPr>
  </w:style>
  <w:style w:type="paragraph" w:customStyle="1" w:styleId="a4">
    <w:basedOn w:val="a"/>
    <w:rsid w:val="00C35F86"/>
    <w:rPr>
      <w:rFonts w:ascii="Verdana" w:hAnsi="Verdana" w:cs="Verdana"/>
      <w:sz w:val="20"/>
      <w:szCs w:val="20"/>
      <w:lang w:val="en-US" w:eastAsia="en-US"/>
    </w:rPr>
  </w:style>
  <w:style w:type="paragraph" w:styleId="2">
    <w:name w:val="Body Text Indent 2"/>
    <w:basedOn w:val="a"/>
    <w:rsid w:val="00C35F86"/>
    <w:pPr>
      <w:spacing w:after="120" w:line="480" w:lineRule="auto"/>
      <w:ind w:left="283"/>
    </w:pPr>
    <w:rPr>
      <w:sz w:val="20"/>
      <w:szCs w:val="20"/>
      <w:lang w:val="ru-RU" w:eastAsia="ru-RU"/>
    </w:rPr>
  </w:style>
  <w:style w:type="paragraph" w:styleId="a5">
    <w:name w:val="Body Text Indent"/>
    <w:basedOn w:val="a"/>
    <w:rsid w:val="00F1789B"/>
    <w:pPr>
      <w:spacing w:after="120"/>
      <w:ind w:left="283"/>
    </w:pPr>
  </w:style>
  <w:style w:type="paragraph" w:customStyle="1" w:styleId="a6">
    <w:name w:val="Стиль Знак Знак"/>
    <w:basedOn w:val="a"/>
    <w:rsid w:val="00F1789B"/>
    <w:rPr>
      <w:rFonts w:ascii="Verdana" w:hAnsi="Verdana" w:cs="Verdana"/>
      <w:sz w:val="20"/>
      <w:szCs w:val="20"/>
      <w:lang w:val="en-US" w:eastAsia="en-US"/>
    </w:rPr>
  </w:style>
  <w:style w:type="table" w:styleId="a7">
    <w:name w:val="Table Grid"/>
    <w:basedOn w:val="a1"/>
    <w:rsid w:val="00BA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EE4632"/>
    <w:pPr>
      <w:spacing w:after="120"/>
    </w:pPr>
  </w:style>
  <w:style w:type="paragraph" w:styleId="aa">
    <w:name w:val="header"/>
    <w:basedOn w:val="a"/>
    <w:link w:val="ab"/>
    <w:rsid w:val="00FC2F97"/>
    <w:pPr>
      <w:tabs>
        <w:tab w:val="center" w:pos="4153"/>
        <w:tab w:val="right" w:pos="8306"/>
      </w:tabs>
    </w:pPr>
    <w:rPr>
      <w:sz w:val="28"/>
      <w:szCs w:val="20"/>
    </w:rPr>
  </w:style>
  <w:style w:type="paragraph" w:customStyle="1" w:styleId="ac">
    <w:name w:val=" Знак"/>
    <w:basedOn w:val="a"/>
    <w:rsid w:val="00FC2F9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D13AE"/>
    <w:rPr>
      <w:rFonts w:ascii="Verdana" w:hAnsi="Verdana" w:cs="Verdana"/>
      <w:sz w:val="20"/>
      <w:szCs w:val="20"/>
      <w:lang w:val="en-US" w:eastAsia="en-US"/>
    </w:rPr>
  </w:style>
  <w:style w:type="character" w:styleId="ad">
    <w:name w:val="page number"/>
    <w:basedOn w:val="a0"/>
    <w:rsid w:val="003829A2"/>
  </w:style>
  <w:style w:type="paragraph" w:styleId="HTML">
    <w:name w:val="HTML Preformatted"/>
    <w:basedOn w:val="a"/>
    <w:rsid w:val="00CE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rvts0">
    <w:name w:val="rvts0"/>
    <w:basedOn w:val="a0"/>
    <w:rsid w:val="00EA3EA1"/>
  </w:style>
  <w:style w:type="paragraph" w:styleId="20">
    <w:name w:val="Body Text 2"/>
    <w:basedOn w:val="a"/>
    <w:rsid w:val="00850D5F"/>
    <w:pPr>
      <w:spacing w:after="120" w:line="480" w:lineRule="auto"/>
    </w:pPr>
  </w:style>
  <w:style w:type="paragraph" w:styleId="ae">
    <w:name w:val="Plain Text"/>
    <w:basedOn w:val="a"/>
    <w:rsid w:val="00AC3E87"/>
    <w:pPr>
      <w:overflowPunct w:val="0"/>
      <w:autoSpaceDE w:val="0"/>
      <w:autoSpaceDN w:val="0"/>
      <w:adjustRightInd w:val="0"/>
    </w:pPr>
    <w:rPr>
      <w:rFonts w:ascii="Courier New" w:hAnsi="Courier New"/>
      <w:sz w:val="20"/>
      <w:szCs w:val="20"/>
      <w:lang w:val="ru-RU" w:eastAsia="ru-RU"/>
    </w:rPr>
  </w:style>
  <w:style w:type="paragraph" w:styleId="af">
    <w:name w:val="Title"/>
    <w:basedOn w:val="a"/>
    <w:qFormat/>
    <w:rsid w:val="00A919BC"/>
    <w:pPr>
      <w:jc w:val="center"/>
    </w:pPr>
    <w:rPr>
      <w:b/>
      <w:sz w:val="28"/>
      <w:szCs w:val="20"/>
      <w:lang w:eastAsia="ru-RU"/>
    </w:rPr>
  </w:style>
  <w:style w:type="character" w:customStyle="1" w:styleId="rvts23">
    <w:name w:val="rvts23"/>
    <w:basedOn w:val="a0"/>
    <w:rsid w:val="003C322D"/>
  </w:style>
  <w:style w:type="character" w:customStyle="1" w:styleId="rvts9">
    <w:name w:val="rvts9"/>
    <w:basedOn w:val="a0"/>
    <w:rsid w:val="003C322D"/>
  </w:style>
  <w:style w:type="character" w:styleId="af0">
    <w:name w:val="Hyperlink"/>
    <w:rsid w:val="003C322D"/>
    <w:rPr>
      <w:color w:val="0000FF"/>
      <w:u w:val="single"/>
    </w:rPr>
  </w:style>
  <w:style w:type="paragraph" w:styleId="31">
    <w:name w:val="Body Text Indent 3"/>
    <w:basedOn w:val="a"/>
    <w:rsid w:val="008C78AE"/>
    <w:pPr>
      <w:spacing w:after="120"/>
      <w:ind w:left="283"/>
    </w:pPr>
    <w:rPr>
      <w:sz w:val="16"/>
      <w:szCs w:val="16"/>
      <w:lang w:val="ru-RU" w:eastAsia="ru-RU"/>
    </w:rPr>
  </w:style>
  <w:style w:type="character" w:customStyle="1" w:styleId="rvts15">
    <w:name w:val="rvts15"/>
    <w:basedOn w:val="a0"/>
    <w:rsid w:val="0051306D"/>
  </w:style>
  <w:style w:type="character" w:customStyle="1" w:styleId="c2">
    <w:name w:val="c2"/>
    <w:basedOn w:val="a0"/>
    <w:rsid w:val="000C06A4"/>
  </w:style>
  <w:style w:type="paragraph" w:customStyle="1" w:styleId="af1">
    <w:name w:val="Знак Знак Знак Знак Знак Знак Знак Знак Знак Знак Знак Знак"/>
    <w:basedOn w:val="a"/>
    <w:link w:val="a0"/>
    <w:rsid w:val="00602255"/>
    <w:rPr>
      <w:rFonts w:ascii="Verdana" w:hAnsi="Verdana" w:cs="Verdana"/>
      <w:sz w:val="20"/>
      <w:szCs w:val="20"/>
      <w:lang w:val="en-US" w:eastAsia="en-US"/>
    </w:rPr>
  </w:style>
  <w:style w:type="paragraph" w:customStyle="1" w:styleId="rvps2">
    <w:name w:val="rvps2"/>
    <w:basedOn w:val="a"/>
    <w:rsid w:val="00E7322C"/>
    <w:pPr>
      <w:spacing w:before="100" w:beforeAutospacing="1" w:after="100" w:afterAutospacing="1"/>
    </w:pPr>
  </w:style>
  <w:style w:type="paragraph" w:styleId="af2">
    <w:name w:val="footer"/>
    <w:basedOn w:val="a"/>
    <w:link w:val="af3"/>
    <w:rsid w:val="005F141F"/>
    <w:pPr>
      <w:tabs>
        <w:tab w:val="center" w:pos="4677"/>
        <w:tab w:val="right" w:pos="9355"/>
      </w:tabs>
    </w:pPr>
  </w:style>
  <w:style w:type="character" w:customStyle="1" w:styleId="af3">
    <w:name w:val="Нижний колонтитул Знак"/>
    <w:link w:val="af2"/>
    <w:rsid w:val="005F141F"/>
    <w:rPr>
      <w:sz w:val="24"/>
      <w:szCs w:val="24"/>
    </w:rPr>
  </w:style>
  <w:style w:type="character" w:customStyle="1" w:styleId="30">
    <w:name w:val="Заголовок 3 Знак"/>
    <w:link w:val="3"/>
    <w:rsid w:val="005F770C"/>
    <w:rPr>
      <w:b/>
      <w:bCs/>
      <w:sz w:val="27"/>
      <w:szCs w:val="27"/>
    </w:rPr>
  </w:style>
  <w:style w:type="character" w:customStyle="1" w:styleId="a9">
    <w:name w:val="Основной текст Знак"/>
    <w:link w:val="a8"/>
    <w:rsid w:val="00543E14"/>
    <w:rPr>
      <w:sz w:val="24"/>
      <w:szCs w:val="24"/>
    </w:rPr>
  </w:style>
  <w:style w:type="paragraph" w:styleId="af4">
    <w:name w:val="Balloon Text"/>
    <w:basedOn w:val="a"/>
    <w:link w:val="af5"/>
    <w:rsid w:val="00617E71"/>
    <w:rPr>
      <w:rFonts w:ascii="Segoe UI" w:hAnsi="Segoe UI" w:cs="Segoe UI"/>
      <w:sz w:val="18"/>
      <w:szCs w:val="18"/>
    </w:rPr>
  </w:style>
  <w:style w:type="character" w:customStyle="1" w:styleId="af5">
    <w:name w:val="Текст выноски Знак"/>
    <w:link w:val="af4"/>
    <w:rsid w:val="00617E71"/>
    <w:rPr>
      <w:rFonts w:ascii="Segoe UI" w:hAnsi="Segoe UI" w:cs="Segoe UI"/>
      <w:sz w:val="18"/>
      <w:szCs w:val="18"/>
    </w:rPr>
  </w:style>
  <w:style w:type="character" w:customStyle="1" w:styleId="ab">
    <w:name w:val="Верхний колонтитул Знак"/>
    <w:link w:val="aa"/>
    <w:rsid w:val="004414F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18263</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SSMSCU</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chernomorchenko</dc:creator>
  <cp:keywords/>
  <dc:description/>
  <cp:lastModifiedBy>Руслан Кисляк</cp:lastModifiedBy>
  <cp:revision>2</cp:revision>
  <cp:lastPrinted>2020-05-13T12:18:00Z</cp:lastPrinted>
  <dcterms:created xsi:type="dcterms:W3CDTF">2020-05-18T14:35:00Z</dcterms:created>
  <dcterms:modified xsi:type="dcterms:W3CDTF">2020-05-18T14:35:00Z</dcterms:modified>
</cp:coreProperties>
</file>