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A3" w:rsidRDefault="00CF36A3">
      <w:pPr>
        <w:widowControl w:val="0"/>
        <w:autoSpaceDE w:val="0"/>
        <w:autoSpaceDN w:val="0"/>
        <w:adjustRightInd w:val="0"/>
        <w:spacing w:after="0" w:line="360" w:lineRule="auto"/>
        <w:ind w:left="-426"/>
        <w:jc w:val="center"/>
        <w:rPr>
          <w:rFonts w:ascii="Times New Roman" w:hAnsi="Times New Roman"/>
          <w:sz w:val="28"/>
          <w:szCs w:val="28"/>
          <w:lang w:val="ru-RU"/>
        </w:rPr>
      </w:pPr>
      <w:bookmarkStart w:id="0" w:name="_GoBack"/>
      <w:bookmarkEnd w:id="0"/>
      <w:r>
        <w:rPr>
          <w:rFonts w:ascii="Times New Roman" w:hAnsi="Times New Roman"/>
          <w:sz w:val="28"/>
          <w:szCs w:val="28"/>
          <w:lang w:val="ru-RU"/>
        </w:rPr>
        <w:t>АНАЛІЗ РЕГУЛЯТОРНОГО ВПЛИВУ</w:t>
      </w:r>
    </w:p>
    <w:p w:rsidR="00CF36A3" w:rsidRDefault="00CF36A3">
      <w:pPr>
        <w:widowControl w:val="0"/>
        <w:autoSpaceDE w:val="0"/>
        <w:autoSpaceDN w:val="0"/>
        <w:adjustRightInd w:val="0"/>
        <w:spacing w:after="0" w:line="360" w:lineRule="auto"/>
        <w:ind w:left="-426"/>
        <w:jc w:val="both"/>
        <w:rPr>
          <w:rFonts w:ascii="Times New Roman" w:hAnsi="Times New Roman"/>
          <w:sz w:val="28"/>
          <w:szCs w:val="28"/>
          <w:lang w:val="en"/>
        </w:rPr>
      </w:pPr>
    </w:p>
    <w:p w:rsidR="00CF36A3" w:rsidRDefault="00A13F0C" w:rsidP="00A13F0C">
      <w:pPr>
        <w:widowControl w:val="0"/>
        <w:autoSpaceDE w:val="0"/>
        <w:autoSpaceDN w:val="0"/>
        <w:adjustRightInd w:val="0"/>
        <w:spacing w:after="0" w:line="360" w:lineRule="auto"/>
        <w:ind w:left="294"/>
        <w:jc w:val="center"/>
        <w:rPr>
          <w:rFonts w:ascii="Times New Roman" w:hAnsi="Times New Roman"/>
          <w:b/>
          <w:bCs/>
          <w:sz w:val="28"/>
          <w:szCs w:val="28"/>
          <w:lang w:val="ru-RU"/>
        </w:rPr>
      </w:pPr>
      <w:r>
        <w:rPr>
          <w:rFonts w:ascii="Times New Roman" w:hAnsi="Times New Roman"/>
          <w:b/>
          <w:bCs/>
          <w:sz w:val="28"/>
          <w:szCs w:val="28"/>
          <w:lang w:val="en-US"/>
        </w:rPr>
        <w:t>I</w:t>
      </w:r>
      <w:r>
        <w:rPr>
          <w:rFonts w:ascii="Times New Roman" w:hAnsi="Times New Roman"/>
          <w:b/>
          <w:bCs/>
          <w:sz w:val="28"/>
          <w:szCs w:val="28"/>
        </w:rPr>
        <w:t>.</w:t>
      </w:r>
      <w:r w:rsidRPr="00A13F0C">
        <w:rPr>
          <w:rFonts w:ascii="Times New Roman" w:hAnsi="Times New Roman"/>
          <w:b/>
          <w:bCs/>
          <w:sz w:val="28"/>
          <w:szCs w:val="28"/>
          <w:lang w:val="ru-RU"/>
        </w:rPr>
        <w:t xml:space="preserve"> </w:t>
      </w:r>
      <w:r w:rsidR="00CF36A3">
        <w:rPr>
          <w:rFonts w:ascii="Times New Roman" w:hAnsi="Times New Roman"/>
          <w:b/>
          <w:bCs/>
          <w:sz w:val="28"/>
          <w:szCs w:val="28"/>
          <w:lang w:val="ru-RU"/>
        </w:rPr>
        <w:t>Визначення проблеми</w:t>
      </w:r>
    </w:p>
    <w:p w:rsidR="00CF36A3" w:rsidRDefault="00924493">
      <w:pPr>
        <w:widowControl w:val="0"/>
        <w:autoSpaceDE w:val="0"/>
        <w:autoSpaceDN w:val="0"/>
        <w:adjustRightInd w:val="0"/>
        <w:spacing w:after="0" w:line="360" w:lineRule="auto"/>
        <w:ind w:left="-426" w:firstLine="720"/>
        <w:jc w:val="both"/>
        <w:rPr>
          <w:rFonts w:ascii="Times New Roman" w:hAnsi="Times New Roman"/>
          <w:sz w:val="28"/>
          <w:szCs w:val="28"/>
          <w:lang w:val="ru-RU"/>
        </w:rPr>
      </w:pPr>
      <w:r>
        <w:rPr>
          <w:rFonts w:ascii="Times New Roman" w:hAnsi="Times New Roman"/>
          <w:sz w:val="28"/>
          <w:szCs w:val="28"/>
          <w:lang w:val="ru-RU"/>
        </w:rPr>
        <w:t>У зв’язку із набранням чинності</w:t>
      </w:r>
      <w:r w:rsidR="00CF36A3">
        <w:rPr>
          <w:rFonts w:ascii="Times New Roman" w:hAnsi="Times New Roman"/>
          <w:sz w:val="28"/>
          <w:szCs w:val="28"/>
          <w:lang w:val="ru-RU"/>
        </w:rPr>
        <w:t xml:space="preserve"> </w:t>
      </w:r>
      <w:r>
        <w:rPr>
          <w:rFonts w:ascii="Times New Roman" w:hAnsi="Times New Roman"/>
          <w:sz w:val="28"/>
          <w:szCs w:val="28"/>
          <w:lang w:val="ru-RU"/>
        </w:rPr>
        <w:t>Законом</w:t>
      </w:r>
      <w:r w:rsidRPr="00924493">
        <w:rPr>
          <w:rFonts w:ascii="Times New Roman" w:hAnsi="Times New Roman"/>
          <w:sz w:val="28"/>
          <w:szCs w:val="28"/>
          <w:lang w:val="ru-RU"/>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Pr>
          <w:rFonts w:ascii="Times New Roman" w:hAnsi="Times New Roman"/>
          <w:sz w:val="28"/>
          <w:szCs w:val="28"/>
          <w:lang w:val="ru-RU"/>
        </w:rPr>
        <w:t xml:space="preserve">06.12.2019 </w:t>
      </w:r>
      <w:r w:rsidRPr="00924493">
        <w:rPr>
          <w:rFonts w:ascii="Times New Roman" w:hAnsi="Times New Roman"/>
          <w:sz w:val="28"/>
          <w:szCs w:val="28"/>
          <w:lang w:val="ru-RU"/>
        </w:rPr>
        <w:t>№ 361-XI</w:t>
      </w:r>
      <w:r>
        <w:rPr>
          <w:rFonts w:ascii="Times New Roman" w:hAnsi="Times New Roman"/>
          <w:sz w:val="28"/>
          <w:szCs w:val="28"/>
          <w:lang w:val="ru-RU"/>
        </w:rPr>
        <w:t xml:space="preserve"> </w:t>
      </w:r>
      <w:r w:rsidR="00CF36A3">
        <w:rPr>
          <w:rFonts w:ascii="Times New Roman" w:hAnsi="Times New Roman"/>
          <w:sz w:val="28"/>
          <w:szCs w:val="28"/>
          <w:lang w:val="ru-RU"/>
        </w:rPr>
        <w:t xml:space="preserve">виникла необхідність затвердження правил розгляду справ </w:t>
      </w:r>
      <w:r>
        <w:rPr>
          <w:rFonts w:ascii="Times New Roman" w:hAnsi="Times New Roman"/>
          <w:sz w:val="28"/>
          <w:szCs w:val="28"/>
          <w:lang w:val="ru-RU"/>
        </w:rPr>
        <w:t xml:space="preserve">про </w:t>
      </w:r>
      <w:r w:rsidRPr="00924493">
        <w:rPr>
          <w:rFonts w:ascii="Times New Roman" w:hAnsi="Times New Roman"/>
          <w:sz w:val="28"/>
          <w:szCs w:val="28"/>
          <w:lang w:val="ru-RU"/>
        </w:rPr>
        <w:t>порушення вимог законодавст</w:t>
      </w:r>
      <w:r w:rsidR="00756410">
        <w:rPr>
          <w:rFonts w:ascii="Times New Roman" w:hAnsi="Times New Roman"/>
          <w:sz w:val="28"/>
          <w:szCs w:val="28"/>
          <w:lang w:val="ru-RU"/>
        </w:rPr>
        <w:t>ва щодо запобігання та протидії</w:t>
      </w:r>
      <w:r w:rsidRPr="00924493">
        <w:rPr>
          <w:rFonts w:ascii="Times New Roman" w:hAnsi="Times New Roman"/>
          <w:sz w:val="28"/>
          <w:szCs w:val="28"/>
          <w:lang w:val="ru-RU"/>
        </w:rPr>
        <w:t xml:space="preserve"> легалізації (відмиванню) доходів, одержаних злочинним шляхом, фінансуванню тероризму та фінансуванню розповсюдження зброї масового знищення та застосування </w:t>
      </w:r>
      <w:r w:rsidR="009C38CF">
        <w:rPr>
          <w:rFonts w:ascii="Times New Roman" w:hAnsi="Times New Roman"/>
          <w:sz w:val="28"/>
          <w:szCs w:val="28"/>
        </w:rPr>
        <w:t xml:space="preserve">санкцій </w:t>
      </w:r>
      <w:r w:rsidR="00CF36A3">
        <w:rPr>
          <w:rFonts w:ascii="Times New Roman" w:hAnsi="Times New Roman"/>
          <w:sz w:val="28"/>
          <w:szCs w:val="28"/>
          <w:lang w:val="ru-RU"/>
        </w:rPr>
        <w:t>у новій редакції.</w:t>
      </w:r>
    </w:p>
    <w:p w:rsidR="00CF36A3" w:rsidRDefault="00CF36A3">
      <w:pPr>
        <w:widowControl w:val="0"/>
        <w:autoSpaceDE w:val="0"/>
        <w:autoSpaceDN w:val="0"/>
        <w:adjustRightInd w:val="0"/>
        <w:spacing w:after="0" w:line="360" w:lineRule="auto"/>
        <w:ind w:left="-426" w:firstLine="568"/>
        <w:jc w:val="both"/>
        <w:rPr>
          <w:rFonts w:ascii="Times New Roman" w:hAnsi="Times New Roman"/>
          <w:sz w:val="28"/>
          <w:szCs w:val="28"/>
          <w:lang w:val="ru-RU"/>
        </w:rPr>
      </w:pPr>
      <w:r>
        <w:rPr>
          <w:rFonts w:ascii="Times New Roman" w:hAnsi="Times New Roman"/>
          <w:sz w:val="28"/>
          <w:szCs w:val="28"/>
          <w:lang w:val="ru-RU"/>
        </w:rPr>
        <w:t>Основні групи (підгрупи), на які проблема справляє вплив:</w:t>
      </w:r>
    </w:p>
    <w:tbl>
      <w:tblPr>
        <w:tblW w:w="0" w:type="auto"/>
        <w:tblInd w:w="108" w:type="dxa"/>
        <w:tblLayout w:type="fixed"/>
        <w:tblLook w:val="0000" w:firstRow="0" w:lastRow="0" w:firstColumn="0" w:lastColumn="0" w:noHBand="0" w:noVBand="0"/>
      </w:tblPr>
      <w:tblGrid>
        <w:gridCol w:w="2859"/>
        <w:gridCol w:w="3310"/>
        <w:gridCol w:w="3567"/>
      </w:tblGrid>
      <w:tr w:rsidR="00CF36A3">
        <w:tblPrEx>
          <w:tblCellMar>
            <w:top w:w="0" w:type="dxa"/>
            <w:bottom w:w="0" w:type="dxa"/>
          </w:tblCellMar>
        </w:tblPrEx>
        <w:trPr>
          <w:trHeight w:val="860"/>
        </w:trPr>
        <w:tc>
          <w:tcPr>
            <w:tcW w:w="2859"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center"/>
              <w:rPr>
                <w:rFonts w:ascii="Calibri" w:hAnsi="Calibri" w:cs="Calibri"/>
                <w:lang w:val="en"/>
              </w:rPr>
            </w:pPr>
            <w:r>
              <w:rPr>
                <w:rFonts w:ascii="Times New Roman" w:hAnsi="Times New Roman"/>
                <w:sz w:val="28"/>
                <w:szCs w:val="28"/>
                <w:lang w:val="ru-RU"/>
              </w:rPr>
              <w:t>Групи (підгрупи)</w:t>
            </w:r>
          </w:p>
        </w:tc>
        <w:tc>
          <w:tcPr>
            <w:tcW w:w="3310"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center"/>
              <w:rPr>
                <w:rFonts w:ascii="Calibri" w:hAnsi="Calibri" w:cs="Calibri"/>
                <w:lang w:val="en"/>
              </w:rPr>
            </w:pPr>
            <w:r>
              <w:rPr>
                <w:rFonts w:ascii="Times New Roman" w:hAnsi="Times New Roman"/>
                <w:sz w:val="28"/>
                <w:szCs w:val="28"/>
                <w:lang w:val="ru-RU"/>
              </w:rPr>
              <w:t>Так</w:t>
            </w:r>
          </w:p>
        </w:tc>
        <w:tc>
          <w:tcPr>
            <w:tcW w:w="3567"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center"/>
              <w:rPr>
                <w:rFonts w:ascii="Calibri" w:hAnsi="Calibri" w:cs="Calibri"/>
                <w:lang w:val="en"/>
              </w:rPr>
            </w:pPr>
            <w:r>
              <w:rPr>
                <w:rFonts w:ascii="Times New Roman" w:hAnsi="Times New Roman"/>
                <w:sz w:val="28"/>
                <w:szCs w:val="28"/>
                <w:lang w:val="ru-RU"/>
              </w:rPr>
              <w:t>Ні</w:t>
            </w:r>
          </w:p>
        </w:tc>
      </w:tr>
      <w:tr w:rsidR="00CF36A3">
        <w:tblPrEx>
          <w:tblCellMar>
            <w:top w:w="0" w:type="dxa"/>
            <w:bottom w:w="0" w:type="dxa"/>
          </w:tblCellMar>
        </w:tblPrEx>
        <w:trPr>
          <w:trHeight w:val="838"/>
        </w:trPr>
        <w:tc>
          <w:tcPr>
            <w:tcW w:w="2859"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both"/>
              <w:rPr>
                <w:rFonts w:ascii="Calibri" w:hAnsi="Calibri" w:cs="Calibri"/>
                <w:lang w:val="en"/>
              </w:rPr>
            </w:pPr>
            <w:r>
              <w:rPr>
                <w:rFonts w:ascii="Times New Roman" w:hAnsi="Times New Roman"/>
                <w:sz w:val="28"/>
                <w:szCs w:val="28"/>
                <w:lang w:val="ru-RU"/>
              </w:rPr>
              <w:t>Громадяни</w:t>
            </w:r>
          </w:p>
        </w:tc>
        <w:tc>
          <w:tcPr>
            <w:tcW w:w="3310"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both"/>
              <w:rPr>
                <w:rFonts w:ascii="Calibri" w:hAnsi="Calibri" w:cs="Calibri"/>
                <w:lang w:val="en"/>
              </w:rPr>
            </w:pPr>
            <w:r>
              <w:rPr>
                <w:rFonts w:ascii="Times New Roman" w:hAnsi="Times New Roman"/>
                <w:sz w:val="28"/>
                <w:szCs w:val="28"/>
                <w:lang w:val="ru-RU"/>
              </w:rPr>
              <w:t>Ні</w:t>
            </w:r>
          </w:p>
        </w:tc>
        <w:tc>
          <w:tcPr>
            <w:tcW w:w="3567"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both"/>
              <w:rPr>
                <w:rFonts w:ascii="Calibri" w:hAnsi="Calibri" w:cs="Calibri"/>
                <w:lang w:val="en"/>
              </w:rPr>
            </w:pPr>
          </w:p>
        </w:tc>
      </w:tr>
      <w:tr w:rsidR="00CF36A3">
        <w:tblPrEx>
          <w:tblCellMar>
            <w:top w:w="0" w:type="dxa"/>
            <w:bottom w:w="0" w:type="dxa"/>
          </w:tblCellMar>
        </w:tblPrEx>
        <w:trPr>
          <w:trHeight w:val="646"/>
        </w:trPr>
        <w:tc>
          <w:tcPr>
            <w:tcW w:w="2859"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both"/>
              <w:rPr>
                <w:rFonts w:ascii="Calibri" w:hAnsi="Calibri" w:cs="Calibri"/>
                <w:lang w:val="en"/>
              </w:rPr>
            </w:pPr>
            <w:r>
              <w:rPr>
                <w:rFonts w:ascii="Times New Roman" w:hAnsi="Times New Roman"/>
                <w:sz w:val="28"/>
                <w:szCs w:val="28"/>
                <w:lang w:val="ru-RU"/>
              </w:rPr>
              <w:t>Держава</w:t>
            </w:r>
          </w:p>
        </w:tc>
        <w:tc>
          <w:tcPr>
            <w:tcW w:w="3310"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both"/>
              <w:rPr>
                <w:rFonts w:ascii="Calibri" w:hAnsi="Calibri" w:cs="Calibri"/>
                <w:lang w:val="en"/>
              </w:rPr>
            </w:pPr>
            <w:r>
              <w:rPr>
                <w:rFonts w:ascii="Times New Roman" w:hAnsi="Times New Roman"/>
                <w:sz w:val="28"/>
                <w:szCs w:val="28"/>
                <w:lang w:val="ru-RU"/>
              </w:rPr>
              <w:t>Так</w:t>
            </w:r>
          </w:p>
        </w:tc>
        <w:tc>
          <w:tcPr>
            <w:tcW w:w="3567"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both"/>
              <w:rPr>
                <w:rFonts w:ascii="Calibri" w:hAnsi="Calibri" w:cs="Calibri"/>
                <w:lang w:val="en"/>
              </w:rPr>
            </w:pPr>
          </w:p>
        </w:tc>
      </w:tr>
      <w:tr w:rsidR="00CF36A3">
        <w:tblPrEx>
          <w:tblCellMar>
            <w:top w:w="0" w:type="dxa"/>
            <w:bottom w:w="0" w:type="dxa"/>
          </w:tblCellMar>
        </w:tblPrEx>
        <w:trPr>
          <w:trHeight w:val="752"/>
        </w:trPr>
        <w:tc>
          <w:tcPr>
            <w:tcW w:w="2859"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jc w:val="both"/>
              <w:rPr>
                <w:rFonts w:ascii="Calibri" w:hAnsi="Calibri" w:cs="Calibri"/>
                <w:lang w:val="ru-RU"/>
              </w:rPr>
            </w:pPr>
            <w:r>
              <w:rPr>
                <w:rFonts w:ascii="Times New Roman" w:hAnsi="Times New Roman"/>
                <w:sz w:val="28"/>
                <w:szCs w:val="28"/>
                <w:lang w:val="ru-RU"/>
              </w:rPr>
              <w:t>Суб’єкти господарювання, у тому числі суб’єкти малого підприємництва</w:t>
            </w:r>
          </w:p>
        </w:tc>
        <w:tc>
          <w:tcPr>
            <w:tcW w:w="3310"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both"/>
              <w:rPr>
                <w:rFonts w:ascii="Calibri" w:hAnsi="Calibri" w:cs="Calibri"/>
                <w:lang w:val="en"/>
              </w:rPr>
            </w:pPr>
            <w:r>
              <w:rPr>
                <w:rFonts w:ascii="Times New Roman" w:hAnsi="Times New Roman"/>
                <w:sz w:val="28"/>
                <w:szCs w:val="28"/>
                <w:lang w:val="ru-RU"/>
              </w:rPr>
              <w:t>Ні</w:t>
            </w:r>
          </w:p>
        </w:tc>
        <w:tc>
          <w:tcPr>
            <w:tcW w:w="3567"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jc w:val="both"/>
              <w:rPr>
                <w:rFonts w:ascii="Calibri" w:hAnsi="Calibri" w:cs="Calibri"/>
                <w:lang w:val="en"/>
              </w:rPr>
            </w:pPr>
          </w:p>
        </w:tc>
      </w:tr>
    </w:tbl>
    <w:p w:rsidR="00CF36A3" w:rsidRDefault="00CF36A3">
      <w:pPr>
        <w:widowControl w:val="0"/>
        <w:autoSpaceDE w:val="0"/>
        <w:autoSpaceDN w:val="0"/>
        <w:adjustRightInd w:val="0"/>
        <w:spacing w:after="0" w:line="360" w:lineRule="auto"/>
        <w:ind w:left="-426" w:firstLine="720"/>
        <w:jc w:val="both"/>
        <w:rPr>
          <w:rFonts w:ascii="Times New Roman" w:hAnsi="Times New Roman"/>
          <w:sz w:val="28"/>
          <w:szCs w:val="28"/>
          <w:lang w:val="ru-RU"/>
        </w:rPr>
      </w:pPr>
      <w:r>
        <w:rPr>
          <w:rFonts w:ascii="Times New Roman" w:hAnsi="Times New Roman"/>
          <w:sz w:val="28"/>
          <w:szCs w:val="28"/>
          <w:lang w:val="ru-RU"/>
        </w:rPr>
        <w:t>Зазначена вище проблема не може бути розв’язана за допомогою ринкових механізмів, оскільки</w:t>
      </w:r>
      <w:r w:rsidR="00F217F3">
        <w:rPr>
          <w:rFonts w:ascii="Times New Roman" w:hAnsi="Times New Roman"/>
          <w:sz w:val="28"/>
          <w:szCs w:val="28"/>
          <w:lang w:val="ru-RU"/>
        </w:rPr>
        <w:t xml:space="preserve"> </w:t>
      </w:r>
      <w:r w:rsidR="002A685E">
        <w:rPr>
          <w:rFonts w:ascii="Times New Roman" w:hAnsi="Times New Roman"/>
          <w:sz w:val="28"/>
          <w:szCs w:val="28"/>
          <w:lang w:val="ru-RU"/>
        </w:rPr>
        <w:t>суб’єкти</w:t>
      </w:r>
      <w:r w:rsidR="00F217F3" w:rsidRPr="00F217F3">
        <w:rPr>
          <w:rFonts w:ascii="Times New Roman" w:hAnsi="Times New Roman"/>
          <w:sz w:val="28"/>
          <w:szCs w:val="28"/>
          <w:lang w:val="ru-RU"/>
        </w:rPr>
        <w:t xml:space="preserve"> державного фінансового моніторингу</w:t>
      </w:r>
      <w:r>
        <w:rPr>
          <w:rFonts w:ascii="Calibri" w:hAnsi="Calibri" w:cs="Calibri"/>
          <w:lang w:val="ru-RU"/>
        </w:rPr>
        <w:t xml:space="preserve"> </w:t>
      </w:r>
      <w:r>
        <w:rPr>
          <w:rFonts w:ascii="Times New Roman" w:hAnsi="Times New Roman"/>
          <w:sz w:val="28"/>
          <w:szCs w:val="28"/>
          <w:lang w:val="ru-RU"/>
        </w:rPr>
        <w:t>керуються як законами, так і нормативно-правовими актами Комісії.</w:t>
      </w:r>
    </w:p>
    <w:p w:rsidR="00CF36A3" w:rsidRDefault="00A13F0C" w:rsidP="00A13F0C">
      <w:pPr>
        <w:widowControl w:val="0"/>
        <w:autoSpaceDE w:val="0"/>
        <w:autoSpaceDN w:val="0"/>
        <w:adjustRightInd w:val="0"/>
        <w:spacing w:after="0" w:line="360" w:lineRule="auto"/>
        <w:ind w:left="294"/>
        <w:jc w:val="center"/>
        <w:rPr>
          <w:rFonts w:ascii="Times New Roman" w:hAnsi="Times New Roman"/>
          <w:b/>
          <w:bCs/>
          <w:sz w:val="28"/>
          <w:szCs w:val="28"/>
          <w:lang w:val="ru-RU"/>
        </w:rPr>
      </w:pPr>
      <w:r>
        <w:rPr>
          <w:rFonts w:ascii="Times New Roman" w:hAnsi="Times New Roman"/>
          <w:b/>
          <w:bCs/>
          <w:sz w:val="28"/>
          <w:szCs w:val="28"/>
          <w:lang w:val="en-US"/>
        </w:rPr>
        <w:t>II</w:t>
      </w:r>
      <w:r>
        <w:rPr>
          <w:rFonts w:ascii="Times New Roman" w:hAnsi="Times New Roman"/>
          <w:b/>
          <w:bCs/>
          <w:sz w:val="28"/>
          <w:szCs w:val="28"/>
        </w:rPr>
        <w:t>.</w:t>
      </w:r>
      <w:r w:rsidRPr="00A13F0C">
        <w:rPr>
          <w:rFonts w:ascii="Times New Roman" w:hAnsi="Times New Roman"/>
          <w:b/>
          <w:bCs/>
          <w:sz w:val="28"/>
          <w:szCs w:val="28"/>
          <w:lang w:val="ru-RU"/>
        </w:rPr>
        <w:t xml:space="preserve"> </w:t>
      </w:r>
      <w:r w:rsidR="00CF36A3">
        <w:rPr>
          <w:rFonts w:ascii="Times New Roman" w:hAnsi="Times New Roman"/>
          <w:b/>
          <w:bCs/>
          <w:sz w:val="28"/>
          <w:szCs w:val="28"/>
          <w:lang w:val="ru-RU"/>
        </w:rPr>
        <w:t>Цілі державного регулювання</w:t>
      </w:r>
    </w:p>
    <w:p w:rsidR="00CF36A3" w:rsidRDefault="00CF36A3">
      <w:pPr>
        <w:widowControl w:val="0"/>
        <w:autoSpaceDE w:val="0"/>
        <w:autoSpaceDN w:val="0"/>
        <w:adjustRightInd w:val="0"/>
        <w:spacing w:after="0" w:line="360" w:lineRule="auto"/>
        <w:ind w:left="-426" w:firstLine="720"/>
        <w:jc w:val="both"/>
        <w:rPr>
          <w:rFonts w:ascii="Times New Roman" w:hAnsi="Times New Roman"/>
          <w:sz w:val="28"/>
          <w:szCs w:val="28"/>
          <w:lang w:val="ru-RU"/>
        </w:rPr>
      </w:pPr>
      <w:r>
        <w:rPr>
          <w:rFonts w:ascii="Times New Roman" w:hAnsi="Times New Roman"/>
          <w:sz w:val="28"/>
          <w:szCs w:val="28"/>
          <w:lang w:val="ru-RU"/>
        </w:rPr>
        <w:t xml:space="preserve">Проект рішення Національної комісії з цінних паперів та фондового ринку </w:t>
      </w:r>
      <w:r w:rsidRPr="00D03D19">
        <w:rPr>
          <w:rFonts w:ascii="Times New Roman" w:hAnsi="Times New Roman"/>
          <w:sz w:val="28"/>
          <w:szCs w:val="28"/>
          <w:lang w:val="ru-RU"/>
        </w:rPr>
        <w:t>«</w:t>
      </w:r>
      <w:r w:rsidR="004274CB" w:rsidRPr="004274CB">
        <w:rPr>
          <w:rFonts w:ascii="Times New Roman" w:hAnsi="Times New Roman"/>
          <w:sz w:val="28"/>
          <w:szCs w:val="28"/>
          <w:lang w:val="ru-RU"/>
        </w:rPr>
        <w:t>Про  затвердження Правил розгляду справ про порушення вимог законодавства щодо запобігання та пр</w:t>
      </w:r>
      <w:r w:rsidR="00DC5088">
        <w:rPr>
          <w:rFonts w:ascii="Times New Roman" w:hAnsi="Times New Roman"/>
          <w:sz w:val="28"/>
          <w:szCs w:val="28"/>
          <w:lang w:val="ru-RU"/>
        </w:rPr>
        <w:t>отидії</w:t>
      </w:r>
      <w:r w:rsidR="004274CB" w:rsidRPr="004274CB">
        <w:rPr>
          <w:rFonts w:ascii="Times New Roman" w:hAnsi="Times New Roman"/>
          <w:sz w:val="28"/>
          <w:szCs w:val="28"/>
          <w:lang w:val="ru-RU"/>
        </w:rPr>
        <w:t xml:space="preserve"> легалізації (відмиванню) доходів, одержаних злочинним шляхом, фінансуванню тероризму та фінансуванню розповсюдження зброї масового знищення та застосування заходів впливу</w:t>
      </w:r>
      <w:r w:rsidRPr="00D03D19">
        <w:rPr>
          <w:rFonts w:ascii="Times New Roman" w:hAnsi="Times New Roman"/>
          <w:sz w:val="28"/>
          <w:szCs w:val="28"/>
          <w:lang w:val="ru-RU"/>
        </w:rPr>
        <w:t xml:space="preserve">» </w:t>
      </w:r>
      <w:r>
        <w:rPr>
          <w:rFonts w:ascii="Times New Roman" w:hAnsi="Times New Roman"/>
          <w:sz w:val="28"/>
          <w:szCs w:val="28"/>
          <w:lang w:val="ru-RU"/>
        </w:rPr>
        <w:t>розроблено</w:t>
      </w:r>
      <w:r w:rsidR="004274CB">
        <w:rPr>
          <w:rFonts w:ascii="Times New Roman" w:hAnsi="Times New Roman"/>
          <w:sz w:val="28"/>
          <w:szCs w:val="28"/>
          <w:lang w:val="ru-RU"/>
        </w:rPr>
        <w:t xml:space="preserve"> </w:t>
      </w:r>
      <w:r w:rsidR="004274CB" w:rsidRPr="004274CB">
        <w:rPr>
          <w:rFonts w:ascii="Times New Roman" w:hAnsi="Times New Roman"/>
          <w:sz w:val="28"/>
          <w:szCs w:val="28"/>
          <w:lang w:val="ru-RU"/>
        </w:rPr>
        <w:t xml:space="preserve">відповідно до статті 18 </w:t>
      </w:r>
      <w:r w:rsidR="00E76E44" w:rsidRPr="00E76E44">
        <w:rPr>
          <w:rFonts w:ascii="Times New Roman" w:hAnsi="Times New Roman"/>
          <w:sz w:val="28"/>
          <w:szCs w:val="28"/>
          <w:lang w:val="ru-RU"/>
        </w:rPr>
        <w:t xml:space="preserve">        </w:t>
      </w:r>
      <w:r w:rsidR="004274CB" w:rsidRPr="004274CB">
        <w:rPr>
          <w:rFonts w:ascii="Times New Roman" w:hAnsi="Times New Roman"/>
          <w:sz w:val="28"/>
          <w:szCs w:val="28"/>
          <w:lang w:val="ru-RU"/>
        </w:rPr>
        <w:lastRenderedPageBreak/>
        <w:t xml:space="preserve">розділу II, пункту 8 розділу X Прикінцевих положень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004274CB">
        <w:rPr>
          <w:rFonts w:ascii="Times New Roman" w:hAnsi="Times New Roman"/>
          <w:sz w:val="28"/>
          <w:szCs w:val="28"/>
          <w:lang w:val="ru-RU"/>
        </w:rPr>
        <w:t xml:space="preserve">06.12.2019 </w:t>
      </w:r>
      <w:r w:rsidR="004274CB" w:rsidRPr="004274CB">
        <w:rPr>
          <w:rFonts w:ascii="Times New Roman" w:hAnsi="Times New Roman"/>
          <w:sz w:val="28"/>
          <w:szCs w:val="28"/>
          <w:lang w:val="ru-RU"/>
        </w:rPr>
        <w:t>№ 361-XI з метою вдосконалення процедури правозастосування у сфері запобігання та протидії легалізації (відмиванню) доходів, одержаних злочинним шляхом, фінансуванню тероризму та фінансуванню розповс</w:t>
      </w:r>
      <w:r w:rsidR="00E76E44">
        <w:rPr>
          <w:rFonts w:ascii="Times New Roman" w:hAnsi="Times New Roman"/>
          <w:sz w:val="28"/>
          <w:szCs w:val="28"/>
          <w:lang w:val="ru-RU"/>
        </w:rPr>
        <w:t>юдження зброї масового знищення</w:t>
      </w:r>
      <w:r w:rsidRPr="004274CB">
        <w:rPr>
          <w:rFonts w:ascii="Times New Roman" w:hAnsi="Times New Roman"/>
          <w:sz w:val="28"/>
          <w:szCs w:val="28"/>
          <w:lang w:val="ru-RU"/>
        </w:rPr>
        <w:t>.</w:t>
      </w:r>
    </w:p>
    <w:p w:rsidR="00CF36A3" w:rsidRDefault="00A13F0C" w:rsidP="00A13F0C">
      <w:pPr>
        <w:widowControl w:val="0"/>
        <w:autoSpaceDE w:val="0"/>
        <w:autoSpaceDN w:val="0"/>
        <w:adjustRightInd w:val="0"/>
        <w:spacing w:after="0" w:line="360" w:lineRule="auto"/>
        <w:ind w:left="294"/>
        <w:rPr>
          <w:rFonts w:ascii="Times New Roman" w:hAnsi="Times New Roman"/>
          <w:b/>
          <w:bCs/>
          <w:sz w:val="28"/>
          <w:szCs w:val="28"/>
          <w:lang w:val="ru-RU"/>
        </w:rPr>
      </w:pPr>
      <w:r>
        <w:rPr>
          <w:rFonts w:ascii="Times New Roman" w:hAnsi="Times New Roman"/>
          <w:b/>
          <w:bCs/>
          <w:sz w:val="28"/>
          <w:szCs w:val="28"/>
          <w:lang w:val="en-US"/>
        </w:rPr>
        <w:t>III</w:t>
      </w:r>
      <w:r>
        <w:rPr>
          <w:rFonts w:ascii="Times New Roman" w:hAnsi="Times New Roman"/>
          <w:b/>
          <w:bCs/>
          <w:sz w:val="28"/>
          <w:szCs w:val="28"/>
        </w:rPr>
        <w:t>.</w:t>
      </w:r>
      <w:r w:rsidRPr="00A13F0C">
        <w:rPr>
          <w:rFonts w:ascii="Times New Roman" w:hAnsi="Times New Roman"/>
          <w:b/>
          <w:bCs/>
          <w:sz w:val="28"/>
          <w:szCs w:val="28"/>
          <w:lang w:val="ru-RU"/>
        </w:rPr>
        <w:t xml:space="preserve"> </w:t>
      </w:r>
      <w:r w:rsidR="00CF36A3">
        <w:rPr>
          <w:rFonts w:ascii="Times New Roman" w:hAnsi="Times New Roman"/>
          <w:b/>
          <w:bCs/>
          <w:sz w:val="28"/>
          <w:szCs w:val="28"/>
          <w:lang w:val="ru-RU"/>
        </w:rPr>
        <w:t>Визначення та оцінка альтернативних способів досягнення цілей</w:t>
      </w:r>
    </w:p>
    <w:p w:rsidR="00CF36A3" w:rsidRPr="00D03D19" w:rsidRDefault="00CF36A3">
      <w:pPr>
        <w:widowControl w:val="0"/>
        <w:autoSpaceDE w:val="0"/>
        <w:autoSpaceDN w:val="0"/>
        <w:adjustRightInd w:val="0"/>
        <w:spacing w:after="0" w:line="360" w:lineRule="auto"/>
        <w:ind w:left="294"/>
        <w:rPr>
          <w:rFonts w:ascii="Times New Roman" w:hAnsi="Times New Roman"/>
          <w:b/>
          <w:bCs/>
          <w:sz w:val="28"/>
          <w:szCs w:val="28"/>
          <w:lang w:val="ru-RU"/>
        </w:rPr>
      </w:pPr>
    </w:p>
    <w:p w:rsidR="00CF36A3" w:rsidRDefault="00CF36A3" w:rsidP="00A13F0C">
      <w:pPr>
        <w:widowControl w:val="0"/>
        <w:numPr>
          <w:ilvl w:val="0"/>
          <w:numId w:val="2"/>
        </w:numPr>
        <w:autoSpaceDE w:val="0"/>
        <w:autoSpaceDN w:val="0"/>
        <w:adjustRightInd w:val="0"/>
        <w:spacing w:after="0" w:line="360" w:lineRule="auto"/>
        <w:rPr>
          <w:rFonts w:ascii="Times New Roman" w:hAnsi="Times New Roman"/>
          <w:sz w:val="28"/>
          <w:szCs w:val="28"/>
          <w:lang w:val="ru-RU"/>
        </w:rPr>
      </w:pPr>
      <w:r>
        <w:rPr>
          <w:rFonts w:ascii="Times New Roman" w:hAnsi="Times New Roman"/>
          <w:sz w:val="28"/>
          <w:szCs w:val="28"/>
          <w:lang w:val="ru-RU"/>
        </w:rPr>
        <w:t xml:space="preserve">Визначення альтернативних способів </w:t>
      </w:r>
    </w:p>
    <w:tbl>
      <w:tblPr>
        <w:tblW w:w="0" w:type="auto"/>
        <w:tblInd w:w="108" w:type="dxa"/>
        <w:tblLayout w:type="fixed"/>
        <w:tblLook w:val="0000" w:firstRow="0" w:lastRow="0" w:firstColumn="0" w:lastColumn="0" w:noHBand="0" w:noVBand="0"/>
      </w:tblPr>
      <w:tblGrid>
        <w:gridCol w:w="2944"/>
        <w:gridCol w:w="6725"/>
      </w:tblGrid>
      <w:tr w:rsidR="00CF36A3">
        <w:tblPrEx>
          <w:tblCellMar>
            <w:top w:w="0" w:type="dxa"/>
            <w:bottom w:w="0" w:type="dxa"/>
          </w:tblCellMar>
        </w:tblPrEx>
        <w:trPr>
          <w:trHeight w:val="374"/>
        </w:trPr>
        <w:tc>
          <w:tcPr>
            <w:tcW w:w="2944"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952" w:hanging="907"/>
              <w:rPr>
                <w:rFonts w:ascii="Calibri" w:hAnsi="Calibri" w:cs="Calibri"/>
                <w:lang w:val="en"/>
              </w:rPr>
            </w:pPr>
            <w:r>
              <w:rPr>
                <w:rFonts w:ascii="Times New Roman" w:hAnsi="Times New Roman"/>
                <w:b/>
                <w:bCs/>
                <w:sz w:val="28"/>
                <w:szCs w:val="28"/>
                <w:lang w:val="ru-RU"/>
              </w:rPr>
              <w:t>Вид альтернативи</w:t>
            </w:r>
          </w:p>
        </w:tc>
        <w:tc>
          <w:tcPr>
            <w:tcW w:w="6725"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952"/>
              <w:rPr>
                <w:rFonts w:ascii="Calibri" w:hAnsi="Calibri" w:cs="Calibri"/>
                <w:lang w:val="en"/>
              </w:rPr>
            </w:pPr>
            <w:r>
              <w:rPr>
                <w:rFonts w:ascii="Times New Roman" w:hAnsi="Times New Roman"/>
                <w:b/>
                <w:bCs/>
                <w:sz w:val="28"/>
                <w:szCs w:val="28"/>
                <w:lang w:val="ru-RU"/>
              </w:rPr>
              <w:t>Опис альтернативи</w:t>
            </w:r>
          </w:p>
        </w:tc>
      </w:tr>
      <w:tr w:rsidR="00CF36A3" w:rsidRPr="00D03D19">
        <w:tblPrEx>
          <w:tblCellMar>
            <w:top w:w="0" w:type="dxa"/>
            <w:bottom w:w="0" w:type="dxa"/>
          </w:tblCellMar>
        </w:tblPrEx>
        <w:trPr>
          <w:trHeight w:val="542"/>
        </w:trPr>
        <w:tc>
          <w:tcPr>
            <w:tcW w:w="2944"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952" w:hanging="952"/>
              <w:rPr>
                <w:rFonts w:ascii="Times New Roman" w:hAnsi="Times New Roman"/>
                <w:b/>
                <w:bCs/>
                <w:sz w:val="28"/>
                <w:szCs w:val="28"/>
                <w:lang w:val="ru-RU"/>
              </w:rPr>
            </w:pPr>
            <w:r>
              <w:rPr>
                <w:rFonts w:ascii="Times New Roman" w:hAnsi="Times New Roman"/>
                <w:b/>
                <w:bCs/>
                <w:sz w:val="28"/>
                <w:szCs w:val="28"/>
                <w:lang w:val="ru-RU"/>
              </w:rPr>
              <w:t>Альтернатива 1</w:t>
            </w:r>
          </w:p>
          <w:p w:rsidR="00CF36A3" w:rsidRDefault="00CF36A3">
            <w:pPr>
              <w:widowControl w:val="0"/>
              <w:autoSpaceDE w:val="0"/>
              <w:autoSpaceDN w:val="0"/>
              <w:adjustRightInd w:val="0"/>
              <w:spacing w:after="0" w:line="360" w:lineRule="auto"/>
              <w:rPr>
                <w:rFonts w:ascii="Calibri" w:hAnsi="Calibri" w:cs="Calibri"/>
                <w:lang w:val="en"/>
              </w:rPr>
            </w:pPr>
          </w:p>
        </w:tc>
        <w:tc>
          <w:tcPr>
            <w:tcW w:w="6725"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line="259" w:lineRule="atLeast"/>
              <w:rPr>
                <w:rFonts w:ascii="Times New Roman" w:hAnsi="Times New Roman"/>
                <w:b/>
                <w:bCs/>
                <w:sz w:val="28"/>
                <w:szCs w:val="28"/>
                <w:lang w:val="ru-RU"/>
              </w:rPr>
            </w:pPr>
            <w:r>
              <w:rPr>
                <w:rFonts w:ascii="Times New Roman" w:hAnsi="Times New Roman"/>
                <w:b/>
                <w:bCs/>
                <w:sz w:val="28"/>
                <w:szCs w:val="28"/>
                <w:lang w:val="ru-RU"/>
              </w:rPr>
              <w:t>Збереження існуючого стану законодавства</w:t>
            </w:r>
          </w:p>
          <w:p w:rsidR="00CF36A3" w:rsidRDefault="00CF36A3">
            <w:pPr>
              <w:widowControl w:val="0"/>
              <w:autoSpaceDE w:val="0"/>
              <w:autoSpaceDN w:val="0"/>
              <w:adjustRightInd w:val="0"/>
              <w:spacing w:line="259" w:lineRule="atLeast"/>
              <w:jc w:val="both"/>
              <w:rPr>
                <w:rFonts w:ascii="Times New Roman" w:hAnsi="Times New Roman"/>
                <w:sz w:val="28"/>
                <w:szCs w:val="28"/>
                <w:lang w:val="ru-RU"/>
              </w:rPr>
            </w:pPr>
            <w:r>
              <w:rPr>
                <w:rFonts w:ascii="Times New Roman" w:hAnsi="Times New Roman"/>
                <w:sz w:val="28"/>
                <w:szCs w:val="28"/>
                <w:lang w:val="ru-RU"/>
              </w:rPr>
              <w:t>У зв’язку із прийняттям Верховною Радою відповідного Закону України</w:t>
            </w:r>
            <w:r w:rsidR="00E76E44" w:rsidRPr="00E76E44">
              <w:rPr>
                <w:rFonts w:ascii="Times New Roman" w:hAnsi="Times New Roman"/>
                <w:sz w:val="28"/>
                <w:szCs w:val="28"/>
                <w:lang w:val="ru-RU"/>
              </w:rPr>
              <w:t xml:space="preserve"> потребує приведення у відповідність до нього нормативно-правових актів Національної комісії з цінних паперів та фондового ринку</w:t>
            </w:r>
            <w:r>
              <w:rPr>
                <w:rFonts w:ascii="Times New Roman" w:hAnsi="Times New Roman"/>
                <w:sz w:val="28"/>
                <w:szCs w:val="28"/>
                <w:lang w:val="ru-RU"/>
              </w:rPr>
              <w:t>.</w:t>
            </w:r>
          </w:p>
          <w:p w:rsidR="00CF36A3" w:rsidRPr="00D03D19" w:rsidRDefault="00CF36A3">
            <w:pPr>
              <w:widowControl w:val="0"/>
              <w:autoSpaceDE w:val="0"/>
              <w:autoSpaceDN w:val="0"/>
              <w:adjustRightInd w:val="0"/>
              <w:spacing w:after="0" w:line="240" w:lineRule="auto"/>
              <w:rPr>
                <w:rFonts w:ascii="Calibri" w:hAnsi="Calibri" w:cs="Calibri"/>
                <w:lang w:val="ru-RU"/>
              </w:rPr>
            </w:pPr>
          </w:p>
        </w:tc>
      </w:tr>
      <w:tr w:rsidR="00CF36A3" w:rsidRPr="00D03D19">
        <w:tblPrEx>
          <w:tblCellMar>
            <w:top w:w="0" w:type="dxa"/>
            <w:bottom w:w="0" w:type="dxa"/>
          </w:tblCellMar>
        </w:tblPrEx>
        <w:trPr>
          <w:trHeight w:val="2102"/>
        </w:trPr>
        <w:tc>
          <w:tcPr>
            <w:tcW w:w="2944"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952" w:hanging="907"/>
              <w:rPr>
                <w:rFonts w:ascii="Calibri" w:hAnsi="Calibri" w:cs="Calibri"/>
                <w:lang w:val="en"/>
              </w:rPr>
            </w:pPr>
            <w:r>
              <w:rPr>
                <w:rFonts w:ascii="Times New Roman" w:hAnsi="Times New Roman"/>
                <w:b/>
                <w:bCs/>
                <w:sz w:val="28"/>
                <w:szCs w:val="28"/>
                <w:lang w:val="ru-RU"/>
              </w:rPr>
              <w:t>Альтернатива 2</w:t>
            </w:r>
          </w:p>
        </w:tc>
        <w:tc>
          <w:tcPr>
            <w:tcW w:w="6725"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952" w:hanging="952"/>
              <w:rPr>
                <w:rFonts w:ascii="Times New Roman" w:hAnsi="Times New Roman"/>
                <w:b/>
                <w:bCs/>
                <w:sz w:val="28"/>
                <w:szCs w:val="28"/>
                <w:lang w:val="ru-RU"/>
              </w:rPr>
            </w:pPr>
            <w:r>
              <w:rPr>
                <w:rFonts w:ascii="Times New Roman" w:hAnsi="Times New Roman"/>
                <w:b/>
                <w:bCs/>
                <w:sz w:val="28"/>
                <w:szCs w:val="28"/>
                <w:lang w:val="ru-RU"/>
              </w:rPr>
              <w:t>Розробка проекту рішення НКЦПФР</w:t>
            </w:r>
          </w:p>
          <w:p w:rsidR="00CF36A3" w:rsidRPr="00D03D19" w:rsidRDefault="00CF36A3">
            <w:pPr>
              <w:widowControl w:val="0"/>
              <w:autoSpaceDE w:val="0"/>
              <w:autoSpaceDN w:val="0"/>
              <w:adjustRightInd w:val="0"/>
              <w:spacing w:after="0" w:line="240" w:lineRule="auto"/>
              <w:ind w:hanging="11"/>
              <w:jc w:val="both"/>
              <w:rPr>
                <w:rFonts w:ascii="Calibri" w:hAnsi="Calibri" w:cs="Calibri"/>
                <w:lang w:val="ru-RU"/>
              </w:rPr>
            </w:pPr>
            <w:r>
              <w:rPr>
                <w:rFonts w:ascii="Times New Roman" w:hAnsi="Times New Roman"/>
                <w:sz w:val="28"/>
                <w:szCs w:val="28"/>
                <w:lang w:val="ru-RU"/>
              </w:rPr>
              <w:t>Запропонований спосіб розв’язання зазначеної проблеми є необхідним ураховуючи вимоги чинного законодавства щодо приведення нормативно-правових актів НКЦПФР у відповідність до нього.</w:t>
            </w:r>
          </w:p>
        </w:tc>
      </w:tr>
    </w:tbl>
    <w:p w:rsidR="00CF36A3" w:rsidRDefault="00CF36A3" w:rsidP="00A13F0C">
      <w:pPr>
        <w:widowControl w:val="0"/>
        <w:numPr>
          <w:ilvl w:val="0"/>
          <w:numId w:val="2"/>
        </w:numPr>
        <w:autoSpaceDE w:val="0"/>
        <w:autoSpaceDN w:val="0"/>
        <w:adjustRightInd w:val="0"/>
        <w:spacing w:after="0" w:line="360" w:lineRule="auto"/>
        <w:rPr>
          <w:rFonts w:ascii="Times New Roman" w:hAnsi="Times New Roman"/>
          <w:sz w:val="28"/>
          <w:szCs w:val="28"/>
          <w:lang w:val="ru-RU"/>
        </w:rPr>
      </w:pPr>
      <w:r>
        <w:rPr>
          <w:rFonts w:ascii="Times New Roman" w:hAnsi="Times New Roman"/>
          <w:sz w:val="28"/>
          <w:szCs w:val="28"/>
          <w:lang w:val="ru-RU"/>
        </w:rPr>
        <w:t>Оцінка вибраних альтернативних способів досягнення цілей</w:t>
      </w:r>
    </w:p>
    <w:p w:rsidR="00CF36A3" w:rsidRDefault="00CF36A3">
      <w:pPr>
        <w:widowControl w:val="0"/>
        <w:autoSpaceDE w:val="0"/>
        <w:autoSpaceDN w:val="0"/>
        <w:adjustRightInd w:val="0"/>
        <w:spacing w:after="0" w:line="360" w:lineRule="auto"/>
        <w:ind w:left="-426" w:firstLine="720"/>
        <w:jc w:val="both"/>
        <w:rPr>
          <w:rFonts w:ascii="Times New Roman" w:hAnsi="Times New Roman"/>
          <w:sz w:val="28"/>
          <w:szCs w:val="28"/>
          <w:lang w:val="ru-RU"/>
        </w:rPr>
      </w:pPr>
      <w:r>
        <w:rPr>
          <w:rFonts w:ascii="Times New Roman" w:hAnsi="Times New Roman"/>
          <w:sz w:val="28"/>
          <w:szCs w:val="28"/>
          <w:lang w:val="ru-RU"/>
        </w:rPr>
        <w:t>Прийняття рішення НКЦПФР направлено на</w:t>
      </w:r>
      <w:r>
        <w:rPr>
          <w:rFonts w:ascii="Calibri" w:hAnsi="Calibri" w:cs="Calibri"/>
          <w:lang w:val="ru-RU"/>
        </w:rPr>
        <w:t xml:space="preserve"> </w:t>
      </w:r>
      <w:r w:rsidR="00E76E44">
        <w:rPr>
          <w:rFonts w:ascii="Times New Roman" w:hAnsi="Times New Roman"/>
          <w:sz w:val="28"/>
          <w:szCs w:val="28"/>
          <w:lang w:val="ru-RU"/>
        </w:rPr>
        <w:t xml:space="preserve">приведення чинних </w:t>
      </w:r>
      <w:r w:rsidR="00E76E44" w:rsidRPr="00E76E44">
        <w:rPr>
          <w:rFonts w:ascii="Times New Roman" w:hAnsi="Times New Roman"/>
          <w:sz w:val="28"/>
          <w:szCs w:val="28"/>
          <w:lang w:val="ru-RU"/>
        </w:rPr>
        <w:t xml:space="preserve">Правил розгляду справ про порушення вимог законодавства щодо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та застосування санкцій затверджених рішенням Національної комісії з цінних паперів та фондового ринку від 11 грудня 2012 року № 1766 </w:t>
      </w:r>
      <w:r>
        <w:rPr>
          <w:rFonts w:ascii="Times New Roman" w:hAnsi="Times New Roman"/>
          <w:sz w:val="28"/>
          <w:szCs w:val="28"/>
          <w:lang w:val="ru-RU"/>
        </w:rPr>
        <w:t xml:space="preserve">у відповідність до діючого законодавства. Вигоди та витрати для сфер громадян та суб’єктів господарювання у </w:t>
      </w:r>
      <w:r>
        <w:rPr>
          <w:rFonts w:ascii="Times New Roman" w:hAnsi="Times New Roman"/>
          <w:sz w:val="28"/>
          <w:szCs w:val="28"/>
          <w:lang w:val="ru-RU"/>
        </w:rPr>
        <w:lastRenderedPageBreak/>
        <w:t>зв’язку із прийняттям зазначеного рішення НКЦПФР відсутні.</w:t>
      </w:r>
    </w:p>
    <w:tbl>
      <w:tblPr>
        <w:tblW w:w="0" w:type="auto"/>
        <w:tblInd w:w="108" w:type="dxa"/>
        <w:tblLayout w:type="fixed"/>
        <w:tblLook w:val="0000" w:firstRow="0" w:lastRow="0" w:firstColumn="0" w:lastColumn="0" w:noHBand="0" w:noVBand="0"/>
      </w:tblPr>
      <w:tblGrid>
        <w:gridCol w:w="2519"/>
        <w:gridCol w:w="3685"/>
        <w:gridCol w:w="3670"/>
      </w:tblGrid>
      <w:tr w:rsidR="00CF36A3">
        <w:tblPrEx>
          <w:tblCellMar>
            <w:top w:w="0" w:type="dxa"/>
            <w:bottom w:w="0" w:type="dxa"/>
          </w:tblCellMar>
        </w:tblPrEx>
        <w:trPr>
          <w:trHeight w:val="411"/>
        </w:trPr>
        <w:tc>
          <w:tcPr>
            <w:tcW w:w="2519"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240" w:lineRule="auto"/>
              <w:ind w:left="-34" w:firstLine="34"/>
              <w:jc w:val="center"/>
              <w:rPr>
                <w:rFonts w:ascii="Calibri" w:hAnsi="Calibri" w:cs="Calibri"/>
                <w:lang w:val="en"/>
              </w:rPr>
            </w:pPr>
            <w:r>
              <w:rPr>
                <w:rFonts w:ascii="Times New Roman" w:hAnsi="Times New Roman"/>
                <w:b/>
                <w:bCs/>
                <w:sz w:val="28"/>
                <w:szCs w:val="28"/>
                <w:lang w:val="ru-RU"/>
              </w:rPr>
              <w:t>Види альтернативи</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34" w:firstLine="720"/>
              <w:jc w:val="both"/>
              <w:rPr>
                <w:rFonts w:ascii="Calibri" w:hAnsi="Calibri" w:cs="Calibri"/>
                <w:lang w:val="en"/>
              </w:rPr>
            </w:pPr>
            <w:r>
              <w:rPr>
                <w:rFonts w:ascii="Times New Roman" w:hAnsi="Times New Roman"/>
                <w:b/>
                <w:bCs/>
                <w:sz w:val="28"/>
                <w:szCs w:val="28"/>
                <w:lang w:val="ru-RU"/>
              </w:rPr>
              <w:t>Вигоди</w:t>
            </w:r>
          </w:p>
        </w:tc>
        <w:tc>
          <w:tcPr>
            <w:tcW w:w="3670"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34" w:firstLine="720"/>
              <w:jc w:val="both"/>
              <w:rPr>
                <w:rFonts w:ascii="Calibri" w:hAnsi="Calibri" w:cs="Calibri"/>
                <w:lang w:val="en"/>
              </w:rPr>
            </w:pPr>
            <w:r>
              <w:rPr>
                <w:rFonts w:ascii="Times New Roman" w:hAnsi="Times New Roman"/>
                <w:b/>
                <w:bCs/>
                <w:sz w:val="28"/>
                <w:szCs w:val="28"/>
                <w:lang w:val="ru-RU"/>
              </w:rPr>
              <w:t>Витрати</w:t>
            </w:r>
          </w:p>
        </w:tc>
      </w:tr>
      <w:tr w:rsidR="00CF36A3">
        <w:tblPrEx>
          <w:tblCellMar>
            <w:top w:w="0" w:type="dxa"/>
            <w:bottom w:w="0" w:type="dxa"/>
          </w:tblCellMar>
        </w:tblPrEx>
        <w:trPr>
          <w:trHeight w:val="355"/>
        </w:trPr>
        <w:tc>
          <w:tcPr>
            <w:tcW w:w="2519"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34" w:firstLine="31"/>
              <w:jc w:val="both"/>
              <w:rPr>
                <w:rFonts w:ascii="Calibri" w:hAnsi="Calibri" w:cs="Calibri"/>
                <w:lang w:val="en"/>
              </w:rPr>
            </w:pPr>
            <w:r>
              <w:rPr>
                <w:rFonts w:ascii="Times New Roman" w:hAnsi="Times New Roman"/>
                <w:b/>
                <w:bCs/>
                <w:sz w:val="28"/>
                <w:szCs w:val="28"/>
                <w:lang w:val="ru-RU"/>
              </w:rPr>
              <w:t>Альтернатива 1</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240" w:lineRule="auto"/>
              <w:ind w:left="-34" w:firstLine="720"/>
              <w:jc w:val="both"/>
              <w:rPr>
                <w:rFonts w:ascii="Calibri" w:hAnsi="Calibri" w:cs="Calibri"/>
                <w:lang w:val="en"/>
              </w:rPr>
            </w:pPr>
            <w:r>
              <w:rPr>
                <w:rFonts w:ascii="Times New Roman" w:hAnsi="Times New Roman"/>
                <w:sz w:val="28"/>
                <w:szCs w:val="28"/>
                <w:lang w:val="ru-RU"/>
              </w:rPr>
              <w:t>Відсутні</w:t>
            </w:r>
          </w:p>
        </w:tc>
        <w:tc>
          <w:tcPr>
            <w:tcW w:w="3670"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240" w:lineRule="auto"/>
              <w:ind w:left="-34" w:firstLine="34"/>
              <w:jc w:val="center"/>
              <w:rPr>
                <w:rFonts w:ascii="Calibri" w:hAnsi="Calibri" w:cs="Calibri"/>
                <w:lang w:val="en"/>
              </w:rPr>
            </w:pPr>
            <w:r>
              <w:rPr>
                <w:rFonts w:ascii="Times New Roman" w:hAnsi="Times New Roman"/>
                <w:sz w:val="28"/>
                <w:szCs w:val="28"/>
                <w:lang w:val="ru-RU"/>
              </w:rPr>
              <w:t>Відсутні</w:t>
            </w:r>
          </w:p>
        </w:tc>
      </w:tr>
      <w:tr w:rsidR="00CF36A3">
        <w:tblPrEx>
          <w:tblCellMar>
            <w:top w:w="0" w:type="dxa"/>
            <w:bottom w:w="0" w:type="dxa"/>
          </w:tblCellMar>
        </w:tblPrEx>
        <w:trPr>
          <w:trHeight w:val="374"/>
        </w:trPr>
        <w:tc>
          <w:tcPr>
            <w:tcW w:w="2519"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34" w:firstLine="34"/>
              <w:jc w:val="both"/>
              <w:rPr>
                <w:rFonts w:ascii="Calibri" w:hAnsi="Calibri" w:cs="Calibri"/>
                <w:lang w:val="en"/>
              </w:rPr>
            </w:pPr>
            <w:r>
              <w:rPr>
                <w:rFonts w:ascii="Times New Roman" w:hAnsi="Times New Roman"/>
                <w:b/>
                <w:bCs/>
                <w:sz w:val="28"/>
                <w:szCs w:val="28"/>
                <w:lang w:val="ru-RU"/>
              </w:rPr>
              <w:t>Альтернатива 2</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E76E44" w:rsidRDefault="00CF36A3" w:rsidP="00E76E44">
            <w:pPr>
              <w:widowControl w:val="0"/>
              <w:autoSpaceDE w:val="0"/>
              <w:autoSpaceDN w:val="0"/>
              <w:adjustRightInd w:val="0"/>
              <w:spacing w:after="0" w:line="240" w:lineRule="auto"/>
              <w:ind w:left="-34" w:firstLine="34"/>
              <w:jc w:val="both"/>
              <w:rPr>
                <w:rFonts w:ascii="Calibri" w:hAnsi="Calibri" w:cs="Calibri"/>
                <w:lang w:val="en"/>
              </w:rPr>
            </w:pPr>
            <w:r>
              <w:rPr>
                <w:rFonts w:ascii="Times New Roman" w:hAnsi="Times New Roman"/>
                <w:sz w:val="28"/>
                <w:szCs w:val="28"/>
                <w:lang w:val="ru-RU"/>
              </w:rPr>
              <w:t>Прийняття</w:t>
            </w:r>
            <w:r w:rsidRPr="00E76E44">
              <w:rPr>
                <w:rFonts w:ascii="Times New Roman" w:hAnsi="Times New Roman"/>
                <w:sz w:val="28"/>
                <w:szCs w:val="28"/>
                <w:lang w:val="en"/>
              </w:rPr>
              <w:t xml:space="preserve"> </w:t>
            </w:r>
            <w:r>
              <w:rPr>
                <w:rFonts w:ascii="Times New Roman" w:hAnsi="Times New Roman"/>
                <w:sz w:val="28"/>
                <w:szCs w:val="28"/>
                <w:lang w:val="ru-RU"/>
              </w:rPr>
              <w:t>рішення</w:t>
            </w:r>
            <w:r w:rsidRPr="00E76E44">
              <w:rPr>
                <w:rFonts w:ascii="Times New Roman" w:hAnsi="Times New Roman"/>
                <w:sz w:val="28"/>
                <w:szCs w:val="28"/>
                <w:lang w:val="en"/>
              </w:rPr>
              <w:t xml:space="preserve"> </w:t>
            </w:r>
            <w:r>
              <w:rPr>
                <w:rFonts w:ascii="Times New Roman" w:hAnsi="Times New Roman"/>
                <w:sz w:val="28"/>
                <w:szCs w:val="28"/>
                <w:lang w:val="ru-RU"/>
              </w:rPr>
              <w:t>НКЦПФР</w:t>
            </w:r>
            <w:r w:rsidRPr="00E76E44">
              <w:rPr>
                <w:rFonts w:ascii="Times New Roman" w:hAnsi="Times New Roman"/>
                <w:sz w:val="28"/>
                <w:szCs w:val="28"/>
                <w:lang w:val="en"/>
              </w:rPr>
              <w:t xml:space="preserve"> </w:t>
            </w:r>
            <w:r>
              <w:rPr>
                <w:rFonts w:ascii="Times New Roman" w:hAnsi="Times New Roman"/>
                <w:sz w:val="28"/>
                <w:szCs w:val="28"/>
                <w:lang w:val="ru-RU"/>
              </w:rPr>
              <w:t>дозволить</w:t>
            </w:r>
            <w:r w:rsidRPr="00E76E44">
              <w:rPr>
                <w:rFonts w:ascii="Times New Roman" w:hAnsi="Times New Roman"/>
                <w:sz w:val="28"/>
                <w:szCs w:val="28"/>
                <w:lang w:val="en"/>
              </w:rPr>
              <w:t xml:space="preserve"> </w:t>
            </w:r>
            <w:r>
              <w:rPr>
                <w:rFonts w:ascii="Times New Roman" w:hAnsi="Times New Roman"/>
                <w:sz w:val="28"/>
                <w:szCs w:val="28"/>
                <w:lang w:val="ru-RU"/>
              </w:rPr>
              <w:t>привести</w:t>
            </w:r>
            <w:r w:rsidRPr="00E76E44">
              <w:rPr>
                <w:rFonts w:ascii="Times New Roman" w:hAnsi="Times New Roman"/>
                <w:sz w:val="28"/>
                <w:szCs w:val="28"/>
                <w:lang w:val="en"/>
              </w:rPr>
              <w:t xml:space="preserve"> </w:t>
            </w:r>
            <w:r>
              <w:rPr>
                <w:rFonts w:ascii="Times New Roman" w:hAnsi="Times New Roman"/>
                <w:sz w:val="28"/>
                <w:szCs w:val="28"/>
                <w:lang w:val="ru-RU"/>
              </w:rPr>
              <w:t>чинні</w:t>
            </w:r>
            <w:r w:rsidRPr="00E76E44">
              <w:rPr>
                <w:rFonts w:ascii="Times New Roman" w:hAnsi="Times New Roman"/>
                <w:sz w:val="28"/>
                <w:szCs w:val="28"/>
                <w:lang w:val="en"/>
              </w:rPr>
              <w:t xml:space="preserve"> </w:t>
            </w:r>
            <w:r w:rsidR="00E76E44">
              <w:rPr>
                <w:rFonts w:ascii="Times New Roman" w:hAnsi="Times New Roman"/>
                <w:sz w:val="28"/>
                <w:szCs w:val="28"/>
              </w:rPr>
              <w:t xml:space="preserve">правила </w:t>
            </w:r>
            <w:r w:rsidR="00E76E44" w:rsidRPr="00E76E44">
              <w:rPr>
                <w:rFonts w:ascii="Times New Roman" w:hAnsi="Times New Roman"/>
                <w:sz w:val="28"/>
                <w:szCs w:val="28"/>
                <w:lang w:val="ru-RU"/>
              </w:rPr>
              <w:t>розгляду</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справ</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про</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порушення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вимог</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законодавства</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щодо</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запобігання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та</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протидії</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легалізації</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відмиванню</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доходів</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одержаних</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злочинним</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шляхом</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або</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фінансуванню</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тероризму</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чи</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фінансуванню</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розповсюдження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зброї</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масового</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знищення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та</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застосування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санкцій</w:t>
            </w:r>
            <w:r w:rsidR="00E76E44" w:rsidRPr="00E76E44">
              <w:rPr>
                <w:rFonts w:ascii="Times New Roman" w:hAnsi="Times New Roman"/>
                <w:sz w:val="28"/>
                <w:szCs w:val="28"/>
                <w:lang w:val="en"/>
              </w:rPr>
              <w:t xml:space="preserve"> </w:t>
            </w:r>
            <w:r>
              <w:rPr>
                <w:rFonts w:ascii="Times New Roman" w:hAnsi="Times New Roman"/>
                <w:sz w:val="28"/>
                <w:szCs w:val="28"/>
                <w:lang w:val="ru-RU"/>
              </w:rPr>
              <w:t>у</w:t>
            </w:r>
            <w:r w:rsidRPr="00E76E44">
              <w:rPr>
                <w:rFonts w:ascii="Times New Roman" w:hAnsi="Times New Roman"/>
                <w:sz w:val="28"/>
                <w:szCs w:val="28"/>
                <w:lang w:val="en"/>
              </w:rPr>
              <w:t xml:space="preserve"> </w:t>
            </w:r>
            <w:r>
              <w:rPr>
                <w:rFonts w:ascii="Times New Roman" w:hAnsi="Times New Roman"/>
                <w:sz w:val="28"/>
                <w:szCs w:val="28"/>
                <w:lang w:val="ru-RU"/>
              </w:rPr>
              <w:t>відповідність</w:t>
            </w:r>
            <w:r w:rsidRPr="00E76E44">
              <w:rPr>
                <w:rFonts w:ascii="Times New Roman" w:hAnsi="Times New Roman"/>
                <w:sz w:val="28"/>
                <w:szCs w:val="28"/>
                <w:lang w:val="en"/>
              </w:rPr>
              <w:t xml:space="preserve"> </w:t>
            </w:r>
            <w:r>
              <w:rPr>
                <w:rFonts w:ascii="Times New Roman" w:hAnsi="Times New Roman"/>
                <w:sz w:val="28"/>
                <w:szCs w:val="28"/>
                <w:lang w:val="ru-RU"/>
              </w:rPr>
              <w:t>до</w:t>
            </w:r>
            <w:r w:rsidRPr="00E76E44">
              <w:rPr>
                <w:rFonts w:ascii="Times New Roman" w:hAnsi="Times New Roman"/>
                <w:sz w:val="28"/>
                <w:szCs w:val="28"/>
                <w:lang w:val="en"/>
              </w:rPr>
              <w:t xml:space="preserve"> </w:t>
            </w:r>
            <w:r>
              <w:rPr>
                <w:rFonts w:ascii="Times New Roman" w:hAnsi="Times New Roman"/>
                <w:sz w:val="28"/>
                <w:szCs w:val="28"/>
                <w:lang w:val="ru-RU"/>
              </w:rPr>
              <w:t>діючого</w:t>
            </w:r>
            <w:r w:rsidRPr="00E76E44">
              <w:rPr>
                <w:rFonts w:ascii="Times New Roman" w:hAnsi="Times New Roman"/>
                <w:sz w:val="28"/>
                <w:szCs w:val="28"/>
                <w:lang w:val="en"/>
              </w:rPr>
              <w:t xml:space="preserve"> </w:t>
            </w:r>
            <w:r>
              <w:rPr>
                <w:rFonts w:ascii="Times New Roman" w:hAnsi="Times New Roman"/>
                <w:sz w:val="28"/>
                <w:szCs w:val="28"/>
                <w:lang w:val="ru-RU"/>
              </w:rPr>
              <w:t>законодавства</w:t>
            </w:r>
          </w:p>
        </w:tc>
        <w:tc>
          <w:tcPr>
            <w:tcW w:w="3670"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D03D19">
            <w:pPr>
              <w:widowControl w:val="0"/>
              <w:autoSpaceDE w:val="0"/>
              <w:autoSpaceDN w:val="0"/>
              <w:adjustRightInd w:val="0"/>
              <w:spacing w:after="0" w:line="240" w:lineRule="auto"/>
              <w:ind w:left="-34" w:firstLine="720"/>
              <w:rPr>
                <w:rFonts w:ascii="Calibri" w:hAnsi="Calibri" w:cs="Calibri"/>
                <w:lang w:val="en"/>
              </w:rPr>
            </w:pPr>
            <w:r w:rsidRPr="00E76E44">
              <w:rPr>
                <w:rFonts w:ascii="Times New Roman" w:hAnsi="Times New Roman"/>
                <w:sz w:val="28"/>
                <w:szCs w:val="28"/>
                <w:lang w:val="en"/>
              </w:rPr>
              <w:t xml:space="preserve">     </w:t>
            </w:r>
            <w:r w:rsidR="00CF36A3">
              <w:rPr>
                <w:rFonts w:ascii="Times New Roman" w:hAnsi="Times New Roman"/>
                <w:sz w:val="28"/>
                <w:szCs w:val="28"/>
                <w:lang w:val="ru-RU"/>
              </w:rPr>
              <w:t>Відсутні</w:t>
            </w:r>
          </w:p>
        </w:tc>
      </w:tr>
    </w:tbl>
    <w:p w:rsidR="00CF36A3" w:rsidRDefault="00CF36A3">
      <w:pPr>
        <w:widowControl w:val="0"/>
        <w:autoSpaceDE w:val="0"/>
        <w:autoSpaceDN w:val="0"/>
        <w:adjustRightInd w:val="0"/>
        <w:spacing w:after="0" w:line="360" w:lineRule="auto"/>
        <w:ind w:left="-426" w:firstLine="720"/>
        <w:jc w:val="both"/>
        <w:rPr>
          <w:rFonts w:ascii="Times New Roman" w:hAnsi="Times New Roman"/>
          <w:sz w:val="28"/>
          <w:szCs w:val="28"/>
          <w:lang w:val="en"/>
        </w:rPr>
      </w:pPr>
    </w:p>
    <w:p w:rsidR="00CF36A3" w:rsidRDefault="00A13F0C" w:rsidP="00A13F0C">
      <w:pPr>
        <w:widowControl w:val="0"/>
        <w:autoSpaceDE w:val="0"/>
        <w:autoSpaceDN w:val="0"/>
        <w:adjustRightInd w:val="0"/>
        <w:spacing w:after="0" w:line="360" w:lineRule="auto"/>
        <w:ind w:left="360"/>
        <w:jc w:val="center"/>
        <w:rPr>
          <w:rFonts w:ascii="Times New Roman" w:hAnsi="Times New Roman"/>
          <w:b/>
          <w:bCs/>
          <w:sz w:val="28"/>
          <w:szCs w:val="28"/>
          <w:lang w:val="ru-RU"/>
        </w:rPr>
      </w:pPr>
      <w:r>
        <w:rPr>
          <w:rFonts w:ascii="Times New Roman" w:hAnsi="Times New Roman"/>
          <w:b/>
          <w:bCs/>
          <w:sz w:val="28"/>
          <w:szCs w:val="28"/>
          <w:lang w:val="en-US"/>
        </w:rPr>
        <w:t>IV</w:t>
      </w:r>
      <w:r>
        <w:rPr>
          <w:rFonts w:ascii="Times New Roman" w:hAnsi="Times New Roman"/>
          <w:b/>
          <w:bCs/>
          <w:sz w:val="28"/>
          <w:szCs w:val="28"/>
        </w:rPr>
        <w:t>.</w:t>
      </w:r>
      <w:r w:rsidRPr="00A13F0C">
        <w:rPr>
          <w:rFonts w:ascii="Times New Roman" w:hAnsi="Times New Roman"/>
          <w:b/>
          <w:bCs/>
          <w:sz w:val="28"/>
          <w:szCs w:val="28"/>
          <w:lang w:val="ru-RU"/>
        </w:rPr>
        <w:t xml:space="preserve"> </w:t>
      </w:r>
      <w:r w:rsidR="00CF36A3">
        <w:rPr>
          <w:rFonts w:ascii="Times New Roman" w:hAnsi="Times New Roman"/>
          <w:b/>
          <w:bCs/>
          <w:sz w:val="28"/>
          <w:szCs w:val="28"/>
          <w:lang w:val="ru-RU"/>
        </w:rPr>
        <w:t>Вибір найбільш оптимального альтернативного способу досягнення цілей</w:t>
      </w:r>
    </w:p>
    <w:p w:rsidR="00CF36A3" w:rsidRPr="00D03D19" w:rsidRDefault="00CF36A3">
      <w:pPr>
        <w:widowControl w:val="0"/>
        <w:autoSpaceDE w:val="0"/>
        <w:autoSpaceDN w:val="0"/>
        <w:adjustRightInd w:val="0"/>
        <w:spacing w:after="0" w:line="360" w:lineRule="auto"/>
        <w:ind w:left="294"/>
        <w:rPr>
          <w:rFonts w:ascii="Times New Roman" w:hAnsi="Times New Roman"/>
          <w:b/>
          <w:bCs/>
          <w:sz w:val="28"/>
          <w:szCs w:val="28"/>
          <w:lang w:val="ru-RU"/>
        </w:rPr>
      </w:pPr>
    </w:p>
    <w:tbl>
      <w:tblPr>
        <w:tblW w:w="0" w:type="auto"/>
        <w:tblInd w:w="108" w:type="dxa"/>
        <w:tblLayout w:type="fixed"/>
        <w:tblLook w:val="0000" w:firstRow="0" w:lastRow="0" w:firstColumn="0" w:lastColumn="0" w:noHBand="0" w:noVBand="0"/>
      </w:tblPr>
      <w:tblGrid>
        <w:gridCol w:w="2423"/>
        <w:gridCol w:w="3698"/>
        <w:gridCol w:w="3678"/>
      </w:tblGrid>
      <w:tr w:rsidR="00CF36A3">
        <w:tblPrEx>
          <w:tblCellMar>
            <w:top w:w="0" w:type="dxa"/>
            <w:bottom w:w="0" w:type="dxa"/>
          </w:tblCellMar>
        </w:tblPrEx>
        <w:trPr>
          <w:trHeight w:val="1974"/>
        </w:trPr>
        <w:tc>
          <w:tcPr>
            <w:tcW w:w="2423"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ind w:hanging="57"/>
              <w:jc w:val="center"/>
              <w:rPr>
                <w:rFonts w:ascii="Calibri" w:hAnsi="Calibri" w:cs="Calibri"/>
                <w:lang w:val="ru-RU"/>
              </w:rPr>
            </w:pPr>
            <w:r>
              <w:rPr>
                <w:rFonts w:ascii="Times New Roman" w:hAnsi="Times New Roman"/>
                <w:b/>
                <w:bCs/>
                <w:sz w:val="28"/>
                <w:szCs w:val="28"/>
                <w:lang w:val="ru-RU"/>
              </w:rPr>
              <w:t>Рейтинг результативності (досягнення цілей під час вирішення проблеми)</w:t>
            </w:r>
          </w:p>
        </w:tc>
        <w:tc>
          <w:tcPr>
            <w:tcW w:w="3698"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line="259" w:lineRule="atLeast"/>
              <w:jc w:val="center"/>
              <w:rPr>
                <w:rFonts w:ascii="Times New Roman" w:hAnsi="Times New Roman"/>
                <w:b/>
                <w:bCs/>
                <w:sz w:val="28"/>
                <w:szCs w:val="28"/>
                <w:lang w:val="ru-RU"/>
              </w:rPr>
            </w:pPr>
            <w:r>
              <w:rPr>
                <w:rFonts w:ascii="Times New Roman" w:hAnsi="Times New Roman"/>
                <w:b/>
                <w:bCs/>
                <w:sz w:val="28"/>
                <w:szCs w:val="28"/>
                <w:lang w:val="ru-RU"/>
              </w:rPr>
              <w:t>Бал результативності (за чотирибальною системою оцінки)</w:t>
            </w:r>
          </w:p>
          <w:p w:rsidR="00CF36A3" w:rsidRPr="00D03D19" w:rsidRDefault="00CF36A3">
            <w:pPr>
              <w:widowControl w:val="0"/>
              <w:autoSpaceDE w:val="0"/>
              <w:autoSpaceDN w:val="0"/>
              <w:adjustRightInd w:val="0"/>
              <w:spacing w:after="0" w:line="240" w:lineRule="auto"/>
              <w:jc w:val="center"/>
              <w:rPr>
                <w:rFonts w:ascii="Calibri" w:hAnsi="Calibri" w:cs="Calibri"/>
                <w:lang w:val="ru-RU"/>
              </w:rPr>
            </w:pPr>
          </w:p>
        </w:tc>
        <w:tc>
          <w:tcPr>
            <w:tcW w:w="3678"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line="259" w:lineRule="atLeast"/>
              <w:jc w:val="center"/>
              <w:rPr>
                <w:rFonts w:ascii="Times New Roman" w:hAnsi="Times New Roman"/>
                <w:b/>
                <w:bCs/>
                <w:sz w:val="28"/>
                <w:szCs w:val="28"/>
                <w:lang w:val="ru-RU"/>
              </w:rPr>
            </w:pPr>
            <w:r>
              <w:rPr>
                <w:rFonts w:ascii="Times New Roman" w:hAnsi="Times New Roman"/>
                <w:b/>
                <w:bCs/>
                <w:sz w:val="28"/>
                <w:szCs w:val="28"/>
                <w:lang w:val="ru-RU"/>
              </w:rPr>
              <w:t>Коментарі щодо присвоєння відповідного бала</w:t>
            </w:r>
          </w:p>
          <w:p w:rsidR="00CF36A3" w:rsidRDefault="00CF36A3">
            <w:pPr>
              <w:widowControl w:val="0"/>
              <w:autoSpaceDE w:val="0"/>
              <w:autoSpaceDN w:val="0"/>
              <w:adjustRightInd w:val="0"/>
              <w:spacing w:after="0" w:line="240" w:lineRule="auto"/>
              <w:jc w:val="center"/>
              <w:rPr>
                <w:rFonts w:ascii="Calibri" w:hAnsi="Calibri" w:cs="Calibri"/>
                <w:lang w:val="en"/>
              </w:rPr>
            </w:pPr>
          </w:p>
        </w:tc>
      </w:tr>
      <w:tr w:rsidR="00CF36A3" w:rsidRPr="00D03D19">
        <w:tblPrEx>
          <w:tblCellMar>
            <w:top w:w="0" w:type="dxa"/>
            <w:bottom w:w="0" w:type="dxa"/>
          </w:tblCellMar>
        </w:tblPrEx>
        <w:trPr>
          <w:trHeight w:val="449"/>
        </w:trPr>
        <w:tc>
          <w:tcPr>
            <w:tcW w:w="2423"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630" w:hanging="689"/>
              <w:rPr>
                <w:rFonts w:ascii="Calibri" w:hAnsi="Calibri" w:cs="Calibri"/>
                <w:lang w:val="en"/>
              </w:rPr>
            </w:pPr>
            <w:r>
              <w:rPr>
                <w:rFonts w:ascii="Times New Roman" w:hAnsi="Times New Roman"/>
                <w:b/>
                <w:bCs/>
                <w:sz w:val="28"/>
                <w:szCs w:val="28"/>
                <w:lang w:val="ru-RU"/>
              </w:rPr>
              <w:t>Альтернатива 1</w:t>
            </w:r>
          </w:p>
        </w:tc>
        <w:tc>
          <w:tcPr>
            <w:tcW w:w="3698"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630"/>
              <w:jc w:val="center"/>
              <w:rPr>
                <w:rFonts w:ascii="Calibri" w:hAnsi="Calibri" w:cs="Calibri"/>
                <w:lang w:val="en"/>
              </w:rPr>
            </w:pPr>
            <w:r>
              <w:rPr>
                <w:rFonts w:ascii="Times New Roman" w:hAnsi="Times New Roman"/>
                <w:sz w:val="28"/>
                <w:szCs w:val="28"/>
                <w:lang w:val="en"/>
              </w:rPr>
              <w:t>1</w:t>
            </w:r>
          </w:p>
        </w:tc>
        <w:tc>
          <w:tcPr>
            <w:tcW w:w="3678"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rPr>
                <w:rFonts w:ascii="Calibri" w:hAnsi="Calibri" w:cs="Calibri"/>
                <w:lang w:val="ru-RU"/>
              </w:rPr>
            </w:pPr>
            <w:r>
              <w:rPr>
                <w:rFonts w:ascii="Times New Roman" w:hAnsi="Times New Roman"/>
                <w:sz w:val="28"/>
                <w:szCs w:val="28"/>
                <w:lang w:val="ru-RU"/>
              </w:rPr>
              <w:t>Проблема продовжує існувати протягом всього часу</w:t>
            </w:r>
          </w:p>
        </w:tc>
      </w:tr>
      <w:tr w:rsidR="00CF36A3" w:rsidRPr="00D03D19">
        <w:tblPrEx>
          <w:tblCellMar>
            <w:top w:w="0" w:type="dxa"/>
            <w:bottom w:w="0" w:type="dxa"/>
          </w:tblCellMar>
        </w:tblPrEx>
        <w:trPr>
          <w:trHeight w:val="467"/>
        </w:trPr>
        <w:tc>
          <w:tcPr>
            <w:tcW w:w="2423"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630" w:hanging="689"/>
              <w:rPr>
                <w:rFonts w:ascii="Calibri" w:hAnsi="Calibri" w:cs="Calibri"/>
                <w:lang w:val="en"/>
              </w:rPr>
            </w:pPr>
            <w:r>
              <w:rPr>
                <w:rFonts w:ascii="Times New Roman" w:hAnsi="Times New Roman"/>
                <w:b/>
                <w:bCs/>
                <w:sz w:val="28"/>
                <w:szCs w:val="28"/>
                <w:lang w:val="ru-RU"/>
              </w:rPr>
              <w:t>Альтернатива 2</w:t>
            </w:r>
          </w:p>
        </w:tc>
        <w:tc>
          <w:tcPr>
            <w:tcW w:w="3698"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ind w:left="630"/>
              <w:jc w:val="center"/>
              <w:rPr>
                <w:rFonts w:ascii="Calibri" w:hAnsi="Calibri" w:cs="Calibri"/>
                <w:lang w:val="en"/>
              </w:rPr>
            </w:pPr>
            <w:r>
              <w:rPr>
                <w:rFonts w:ascii="Times New Roman" w:hAnsi="Times New Roman"/>
                <w:sz w:val="28"/>
                <w:szCs w:val="28"/>
                <w:lang w:val="en"/>
              </w:rPr>
              <w:t>4</w:t>
            </w:r>
          </w:p>
        </w:tc>
        <w:tc>
          <w:tcPr>
            <w:tcW w:w="3678"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rPr>
                <w:rFonts w:ascii="Calibri" w:hAnsi="Calibri" w:cs="Calibri"/>
                <w:lang w:val="ru-RU"/>
              </w:rPr>
            </w:pPr>
            <w:r>
              <w:rPr>
                <w:rFonts w:ascii="Times New Roman" w:hAnsi="Times New Roman"/>
                <w:sz w:val="28"/>
                <w:szCs w:val="28"/>
                <w:lang w:val="ru-RU"/>
              </w:rPr>
              <w:t>Цілі прийняття нормативно-правового акта будуть досягнуті повною мірою, оскільки будуть враховані зміни до законодавства</w:t>
            </w:r>
          </w:p>
        </w:tc>
      </w:tr>
    </w:tbl>
    <w:p w:rsidR="00CF36A3" w:rsidRPr="00D03D19" w:rsidRDefault="00CF36A3">
      <w:pPr>
        <w:widowControl w:val="0"/>
        <w:autoSpaceDE w:val="0"/>
        <w:autoSpaceDN w:val="0"/>
        <w:adjustRightInd w:val="0"/>
        <w:spacing w:after="0" w:line="360" w:lineRule="auto"/>
        <w:ind w:left="294"/>
        <w:rPr>
          <w:rFonts w:ascii="Times New Roman" w:hAnsi="Times New Roman"/>
          <w:b/>
          <w:bCs/>
          <w:sz w:val="28"/>
          <w:szCs w:val="28"/>
          <w:lang w:val="ru-RU"/>
        </w:rPr>
      </w:pPr>
    </w:p>
    <w:p w:rsidR="00CF36A3" w:rsidRPr="00D03D19" w:rsidRDefault="00CF36A3">
      <w:pPr>
        <w:widowControl w:val="0"/>
        <w:autoSpaceDE w:val="0"/>
        <w:autoSpaceDN w:val="0"/>
        <w:adjustRightInd w:val="0"/>
        <w:spacing w:after="0" w:line="360" w:lineRule="auto"/>
        <w:ind w:left="294" w:hanging="720"/>
        <w:rPr>
          <w:rFonts w:ascii="Times New Roman" w:hAnsi="Times New Roman"/>
          <w:b/>
          <w:bCs/>
          <w:sz w:val="28"/>
          <w:szCs w:val="28"/>
          <w:lang w:val="ru-RU"/>
        </w:rPr>
      </w:pPr>
    </w:p>
    <w:tbl>
      <w:tblPr>
        <w:tblW w:w="0" w:type="auto"/>
        <w:tblInd w:w="108" w:type="dxa"/>
        <w:tblLayout w:type="fixed"/>
        <w:tblLook w:val="0000" w:firstRow="0" w:lastRow="0" w:firstColumn="0" w:lastColumn="0" w:noHBand="0" w:noVBand="0"/>
      </w:tblPr>
      <w:tblGrid>
        <w:gridCol w:w="2382"/>
        <w:gridCol w:w="2149"/>
        <w:gridCol w:w="2481"/>
        <w:gridCol w:w="2787"/>
      </w:tblGrid>
      <w:tr w:rsidR="00CF36A3" w:rsidRPr="00D03D19">
        <w:tblPrEx>
          <w:tblCellMar>
            <w:top w:w="0" w:type="dxa"/>
            <w:bottom w:w="0" w:type="dxa"/>
          </w:tblCellMar>
        </w:tblPrEx>
        <w:trPr>
          <w:trHeight w:val="355"/>
        </w:trPr>
        <w:tc>
          <w:tcPr>
            <w:tcW w:w="2382"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240" w:lineRule="auto"/>
              <w:ind w:left="-41"/>
              <w:jc w:val="center"/>
              <w:rPr>
                <w:rFonts w:ascii="Calibri" w:hAnsi="Calibri" w:cs="Calibri"/>
                <w:lang w:val="en"/>
              </w:rPr>
            </w:pPr>
            <w:r>
              <w:rPr>
                <w:rFonts w:ascii="Times New Roman" w:hAnsi="Times New Roman"/>
                <w:b/>
                <w:bCs/>
                <w:sz w:val="28"/>
                <w:szCs w:val="28"/>
                <w:lang w:val="ru-RU"/>
              </w:rPr>
              <w:t>Рейтинг результативності</w:t>
            </w:r>
          </w:p>
        </w:tc>
        <w:tc>
          <w:tcPr>
            <w:tcW w:w="2149"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240" w:lineRule="auto"/>
              <w:ind w:left="-146"/>
              <w:jc w:val="center"/>
              <w:rPr>
                <w:rFonts w:ascii="Calibri" w:hAnsi="Calibri" w:cs="Calibri"/>
                <w:lang w:val="en"/>
              </w:rPr>
            </w:pPr>
            <w:r>
              <w:rPr>
                <w:rFonts w:ascii="Times New Roman" w:hAnsi="Times New Roman"/>
                <w:b/>
                <w:bCs/>
                <w:sz w:val="28"/>
                <w:szCs w:val="28"/>
                <w:lang w:val="ru-RU"/>
              </w:rPr>
              <w:t>Вигоди (підсумок)</w:t>
            </w:r>
          </w:p>
        </w:tc>
        <w:tc>
          <w:tcPr>
            <w:tcW w:w="2481"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240" w:lineRule="auto"/>
              <w:ind w:left="-146"/>
              <w:jc w:val="center"/>
              <w:rPr>
                <w:rFonts w:ascii="Calibri" w:hAnsi="Calibri" w:cs="Calibri"/>
                <w:lang w:val="en"/>
              </w:rPr>
            </w:pPr>
            <w:r>
              <w:rPr>
                <w:rFonts w:ascii="Times New Roman" w:hAnsi="Times New Roman"/>
                <w:b/>
                <w:bCs/>
                <w:sz w:val="28"/>
                <w:szCs w:val="28"/>
                <w:lang w:val="ru-RU"/>
              </w:rPr>
              <w:t>Витрати (підсумок)</w:t>
            </w:r>
          </w:p>
        </w:tc>
        <w:tc>
          <w:tcPr>
            <w:tcW w:w="2787"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ind w:left="177" w:hanging="67"/>
              <w:jc w:val="center"/>
              <w:rPr>
                <w:rFonts w:ascii="Calibri" w:hAnsi="Calibri" w:cs="Calibri"/>
                <w:lang w:val="ru-RU"/>
              </w:rPr>
            </w:pPr>
            <w:r>
              <w:rPr>
                <w:rFonts w:ascii="Times New Roman" w:hAnsi="Times New Roman"/>
                <w:b/>
                <w:bCs/>
                <w:sz w:val="28"/>
                <w:szCs w:val="28"/>
                <w:lang w:val="ru-RU"/>
              </w:rPr>
              <w:t>Обґрунтування відповідного місця альтернативи у рейтингу</w:t>
            </w:r>
          </w:p>
        </w:tc>
      </w:tr>
      <w:tr w:rsidR="00CF36A3" w:rsidRPr="00D03D19">
        <w:tblPrEx>
          <w:tblCellMar>
            <w:top w:w="0" w:type="dxa"/>
            <w:bottom w:w="0" w:type="dxa"/>
          </w:tblCellMar>
        </w:tblPrEx>
        <w:trPr>
          <w:trHeight w:val="935"/>
        </w:trPr>
        <w:tc>
          <w:tcPr>
            <w:tcW w:w="2382"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rPr>
                <w:rFonts w:ascii="Calibri" w:hAnsi="Calibri" w:cs="Calibri"/>
                <w:lang w:val="en"/>
              </w:rPr>
            </w:pPr>
            <w:r>
              <w:rPr>
                <w:rFonts w:ascii="Times New Roman" w:hAnsi="Times New Roman"/>
                <w:b/>
                <w:bCs/>
                <w:sz w:val="28"/>
                <w:szCs w:val="28"/>
                <w:lang w:val="ru-RU"/>
              </w:rPr>
              <w:t>Альтернатива 1</w:t>
            </w:r>
          </w:p>
        </w:tc>
        <w:tc>
          <w:tcPr>
            <w:tcW w:w="2149"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240" w:lineRule="auto"/>
              <w:ind w:hanging="4"/>
              <w:rPr>
                <w:rFonts w:ascii="Calibri" w:hAnsi="Calibri" w:cs="Calibri"/>
                <w:lang w:val="en"/>
              </w:rPr>
            </w:pPr>
            <w:r>
              <w:rPr>
                <w:rFonts w:ascii="Times New Roman" w:hAnsi="Times New Roman"/>
                <w:sz w:val="28"/>
                <w:szCs w:val="28"/>
                <w:lang w:val="ru-RU"/>
              </w:rPr>
              <w:t xml:space="preserve">Відсутність вигоди для держави </w:t>
            </w:r>
          </w:p>
        </w:tc>
        <w:tc>
          <w:tcPr>
            <w:tcW w:w="2481"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rPr>
                <w:rFonts w:ascii="Calibri" w:hAnsi="Calibri" w:cs="Calibri"/>
                <w:lang w:val="ru-RU"/>
              </w:rPr>
            </w:pPr>
            <w:r>
              <w:rPr>
                <w:rFonts w:ascii="Times New Roman" w:hAnsi="Times New Roman"/>
                <w:sz w:val="28"/>
                <w:szCs w:val="28"/>
                <w:lang w:val="ru-RU"/>
              </w:rPr>
              <w:t>Витрати з державного бюджету відсутні</w:t>
            </w:r>
          </w:p>
        </w:tc>
        <w:tc>
          <w:tcPr>
            <w:tcW w:w="2787"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rPr>
                <w:rFonts w:ascii="Calibri" w:hAnsi="Calibri" w:cs="Calibri"/>
                <w:lang w:val="ru-RU"/>
              </w:rPr>
            </w:pPr>
            <w:r>
              <w:rPr>
                <w:rFonts w:ascii="Times New Roman" w:hAnsi="Times New Roman"/>
                <w:sz w:val="28"/>
                <w:szCs w:val="28"/>
                <w:lang w:val="ru-RU"/>
              </w:rPr>
              <w:t>Відсутність регулювання. Цілі прийняття нормативно-правового акта не можуть бути досягнуті і проблема продовжує існувати.</w:t>
            </w:r>
          </w:p>
        </w:tc>
      </w:tr>
      <w:tr w:rsidR="00CF36A3" w:rsidRPr="00D03D19">
        <w:tblPrEx>
          <w:tblCellMar>
            <w:top w:w="0" w:type="dxa"/>
            <w:bottom w:w="0" w:type="dxa"/>
          </w:tblCellMar>
        </w:tblPrEx>
        <w:trPr>
          <w:trHeight w:val="1254"/>
        </w:trPr>
        <w:tc>
          <w:tcPr>
            <w:tcW w:w="2382"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rPr>
                <w:rFonts w:ascii="Calibri" w:hAnsi="Calibri" w:cs="Calibri"/>
                <w:lang w:val="en"/>
              </w:rPr>
            </w:pPr>
            <w:r>
              <w:rPr>
                <w:rFonts w:ascii="Times New Roman" w:hAnsi="Times New Roman"/>
                <w:b/>
                <w:bCs/>
                <w:sz w:val="28"/>
                <w:szCs w:val="28"/>
                <w:lang w:val="ru-RU"/>
              </w:rPr>
              <w:t>Альтернатива 2</w:t>
            </w:r>
          </w:p>
        </w:tc>
        <w:tc>
          <w:tcPr>
            <w:tcW w:w="2149"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ind w:hanging="4"/>
              <w:rPr>
                <w:rFonts w:ascii="Calibri" w:hAnsi="Calibri" w:cs="Calibri"/>
                <w:lang w:val="ru-RU"/>
              </w:rPr>
            </w:pPr>
            <w:r>
              <w:rPr>
                <w:rFonts w:ascii="Times New Roman" w:hAnsi="Times New Roman"/>
                <w:sz w:val="28"/>
                <w:szCs w:val="28"/>
                <w:lang w:val="ru-RU"/>
              </w:rPr>
              <w:t xml:space="preserve">Для держави – урегульованість проблеми, приведення нормативно-правових актів НКЦПФР у відповідність до чинного законодавства. </w:t>
            </w:r>
          </w:p>
        </w:tc>
        <w:tc>
          <w:tcPr>
            <w:tcW w:w="2481"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rPr>
                <w:rFonts w:ascii="Calibri" w:hAnsi="Calibri" w:cs="Calibri"/>
                <w:lang w:val="ru-RU"/>
              </w:rPr>
            </w:pPr>
            <w:r>
              <w:rPr>
                <w:rFonts w:ascii="Times New Roman" w:hAnsi="Times New Roman"/>
                <w:sz w:val="28"/>
                <w:szCs w:val="28"/>
                <w:lang w:val="ru-RU"/>
              </w:rPr>
              <w:t>Додаткові витрати з державного бюджету відсутні</w:t>
            </w:r>
          </w:p>
        </w:tc>
        <w:tc>
          <w:tcPr>
            <w:tcW w:w="2787"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Рейтинг 4 бали присвоєний, оскільки при цій альтернативі буде розв’язана проблема, визначена в розділі I цього аналізу регуляторного впливу. </w:t>
            </w:r>
          </w:p>
          <w:p w:rsidR="00CF36A3" w:rsidRPr="00D03D19" w:rsidRDefault="00CF36A3">
            <w:pPr>
              <w:widowControl w:val="0"/>
              <w:autoSpaceDE w:val="0"/>
              <w:autoSpaceDN w:val="0"/>
              <w:adjustRightInd w:val="0"/>
              <w:spacing w:after="0" w:line="240" w:lineRule="auto"/>
              <w:rPr>
                <w:rFonts w:ascii="Times New Roman" w:hAnsi="Times New Roman"/>
                <w:sz w:val="28"/>
                <w:szCs w:val="28"/>
                <w:lang w:val="ru-RU"/>
              </w:rPr>
            </w:pPr>
          </w:p>
          <w:p w:rsidR="00CF36A3" w:rsidRPr="00D03D19" w:rsidRDefault="00CF36A3">
            <w:pPr>
              <w:widowControl w:val="0"/>
              <w:autoSpaceDE w:val="0"/>
              <w:autoSpaceDN w:val="0"/>
              <w:adjustRightInd w:val="0"/>
              <w:spacing w:after="0" w:line="240" w:lineRule="auto"/>
              <w:rPr>
                <w:rFonts w:ascii="Calibri" w:hAnsi="Calibri" w:cs="Calibri"/>
                <w:lang w:val="ru-RU"/>
              </w:rPr>
            </w:pPr>
          </w:p>
        </w:tc>
      </w:tr>
    </w:tbl>
    <w:p w:rsidR="00CF36A3" w:rsidRPr="00D03D19" w:rsidRDefault="00CF36A3">
      <w:pPr>
        <w:widowControl w:val="0"/>
        <w:autoSpaceDE w:val="0"/>
        <w:autoSpaceDN w:val="0"/>
        <w:adjustRightInd w:val="0"/>
        <w:spacing w:after="0" w:line="360" w:lineRule="auto"/>
        <w:ind w:left="294"/>
        <w:rPr>
          <w:rFonts w:ascii="Times New Roman" w:hAnsi="Times New Roman"/>
          <w:b/>
          <w:bCs/>
          <w:sz w:val="28"/>
          <w:szCs w:val="28"/>
          <w:lang w:val="ru-RU"/>
        </w:rPr>
      </w:pPr>
    </w:p>
    <w:tbl>
      <w:tblPr>
        <w:tblW w:w="0" w:type="auto"/>
        <w:tblInd w:w="108" w:type="dxa"/>
        <w:tblLayout w:type="fixed"/>
        <w:tblLook w:val="0000" w:firstRow="0" w:lastRow="0" w:firstColumn="0" w:lastColumn="0" w:noHBand="0" w:noVBand="0"/>
      </w:tblPr>
      <w:tblGrid>
        <w:gridCol w:w="2394"/>
        <w:gridCol w:w="3385"/>
        <w:gridCol w:w="4114"/>
      </w:tblGrid>
      <w:tr w:rsidR="00CF36A3" w:rsidRPr="00D03D19">
        <w:tblPrEx>
          <w:tblCellMar>
            <w:top w:w="0" w:type="dxa"/>
            <w:bottom w:w="0" w:type="dxa"/>
          </w:tblCellMar>
        </w:tblPrEx>
        <w:trPr>
          <w:trHeight w:val="355"/>
        </w:trPr>
        <w:tc>
          <w:tcPr>
            <w:tcW w:w="2394"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240" w:lineRule="auto"/>
              <w:jc w:val="center"/>
              <w:rPr>
                <w:rFonts w:ascii="Calibri" w:hAnsi="Calibri" w:cs="Calibri"/>
                <w:lang w:val="en"/>
              </w:rPr>
            </w:pPr>
            <w:r>
              <w:rPr>
                <w:rFonts w:ascii="Times New Roman" w:hAnsi="Times New Roman"/>
                <w:b/>
                <w:bCs/>
                <w:sz w:val="28"/>
                <w:szCs w:val="28"/>
                <w:lang w:val="ru-RU"/>
              </w:rPr>
              <w:t>Рейтинг</w:t>
            </w:r>
          </w:p>
        </w:tc>
        <w:tc>
          <w:tcPr>
            <w:tcW w:w="3385"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jc w:val="center"/>
              <w:rPr>
                <w:rFonts w:ascii="Calibri" w:hAnsi="Calibri" w:cs="Calibri"/>
                <w:lang w:val="ru-RU"/>
              </w:rPr>
            </w:pPr>
            <w:r>
              <w:rPr>
                <w:rFonts w:ascii="Times New Roman" w:hAnsi="Times New Roman"/>
                <w:b/>
                <w:bCs/>
                <w:sz w:val="28"/>
                <w:szCs w:val="28"/>
                <w:lang w:val="ru-RU"/>
              </w:rPr>
              <w:t>Аргументи щодо переваги обраної альтернативи/причини відмови від альтернативи</w:t>
            </w:r>
          </w:p>
        </w:tc>
        <w:tc>
          <w:tcPr>
            <w:tcW w:w="4114"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jc w:val="center"/>
              <w:rPr>
                <w:rFonts w:ascii="Calibri" w:hAnsi="Calibri" w:cs="Calibri"/>
                <w:lang w:val="ru-RU"/>
              </w:rPr>
            </w:pPr>
            <w:r>
              <w:rPr>
                <w:rFonts w:ascii="Times New Roman" w:hAnsi="Times New Roman"/>
                <w:b/>
                <w:bCs/>
                <w:sz w:val="28"/>
                <w:szCs w:val="28"/>
                <w:lang w:val="ru-RU"/>
              </w:rPr>
              <w:t>Оцінка ризику впливу зовнішніх чинників на дію запропонованого регуляторного акта</w:t>
            </w:r>
          </w:p>
        </w:tc>
      </w:tr>
      <w:tr w:rsidR="00CF36A3" w:rsidRPr="00D03D19">
        <w:tblPrEx>
          <w:tblCellMar>
            <w:top w:w="0" w:type="dxa"/>
            <w:bottom w:w="0" w:type="dxa"/>
          </w:tblCellMar>
        </w:tblPrEx>
        <w:trPr>
          <w:trHeight w:val="224"/>
        </w:trPr>
        <w:tc>
          <w:tcPr>
            <w:tcW w:w="2394"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rPr>
                <w:rFonts w:ascii="Calibri" w:hAnsi="Calibri" w:cs="Calibri"/>
                <w:lang w:val="en"/>
              </w:rPr>
            </w:pPr>
            <w:r>
              <w:rPr>
                <w:rFonts w:ascii="Times New Roman" w:hAnsi="Times New Roman"/>
                <w:b/>
                <w:bCs/>
                <w:sz w:val="28"/>
                <w:szCs w:val="28"/>
                <w:lang w:val="ru-RU"/>
              </w:rPr>
              <w:t>Альтернатива 1</w:t>
            </w:r>
          </w:p>
        </w:tc>
        <w:tc>
          <w:tcPr>
            <w:tcW w:w="3385"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rPr>
                <w:rFonts w:ascii="Calibri" w:hAnsi="Calibri" w:cs="Calibri"/>
                <w:lang w:val="ru-RU"/>
              </w:rPr>
            </w:pPr>
            <w:r>
              <w:rPr>
                <w:rFonts w:ascii="Times New Roman" w:hAnsi="Times New Roman"/>
                <w:sz w:val="28"/>
                <w:szCs w:val="28"/>
                <w:lang w:val="ru-RU"/>
              </w:rPr>
              <w:t>Причина відмови від зазначеної альтернативи полягає у тому, що при відсутності державного регулювання проблема не буде вирішеною.</w:t>
            </w:r>
          </w:p>
        </w:tc>
        <w:tc>
          <w:tcPr>
            <w:tcW w:w="4114"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D03D19" w:rsidRDefault="00CF36A3">
            <w:pPr>
              <w:widowControl w:val="0"/>
              <w:autoSpaceDE w:val="0"/>
              <w:autoSpaceDN w:val="0"/>
              <w:adjustRightInd w:val="0"/>
              <w:spacing w:after="0" w:line="240" w:lineRule="auto"/>
              <w:rPr>
                <w:rFonts w:ascii="Calibri" w:hAnsi="Calibri" w:cs="Calibri"/>
                <w:lang w:val="ru-RU"/>
              </w:rPr>
            </w:pPr>
            <w:r>
              <w:rPr>
                <w:rFonts w:ascii="Times New Roman" w:hAnsi="Times New Roman"/>
                <w:sz w:val="28"/>
                <w:szCs w:val="28"/>
                <w:lang w:val="ru-RU"/>
              </w:rPr>
              <w:t>Ризики впливу зовнішніх чинників на дію нормативно-правового акта відсутні.</w:t>
            </w:r>
          </w:p>
        </w:tc>
      </w:tr>
      <w:tr w:rsidR="00CF36A3" w:rsidRPr="00D03D19">
        <w:tblPrEx>
          <w:tblCellMar>
            <w:top w:w="0" w:type="dxa"/>
            <w:bottom w:w="0" w:type="dxa"/>
          </w:tblCellMar>
        </w:tblPrEx>
        <w:trPr>
          <w:trHeight w:val="240"/>
        </w:trPr>
        <w:tc>
          <w:tcPr>
            <w:tcW w:w="2394" w:type="dxa"/>
            <w:tcBorders>
              <w:top w:val="single" w:sz="2" w:space="0" w:color="000000"/>
              <w:left w:val="single" w:sz="2" w:space="0" w:color="000000"/>
              <w:bottom w:val="single" w:sz="2" w:space="0" w:color="000000"/>
              <w:right w:val="single" w:sz="2" w:space="0" w:color="000000"/>
            </w:tcBorders>
            <w:shd w:val="clear" w:color="000000" w:fill="FFFFFF"/>
          </w:tcPr>
          <w:p w:rsidR="00CF36A3" w:rsidRDefault="00CF36A3">
            <w:pPr>
              <w:widowControl w:val="0"/>
              <w:autoSpaceDE w:val="0"/>
              <w:autoSpaceDN w:val="0"/>
              <w:adjustRightInd w:val="0"/>
              <w:spacing w:after="0" w:line="360" w:lineRule="auto"/>
              <w:rPr>
                <w:rFonts w:ascii="Calibri" w:hAnsi="Calibri" w:cs="Calibri"/>
                <w:lang w:val="en"/>
              </w:rPr>
            </w:pPr>
            <w:r>
              <w:rPr>
                <w:rFonts w:ascii="Times New Roman" w:hAnsi="Times New Roman"/>
                <w:b/>
                <w:bCs/>
                <w:sz w:val="28"/>
                <w:szCs w:val="28"/>
                <w:lang w:val="ru-RU"/>
              </w:rPr>
              <w:t>Альтернатива 2</w:t>
            </w:r>
          </w:p>
        </w:tc>
        <w:tc>
          <w:tcPr>
            <w:tcW w:w="3385"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E76E44" w:rsidRDefault="00CF36A3" w:rsidP="00E76E44">
            <w:pPr>
              <w:widowControl w:val="0"/>
              <w:autoSpaceDE w:val="0"/>
              <w:autoSpaceDN w:val="0"/>
              <w:adjustRightInd w:val="0"/>
              <w:spacing w:after="0" w:line="240" w:lineRule="auto"/>
              <w:rPr>
                <w:rFonts w:ascii="Calibri" w:hAnsi="Calibri" w:cs="Calibri"/>
                <w:lang w:val="en"/>
              </w:rPr>
            </w:pPr>
            <w:r>
              <w:rPr>
                <w:rFonts w:ascii="Times New Roman" w:hAnsi="Times New Roman"/>
                <w:sz w:val="28"/>
                <w:szCs w:val="28"/>
                <w:lang w:val="ru-RU"/>
              </w:rPr>
              <w:t>Прийняття</w:t>
            </w:r>
            <w:r w:rsidRPr="00E76E44">
              <w:rPr>
                <w:rFonts w:ascii="Times New Roman" w:hAnsi="Times New Roman"/>
                <w:sz w:val="28"/>
                <w:szCs w:val="28"/>
                <w:lang w:val="en"/>
              </w:rPr>
              <w:t xml:space="preserve"> </w:t>
            </w:r>
            <w:r>
              <w:rPr>
                <w:rFonts w:ascii="Times New Roman" w:hAnsi="Times New Roman"/>
                <w:sz w:val="28"/>
                <w:szCs w:val="28"/>
                <w:lang w:val="ru-RU"/>
              </w:rPr>
              <w:t>рішення</w:t>
            </w:r>
            <w:r w:rsidRPr="00E76E44">
              <w:rPr>
                <w:rFonts w:ascii="Times New Roman" w:hAnsi="Times New Roman"/>
                <w:sz w:val="28"/>
                <w:szCs w:val="28"/>
                <w:lang w:val="en"/>
              </w:rPr>
              <w:t xml:space="preserve"> </w:t>
            </w:r>
            <w:r>
              <w:rPr>
                <w:rFonts w:ascii="Times New Roman" w:hAnsi="Times New Roman"/>
                <w:sz w:val="28"/>
                <w:szCs w:val="28"/>
                <w:lang w:val="ru-RU"/>
              </w:rPr>
              <w:t>НКЦПФР</w:t>
            </w:r>
            <w:r w:rsidRPr="00E76E44">
              <w:rPr>
                <w:rFonts w:ascii="Times New Roman" w:hAnsi="Times New Roman"/>
                <w:sz w:val="28"/>
                <w:szCs w:val="28"/>
                <w:lang w:val="en"/>
              </w:rPr>
              <w:t xml:space="preserve"> </w:t>
            </w:r>
            <w:r>
              <w:rPr>
                <w:rFonts w:ascii="Times New Roman" w:hAnsi="Times New Roman"/>
                <w:sz w:val="28"/>
                <w:szCs w:val="28"/>
                <w:lang w:val="ru-RU"/>
              </w:rPr>
              <w:t>дозволить</w:t>
            </w:r>
            <w:r w:rsidRPr="00E76E44">
              <w:rPr>
                <w:rFonts w:ascii="Times New Roman" w:hAnsi="Times New Roman"/>
                <w:sz w:val="28"/>
                <w:szCs w:val="28"/>
                <w:lang w:val="en"/>
              </w:rPr>
              <w:t xml:space="preserve"> </w:t>
            </w:r>
            <w:r>
              <w:rPr>
                <w:rFonts w:ascii="Times New Roman" w:hAnsi="Times New Roman"/>
                <w:sz w:val="28"/>
                <w:szCs w:val="28"/>
                <w:lang w:val="ru-RU"/>
              </w:rPr>
              <w:t>затвердити</w:t>
            </w:r>
            <w:r w:rsidRPr="00E76E44">
              <w:rPr>
                <w:rFonts w:ascii="Times New Roman" w:hAnsi="Times New Roman"/>
                <w:sz w:val="28"/>
                <w:szCs w:val="28"/>
                <w:lang w:val="en"/>
              </w:rPr>
              <w:t xml:space="preserve"> </w:t>
            </w:r>
            <w:r w:rsidR="00A53614">
              <w:rPr>
                <w:rFonts w:ascii="Times New Roman" w:hAnsi="Times New Roman"/>
                <w:sz w:val="28"/>
                <w:szCs w:val="28"/>
              </w:rPr>
              <w:t xml:space="preserve">правила </w:t>
            </w:r>
            <w:r w:rsidR="00E76E44" w:rsidRPr="00E76E44">
              <w:rPr>
                <w:rFonts w:ascii="Times New Roman" w:hAnsi="Times New Roman"/>
                <w:sz w:val="28"/>
                <w:szCs w:val="28"/>
                <w:lang w:val="ru-RU"/>
              </w:rPr>
              <w:t>розгляду</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справ</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про</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порушення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вимог</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lastRenderedPageBreak/>
              <w:t>законодавства</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щодо</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запобігання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та</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протидії</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легалізації</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відмиванню</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доходів</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одержаних</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злочинним</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шляхом</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або</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фінансуванню</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тероризму</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чи</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фінансуванню</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розповсюдження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зброї</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масового</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знищення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та</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застосування</w:t>
            </w:r>
            <w:r w:rsidR="00E76E44" w:rsidRPr="00E76E44">
              <w:rPr>
                <w:rFonts w:ascii="Times New Roman" w:hAnsi="Times New Roman"/>
                <w:sz w:val="28"/>
                <w:szCs w:val="28"/>
                <w:lang w:val="en"/>
              </w:rPr>
              <w:t xml:space="preserve"> </w:t>
            </w:r>
            <w:r w:rsidR="00E76E44" w:rsidRPr="00E76E44">
              <w:rPr>
                <w:rFonts w:ascii="Times New Roman" w:hAnsi="Times New Roman"/>
                <w:sz w:val="28"/>
                <w:szCs w:val="28"/>
                <w:lang w:val="ru-RU"/>
              </w:rPr>
              <w:t>санкцій</w:t>
            </w:r>
            <w:r w:rsidR="00A53614" w:rsidRPr="00A53614">
              <w:rPr>
                <w:rFonts w:ascii="Times New Roman" w:hAnsi="Times New Roman"/>
                <w:sz w:val="28"/>
                <w:szCs w:val="28"/>
                <w:lang w:val="en"/>
              </w:rPr>
              <w:t xml:space="preserve"> </w:t>
            </w:r>
            <w:r>
              <w:rPr>
                <w:rFonts w:ascii="Times New Roman" w:hAnsi="Times New Roman"/>
                <w:sz w:val="28"/>
                <w:szCs w:val="28"/>
                <w:lang w:val="ru-RU"/>
              </w:rPr>
              <w:t>у</w:t>
            </w:r>
            <w:r w:rsidRPr="00E76E44">
              <w:rPr>
                <w:rFonts w:ascii="Times New Roman" w:hAnsi="Times New Roman"/>
                <w:sz w:val="28"/>
                <w:szCs w:val="28"/>
                <w:lang w:val="en"/>
              </w:rPr>
              <w:t xml:space="preserve"> </w:t>
            </w:r>
            <w:r>
              <w:rPr>
                <w:rFonts w:ascii="Times New Roman" w:hAnsi="Times New Roman"/>
                <w:sz w:val="28"/>
                <w:szCs w:val="28"/>
                <w:lang w:val="ru-RU"/>
              </w:rPr>
              <w:t>новій</w:t>
            </w:r>
            <w:r w:rsidRPr="00E76E44">
              <w:rPr>
                <w:rFonts w:ascii="Times New Roman" w:hAnsi="Times New Roman"/>
                <w:sz w:val="28"/>
                <w:szCs w:val="28"/>
                <w:lang w:val="en"/>
              </w:rPr>
              <w:t xml:space="preserve"> </w:t>
            </w:r>
            <w:r>
              <w:rPr>
                <w:rFonts w:ascii="Times New Roman" w:hAnsi="Times New Roman"/>
                <w:sz w:val="28"/>
                <w:szCs w:val="28"/>
                <w:lang w:val="ru-RU"/>
              </w:rPr>
              <w:t>редакції</w:t>
            </w:r>
            <w:r w:rsidRPr="00E76E44">
              <w:rPr>
                <w:rFonts w:ascii="Times New Roman" w:hAnsi="Times New Roman"/>
                <w:sz w:val="28"/>
                <w:szCs w:val="28"/>
                <w:lang w:val="en"/>
              </w:rPr>
              <w:t xml:space="preserve"> </w:t>
            </w:r>
            <w:r>
              <w:rPr>
                <w:rFonts w:ascii="Times New Roman" w:hAnsi="Times New Roman"/>
                <w:sz w:val="28"/>
                <w:szCs w:val="28"/>
                <w:lang w:val="ru-RU"/>
              </w:rPr>
              <w:t>з</w:t>
            </w:r>
            <w:r w:rsidRPr="00E76E44">
              <w:rPr>
                <w:rFonts w:ascii="Times New Roman" w:hAnsi="Times New Roman"/>
                <w:sz w:val="28"/>
                <w:szCs w:val="28"/>
                <w:lang w:val="en"/>
              </w:rPr>
              <w:t xml:space="preserve"> </w:t>
            </w:r>
            <w:r>
              <w:rPr>
                <w:rFonts w:ascii="Times New Roman" w:hAnsi="Times New Roman"/>
                <w:sz w:val="28"/>
                <w:szCs w:val="28"/>
                <w:lang w:val="ru-RU"/>
              </w:rPr>
              <w:t>метою</w:t>
            </w:r>
            <w:r w:rsidRPr="00E76E44">
              <w:rPr>
                <w:rFonts w:ascii="Times New Roman" w:hAnsi="Times New Roman"/>
                <w:sz w:val="28"/>
                <w:szCs w:val="28"/>
                <w:lang w:val="en"/>
              </w:rPr>
              <w:t xml:space="preserve"> </w:t>
            </w:r>
            <w:r>
              <w:rPr>
                <w:rFonts w:ascii="Times New Roman" w:hAnsi="Times New Roman"/>
                <w:sz w:val="28"/>
                <w:szCs w:val="28"/>
                <w:lang w:val="ru-RU"/>
              </w:rPr>
              <w:t>приведення</w:t>
            </w:r>
            <w:r w:rsidRPr="00E76E44">
              <w:rPr>
                <w:rFonts w:ascii="Times New Roman" w:hAnsi="Times New Roman"/>
                <w:sz w:val="28"/>
                <w:szCs w:val="28"/>
                <w:lang w:val="en"/>
              </w:rPr>
              <w:t xml:space="preserve"> </w:t>
            </w:r>
            <w:r>
              <w:rPr>
                <w:rFonts w:ascii="Times New Roman" w:hAnsi="Times New Roman"/>
                <w:sz w:val="28"/>
                <w:szCs w:val="28"/>
                <w:lang w:val="ru-RU"/>
              </w:rPr>
              <w:t>їх</w:t>
            </w:r>
            <w:r w:rsidRPr="00E76E44">
              <w:rPr>
                <w:rFonts w:ascii="Times New Roman" w:hAnsi="Times New Roman"/>
                <w:sz w:val="28"/>
                <w:szCs w:val="28"/>
                <w:lang w:val="en"/>
              </w:rPr>
              <w:t xml:space="preserve"> </w:t>
            </w:r>
            <w:r>
              <w:rPr>
                <w:rFonts w:ascii="Times New Roman" w:hAnsi="Times New Roman"/>
                <w:sz w:val="28"/>
                <w:szCs w:val="28"/>
                <w:lang w:val="ru-RU"/>
              </w:rPr>
              <w:t>у</w:t>
            </w:r>
            <w:r w:rsidRPr="00E76E44">
              <w:rPr>
                <w:rFonts w:ascii="Times New Roman" w:hAnsi="Times New Roman"/>
                <w:sz w:val="28"/>
                <w:szCs w:val="28"/>
                <w:lang w:val="en"/>
              </w:rPr>
              <w:t xml:space="preserve"> </w:t>
            </w:r>
            <w:r>
              <w:rPr>
                <w:rFonts w:ascii="Times New Roman" w:hAnsi="Times New Roman"/>
                <w:sz w:val="28"/>
                <w:szCs w:val="28"/>
                <w:lang w:val="ru-RU"/>
              </w:rPr>
              <w:t>відповідність</w:t>
            </w:r>
            <w:r w:rsidRPr="00E76E44">
              <w:rPr>
                <w:rFonts w:ascii="Times New Roman" w:hAnsi="Times New Roman"/>
                <w:sz w:val="28"/>
                <w:szCs w:val="28"/>
                <w:lang w:val="en"/>
              </w:rPr>
              <w:t xml:space="preserve"> </w:t>
            </w:r>
            <w:r>
              <w:rPr>
                <w:rFonts w:ascii="Times New Roman" w:hAnsi="Times New Roman"/>
                <w:sz w:val="28"/>
                <w:szCs w:val="28"/>
                <w:lang w:val="ru-RU"/>
              </w:rPr>
              <w:t>до</w:t>
            </w:r>
            <w:r w:rsidRPr="00E76E44">
              <w:rPr>
                <w:rFonts w:ascii="Times New Roman" w:hAnsi="Times New Roman"/>
                <w:sz w:val="28"/>
                <w:szCs w:val="28"/>
                <w:lang w:val="en"/>
              </w:rPr>
              <w:t xml:space="preserve"> </w:t>
            </w:r>
            <w:r>
              <w:rPr>
                <w:rFonts w:ascii="Times New Roman" w:hAnsi="Times New Roman"/>
                <w:sz w:val="28"/>
                <w:szCs w:val="28"/>
                <w:lang w:val="ru-RU"/>
              </w:rPr>
              <w:t>чинного</w:t>
            </w:r>
            <w:r w:rsidRPr="00E76E44">
              <w:rPr>
                <w:rFonts w:ascii="Times New Roman" w:hAnsi="Times New Roman"/>
                <w:sz w:val="28"/>
                <w:szCs w:val="28"/>
                <w:lang w:val="en"/>
              </w:rPr>
              <w:t xml:space="preserve"> </w:t>
            </w:r>
            <w:r>
              <w:rPr>
                <w:rFonts w:ascii="Times New Roman" w:hAnsi="Times New Roman"/>
                <w:sz w:val="28"/>
                <w:szCs w:val="28"/>
                <w:lang w:val="ru-RU"/>
              </w:rPr>
              <w:t>законодавства</w:t>
            </w:r>
            <w:r w:rsidRPr="00E76E44">
              <w:rPr>
                <w:rFonts w:ascii="Times New Roman" w:hAnsi="Times New Roman"/>
                <w:sz w:val="28"/>
                <w:szCs w:val="28"/>
                <w:lang w:val="en"/>
              </w:rPr>
              <w:t>.</w:t>
            </w:r>
          </w:p>
        </w:tc>
        <w:tc>
          <w:tcPr>
            <w:tcW w:w="4114" w:type="dxa"/>
            <w:tcBorders>
              <w:top w:val="single" w:sz="2" w:space="0" w:color="000000"/>
              <w:left w:val="single" w:sz="2" w:space="0" w:color="000000"/>
              <w:bottom w:val="single" w:sz="2" w:space="0" w:color="000000"/>
              <w:right w:val="single" w:sz="2" w:space="0" w:color="000000"/>
            </w:tcBorders>
            <w:shd w:val="clear" w:color="000000" w:fill="FFFFFF"/>
          </w:tcPr>
          <w:p w:rsidR="00CF36A3" w:rsidRPr="00C715EB" w:rsidRDefault="00CF36A3">
            <w:pPr>
              <w:widowControl w:val="0"/>
              <w:autoSpaceDE w:val="0"/>
              <w:autoSpaceDN w:val="0"/>
              <w:adjustRightInd w:val="0"/>
              <w:spacing w:after="0" w:line="240" w:lineRule="auto"/>
              <w:rPr>
                <w:rFonts w:ascii="Calibri" w:hAnsi="Calibri" w:cs="Calibri"/>
                <w:lang w:val="ru-RU"/>
              </w:rPr>
            </w:pPr>
            <w:r>
              <w:rPr>
                <w:rFonts w:ascii="Times New Roman" w:hAnsi="Times New Roman"/>
                <w:sz w:val="28"/>
                <w:szCs w:val="28"/>
                <w:lang w:val="ru-RU"/>
              </w:rPr>
              <w:lastRenderedPageBreak/>
              <w:t>Ризики впливу зовнішніх чинників на дію нормативно-правового акта відсутні</w:t>
            </w:r>
            <w:r w:rsidR="00CE59FD" w:rsidRPr="00C715EB">
              <w:rPr>
                <w:rFonts w:ascii="Times New Roman" w:hAnsi="Times New Roman"/>
                <w:sz w:val="28"/>
                <w:szCs w:val="28"/>
                <w:lang w:val="ru-RU"/>
              </w:rPr>
              <w:t>.</w:t>
            </w:r>
          </w:p>
        </w:tc>
      </w:tr>
    </w:tbl>
    <w:p w:rsidR="00CF36A3" w:rsidRPr="00D03D19" w:rsidRDefault="00CF36A3">
      <w:pPr>
        <w:widowControl w:val="0"/>
        <w:autoSpaceDE w:val="0"/>
        <w:autoSpaceDN w:val="0"/>
        <w:adjustRightInd w:val="0"/>
        <w:spacing w:after="0" w:line="360" w:lineRule="auto"/>
        <w:rPr>
          <w:rFonts w:ascii="Times New Roman" w:hAnsi="Times New Roman"/>
          <w:b/>
          <w:bCs/>
          <w:sz w:val="28"/>
          <w:szCs w:val="28"/>
          <w:lang w:val="ru-RU"/>
        </w:rPr>
      </w:pPr>
    </w:p>
    <w:p w:rsidR="00CF36A3" w:rsidRDefault="00A13F0C" w:rsidP="00A13F0C">
      <w:pPr>
        <w:widowControl w:val="0"/>
        <w:autoSpaceDE w:val="0"/>
        <w:autoSpaceDN w:val="0"/>
        <w:adjustRightInd w:val="0"/>
        <w:spacing w:after="0" w:line="360" w:lineRule="auto"/>
        <w:ind w:left="720" w:hanging="294"/>
        <w:rPr>
          <w:rFonts w:ascii="Times New Roman" w:hAnsi="Times New Roman"/>
          <w:b/>
          <w:bCs/>
          <w:sz w:val="28"/>
          <w:szCs w:val="28"/>
          <w:lang w:val="ru-RU"/>
        </w:rPr>
      </w:pPr>
      <w:r>
        <w:rPr>
          <w:rFonts w:ascii="Times New Roman" w:hAnsi="Times New Roman"/>
          <w:b/>
          <w:bCs/>
          <w:sz w:val="28"/>
          <w:szCs w:val="28"/>
          <w:lang w:val="en-US"/>
        </w:rPr>
        <w:t>V</w:t>
      </w:r>
      <w:r>
        <w:rPr>
          <w:rFonts w:ascii="Times New Roman" w:hAnsi="Times New Roman"/>
          <w:b/>
          <w:bCs/>
          <w:sz w:val="28"/>
          <w:szCs w:val="28"/>
        </w:rPr>
        <w:t>.</w:t>
      </w:r>
      <w:r w:rsidRPr="00A13F0C">
        <w:rPr>
          <w:rFonts w:ascii="Times New Roman" w:hAnsi="Times New Roman"/>
          <w:b/>
          <w:bCs/>
          <w:sz w:val="28"/>
          <w:szCs w:val="28"/>
          <w:lang w:val="ru-RU"/>
        </w:rPr>
        <w:t xml:space="preserve"> </w:t>
      </w:r>
      <w:r w:rsidR="00CF36A3">
        <w:rPr>
          <w:rFonts w:ascii="Times New Roman" w:hAnsi="Times New Roman"/>
          <w:b/>
          <w:bCs/>
          <w:sz w:val="28"/>
          <w:szCs w:val="28"/>
          <w:lang w:val="ru-RU"/>
        </w:rPr>
        <w:t>Механізм та заходи, які забезпечать розв’язання визначеної проблеми</w:t>
      </w:r>
    </w:p>
    <w:p w:rsidR="00CF36A3" w:rsidRDefault="00CF36A3" w:rsidP="00DF3061">
      <w:pPr>
        <w:widowControl w:val="0"/>
        <w:autoSpaceDE w:val="0"/>
        <w:autoSpaceDN w:val="0"/>
        <w:adjustRightInd w:val="0"/>
        <w:spacing w:after="0" w:line="360" w:lineRule="auto"/>
        <w:ind w:left="-426" w:firstLine="852"/>
        <w:jc w:val="both"/>
        <w:rPr>
          <w:rFonts w:ascii="Times New Roman" w:hAnsi="Times New Roman"/>
          <w:sz w:val="28"/>
          <w:szCs w:val="28"/>
          <w:lang w:val="ru-RU"/>
        </w:rPr>
      </w:pPr>
      <w:r>
        <w:rPr>
          <w:rFonts w:ascii="Times New Roman" w:hAnsi="Times New Roman"/>
          <w:sz w:val="28"/>
          <w:szCs w:val="28"/>
          <w:lang w:val="ru-RU"/>
        </w:rPr>
        <w:t>Механізмом, який застосовується для розв’язання проблеми, зазначеної у розділі I Аналізу регуляторного впливу є прийняття зазнач</w:t>
      </w:r>
      <w:r w:rsidR="00C715EB">
        <w:rPr>
          <w:rFonts w:ascii="Times New Roman" w:hAnsi="Times New Roman"/>
          <w:sz w:val="28"/>
          <w:szCs w:val="28"/>
          <w:lang w:val="ru-RU"/>
        </w:rPr>
        <w:t>еного акт</w:t>
      </w:r>
      <w:r w:rsidR="00C715EB">
        <w:rPr>
          <w:rFonts w:ascii="Times New Roman" w:hAnsi="Times New Roman"/>
          <w:sz w:val="28"/>
          <w:szCs w:val="28"/>
        </w:rPr>
        <w:t>а</w:t>
      </w:r>
      <w:r>
        <w:rPr>
          <w:rFonts w:ascii="Times New Roman" w:hAnsi="Times New Roman"/>
          <w:sz w:val="28"/>
          <w:szCs w:val="28"/>
          <w:lang w:val="ru-RU"/>
        </w:rPr>
        <w:t>.</w:t>
      </w:r>
    </w:p>
    <w:p w:rsidR="00CF36A3" w:rsidRDefault="00A13F0C" w:rsidP="00A13F0C">
      <w:pPr>
        <w:widowControl w:val="0"/>
        <w:autoSpaceDE w:val="0"/>
        <w:autoSpaceDN w:val="0"/>
        <w:adjustRightInd w:val="0"/>
        <w:spacing w:after="0" w:line="240" w:lineRule="auto"/>
        <w:ind w:left="720"/>
        <w:jc w:val="center"/>
        <w:rPr>
          <w:rFonts w:ascii="Times New Roman" w:hAnsi="Times New Roman"/>
          <w:b/>
          <w:bCs/>
          <w:sz w:val="28"/>
          <w:szCs w:val="28"/>
          <w:lang w:val="ru-RU"/>
        </w:rPr>
      </w:pPr>
      <w:r>
        <w:rPr>
          <w:rFonts w:ascii="Times New Roman" w:hAnsi="Times New Roman"/>
          <w:b/>
          <w:bCs/>
          <w:sz w:val="28"/>
          <w:szCs w:val="28"/>
          <w:lang w:val="en-US"/>
        </w:rPr>
        <w:t>VI</w:t>
      </w:r>
      <w:r>
        <w:rPr>
          <w:rFonts w:ascii="Times New Roman" w:hAnsi="Times New Roman"/>
          <w:b/>
          <w:bCs/>
          <w:sz w:val="28"/>
          <w:szCs w:val="28"/>
        </w:rPr>
        <w:t>.</w:t>
      </w:r>
      <w:r w:rsidRPr="00A13F0C">
        <w:rPr>
          <w:rFonts w:ascii="Times New Roman" w:hAnsi="Times New Roman"/>
          <w:b/>
          <w:bCs/>
          <w:sz w:val="28"/>
          <w:szCs w:val="28"/>
          <w:lang w:val="ru-RU"/>
        </w:rPr>
        <w:t xml:space="preserve"> </w:t>
      </w:r>
      <w:r w:rsidR="00CF36A3">
        <w:rPr>
          <w:rFonts w:ascii="Times New Roman" w:hAnsi="Times New Roman"/>
          <w:b/>
          <w:bCs/>
          <w:sz w:val="28"/>
          <w:szCs w:val="28"/>
          <w:lang w:val="ru-RU"/>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F36A3" w:rsidRDefault="00CF36A3">
      <w:pPr>
        <w:widowControl w:val="0"/>
        <w:autoSpaceDE w:val="0"/>
        <w:autoSpaceDN w:val="0"/>
        <w:adjustRightInd w:val="0"/>
        <w:spacing w:after="0" w:line="360" w:lineRule="auto"/>
        <w:ind w:left="-426" w:firstLine="720"/>
        <w:jc w:val="both"/>
        <w:rPr>
          <w:rFonts w:ascii="Times New Roman" w:hAnsi="Times New Roman"/>
          <w:sz w:val="28"/>
          <w:szCs w:val="28"/>
          <w:lang w:val="ru-RU"/>
        </w:rPr>
      </w:pPr>
      <w:r>
        <w:rPr>
          <w:rFonts w:ascii="Times New Roman" w:hAnsi="Times New Roman"/>
          <w:sz w:val="28"/>
          <w:szCs w:val="28"/>
          <w:lang w:val="ru-RU"/>
        </w:rPr>
        <w:t>Реалізація рішення НКЦПФР</w:t>
      </w:r>
      <w:r>
        <w:rPr>
          <w:rFonts w:ascii="Calibri" w:hAnsi="Calibri" w:cs="Calibri"/>
          <w:lang w:val="ru-RU"/>
        </w:rPr>
        <w:t xml:space="preserve"> </w:t>
      </w:r>
      <w:r>
        <w:rPr>
          <w:rFonts w:ascii="Times New Roman" w:hAnsi="Times New Roman"/>
          <w:sz w:val="28"/>
          <w:szCs w:val="28"/>
          <w:lang w:val="ru-RU"/>
        </w:rPr>
        <w:t>не потребує додаткових матеріальних витрат з державного бюджету.</w:t>
      </w:r>
    </w:p>
    <w:p w:rsidR="00CF36A3" w:rsidRDefault="00A13F0C" w:rsidP="00A13F0C">
      <w:pPr>
        <w:widowControl w:val="0"/>
        <w:autoSpaceDE w:val="0"/>
        <w:autoSpaceDN w:val="0"/>
        <w:adjustRightInd w:val="0"/>
        <w:spacing w:after="0" w:line="360" w:lineRule="auto"/>
        <w:ind w:left="720"/>
        <w:rPr>
          <w:rFonts w:ascii="Times New Roman" w:hAnsi="Times New Roman"/>
          <w:b/>
          <w:bCs/>
          <w:sz w:val="28"/>
          <w:szCs w:val="28"/>
          <w:lang w:val="ru-RU"/>
        </w:rPr>
      </w:pPr>
      <w:r>
        <w:rPr>
          <w:rFonts w:ascii="Times New Roman" w:hAnsi="Times New Roman"/>
          <w:b/>
          <w:bCs/>
          <w:sz w:val="28"/>
          <w:szCs w:val="28"/>
          <w:lang w:val="en-US"/>
        </w:rPr>
        <w:t>VII</w:t>
      </w:r>
      <w:r>
        <w:rPr>
          <w:rFonts w:ascii="Times New Roman" w:hAnsi="Times New Roman"/>
          <w:b/>
          <w:bCs/>
          <w:sz w:val="28"/>
          <w:szCs w:val="28"/>
        </w:rPr>
        <w:t>.</w:t>
      </w:r>
      <w:r w:rsidRPr="00A13F0C">
        <w:rPr>
          <w:rFonts w:ascii="Times New Roman" w:hAnsi="Times New Roman"/>
          <w:b/>
          <w:bCs/>
          <w:sz w:val="28"/>
          <w:szCs w:val="28"/>
          <w:lang w:val="ru-RU"/>
        </w:rPr>
        <w:t xml:space="preserve"> </w:t>
      </w:r>
      <w:r w:rsidR="00CF36A3">
        <w:rPr>
          <w:rFonts w:ascii="Times New Roman" w:hAnsi="Times New Roman"/>
          <w:b/>
          <w:bCs/>
          <w:sz w:val="28"/>
          <w:szCs w:val="28"/>
          <w:lang w:val="ru-RU"/>
        </w:rPr>
        <w:t>Обґрунтування запропонованого строку дії регуляторного акта</w:t>
      </w:r>
    </w:p>
    <w:p w:rsidR="00CF36A3" w:rsidRDefault="00CF36A3">
      <w:pPr>
        <w:widowControl w:val="0"/>
        <w:autoSpaceDE w:val="0"/>
        <w:autoSpaceDN w:val="0"/>
        <w:adjustRightInd w:val="0"/>
        <w:spacing w:after="0" w:line="360" w:lineRule="auto"/>
        <w:ind w:left="-426" w:firstLine="720"/>
        <w:rPr>
          <w:rFonts w:ascii="Times New Roman" w:hAnsi="Times New Roman"/>
          <w:sz w:val="28"/>
          <w:szCs w:val="28"/>
          <w:lang w:val="ru-RU"/>
        </w:rPr>
      </w:pPr>
      <w:r>
        <w:rPr>
          <w:rFonts w:ascii="Times New Roman" w:hAnsi="Times New Roman"/>
          <w:sz w:val="28"/>
          <w:szCs w:val="28"/>
          <w:lang w:val="ru-RU"/>
        </w:rPr>
        <w:t xml:space="preserve">Строк дії рішення НКЦПФР є необмежений. </w:t>
      </w:r>
    </w:p>
    <w:p w:rsidR="00CF36A3" w:rsidRDefault="00A13F0C" w:rsidP="00A13F0C">
      <w:pPr>
        <w:widowControl w:val="0"/>
        <w:autoSpaceDE w:val="0"/>
        <w:autoSpaceDN w:val="0"/>
        <w:adjustRightInd w:val="0"/>
        <w:spacing w:after="0" w:line="360" w:lineRule="auto"/>
        <w:ind w:left="720"/>
        <w:rPr>
          <w:rFonts w:ascii="Times New Roman" w:hAnsi="Times New Roman"/>
          <w:b/>
          <w:bCs/>
          <w:sz w:val="28"/>
          <w:szCs w:val="28"/>
          <w:lang w:val="ru-RU"/>
        </w:rPr>
      </w:pPr>
      <w:r>
        <w:rPr>
          <w:rFonts w:ascii="Times New Roman" w:hAnsi="Times New Roman"/>
          <w:b/>
          <w:bCs/>
          <w:sz w:val="28"/>
          <w:szCs w:val="28"/>
          <w:lang w:val="en-US"/>
        </w:rPr>
        <w:t>VIII</w:t>
      </w:r>
      <w:r>
        <w:rPr>
          <w:rFonts w:ascii="Times New Roman" w:hAnsi="Times New Roman"/>
          <w:b/>
          <w:bCs/>
          <w:sz w:val="28"/>
          <w:szCs w:val="28"/>
        </w:rPr>
        <w:t>.</w:t>
      </w:r>
      <w:r w:rsidRPr="00A13F0C">
        <w:rPr>
          <w:rFonts w:ascii="Times New Roman" w:hAnsi="Times New Roman"/>
          <w:b/>
          <w:bCs/>
          <w:sz w:val="28"/>
          <w:szCs w:val="28"/>
          <w:lang w:val="ru-RU"/>
        </w:rPr>
        <w:t xml:space="preserve"> </w:t>
      </w:r>
      <w:r w:rsidR="00CF36A3">
        <w:rPr>
          <w:rFonts w:ascii="Times New Roman" w:hAnsi="Times New Roman"/>
          <w:b/>
          <w:bCs/>
          <w:sz w:val="28"/>
          <w:szCs w:val="28"/>
          <w:lang w:val="ru-RU"/>
        </w:rPr>
        <w:t>Визначення показників результативності дії регуляторного акта</w:t>
      </w:r>
    </w:p>
    <w:p w:rsidR="00CF36A3" w:rsidRDefault="00CF36A3">
      <w:pPr>
        <w:widowControl w:val="0"/>
        <w:autoSpaceDE w:val="0"/>
        <w:autoSpaceDN w:val="0"/>
        <w:adjustRightInd w:val="0"/>
        <w:spacing w:after="0" w:line="360" w:lineRule="auto"/>
        <w:ind w:left="-426" w:firstLine="720"/>
        <w:jc w:val="both"/>
        <w:rPr>
          <w:rFonts w:ascii="Times New Roman" w:hAnsi="Times New Roman"/>
          <w:sz w:val="28"/>
          <w:szCs w:val="28"/>
          <w:lang w:val="ru-RU"/>
        </w:rPr>
      </w:pPr>
      <w:r>
        <w:rPr>
          <w:rFonts w:ascii="Times New Roman" w:hAnsi="Times New Roman"/>
          <w:sz w:val="28"/>
          <w:szCs w:val="28"/>
          <w:lang w:val="ru-RU"/>
        </w:rPr>
        <w:t>Оскільки проект нормативно-правового акта визначає</w:t>
      </w:r>
      <w:r w:rsidR="001F2940">
        <w:rPr>
          <w:rFonts w:ascii="Times New Roman" w:hAnsi="Times New Roman"/>
          <w:sz w:val="28"/>
          <w:szCs w:val="28"/>
          <w:lang w:val="ru-RU"/>
        </w:rPr>
        <w:t xml:space="preserve"> </w:t>
      </w:r>
      <w:r w:rsidR="00694647">
        <w:rPr>
          <w:rFonts w:ascii="Times New Roman" w:hAnsi="Times New Roman"/>
          <w:sz w:val="28"/>
          <w:szCs w:val="28"/>
          <w:lang w:val="ru-RU"/>
        </w:rPr>
        <w:t xml:space="preserve">порядок </w:t>
      </w:r>
      <w:r w:rsidR="001F2940" w:rsidRPr="001F2940">
        <w:rPr>
          <w:rFonts w:ascii="Times New Roman" w:hAnsi="Times New Roman"/>
          <w:sz w:val="28"/>
          <w:szCs w:val="28"/>
          <w:lang w:val="ru-RU"/>
        </w:rPr>
        <w:t>розгляду справ про порушення вимог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1F2940">
        <w:rPr>
          <w:rFonts w:ascii="Times New Roman" w:hAnsi="Times New Roman"/>
          <w:sz w:val="28"/>
          <w:szCs w:val="28"/>
          <w:lang w:val="ru-RU"/>
        </w:rPr>
        <w:t xml:space="preserve"> та застосування заходів впливу</w:t>
      </w:r>
      <w:r>
        <w:rPr>
          <w:rFonts w:ascii="Times New Roman" w:hAnsi="Times New Roman"/>
          <w:sz w:val="28"/>
          <w:szCs w:val="28"/>
          <w:lang w:val="ru-RU"/>
        </w:rPr>
        <w:t>, результативність цього нормативно-правового акта може бути визначена під час застосування його положень протягом певного періоду.</w:t>
      </w:r>
    </w:p>
    <w:p w:rsidR="00CF36A3" w:rsidRDefault="00A13F0C" w:rsidP="00A13F0C">
      <w:pPr>
        <w:widowControl w:val="0"/>
        <w:autoSpaceDE w:val="0"/>
        <w:autoSpaceDN w:val="0"/>
        <w:adjustRightInd w:val="0"/>
        <w:spacing w:after="0" w:line="240" w:lineRule="auto"/>
        <w:ind w:left="720"/>
        <w:jc w:val="center"/>
        <w:rPr>
          <w:rFonts w:ascii="Times New Roman" w:hAnsi="Times New Roman"/>
          <w:b/>
          <w:bCs/>
          <w:sz w:val="28"/>
          <w:szCs w:val="28"/>
          <w:lang w:val="ru-RU"/>
        </w:rPr>
      </w:pPr>
      <w:r>
        <w:rPr>
          <w:rFonts w:ascii="Times New Roman" w:hAnsi="Times New Roman"/>
          <w:b/>
          <w:bCs/>
          <w:sz w:val="28"/>
          <w:szCs w:val="28"/>
          <w:lang w:val="en-US"/>
        </w:rPr>
        <w:t>IX</w:t>
      </w:r>
      <w:r>
        <w:rPr>
          <w:rFonts w:ascii="Times New Roman" w:hAnsi="Times New Roman"/>
          <w:b/>
          <w:bCs/>
          <w:sz w:val="28"/>
          <w:szCs w:val="28"/>
        </w:rPr>
        <w:t>.</w:t>
      </w:r>
      <w:r w:rsidRPr="00A13F0C">
        <w:rPr>
          <w:rFonts w:ascii="Times New Roman" w:hAnsi="Times New Roman"/>
          <w:b/>
          <w:bCs/>
          <w:sz w:val="28"/>
          <w:szCs w:val="28"/>
          <w:lang w:val="ru-RU"/>
        </w:rPr>
        <w:t xml:space="preserve"> </w:t>
      </w:r>
      <w:r w:rsidR="00CF36A3">
        <w:rPr>
          <w:rFonts w:ascii="Times New Roman" w:hAnsi="Times New Roman"/>
          <w:b/>
          <w:bCs/>
          <w:sz w:val="28"/>
          <w:szCs w:val="28"/>
          <w:lang w:val="ru-RU"/>
        </w:rPr>
        <w:t>Визначення заходів, за допомогою яких здійснюватиметься відстеження результативності дії регуляторного акта</w:t>
      </w:r>
    </w:p>
    <w:p w:rsidR="00CF36A3" w:rsidRDefault="00CF36A3">
      <w:pPr>
        <w:widowControl w:val="0"/>
        <w:autoSpaceDE w:val="0"/>
        <w:autoSpaceDN w:val="0"/>
        <w:adjustRightInd w:val="0"/>
        <w:spacing w:after="0" w:line="360" w:lineRule="auto"/>
        <w:ind w:left="-426" w:firstLine="720"/>
        <w:jc w:val="both"/>
        <w:rPr>
          <w:rFonts w:ascii="Times New Roman" w:hAnsi="Times New Roman"/>
          <w:sz w:val="28"/>
          <w:szCs w:val="28"/>
          <w:lang w:val="ru-RU"/>
        </w:rPr>
      </w:pPr>
      <w:r>
        <w:rPr>
          <w:rFonts w:ascii="Times New Roman" w:hAnsi="Times New Roman"/>
          <w:sz w:val="28"/>
          <w:szCs w:val="28"/>
          <w:lang w:val="ru-RU"/>
        </w:rPr>
        <w:t xml:space="preserve">Відповідно до абзацу четвертого частини другої статті 3 Закону України </w:t>
      </w:r>
      <w:r w:rsidRPr="00D03D19">
        <w:rPr>
          <w:rFonts w:ascii="Times New Roman" w:hAnsi="Times New Roman"/>
          <w:sz w:val="28"/>
          <w:szCs w:val="28"/>
          <w:lang w:val="ru-RU"/>
        </w:rPr>
        <w:t>«</w:t>
      </w:r>
      <w:r>
        <w:rPr>
          <w:rFonts w:ascii="Times New Roman" w:hAnsi="Times New Roman"/>
          <w:sz w:val="28"/>
          <w:szCs w:val="28"/>
          <w:lang w:val="ru-RU"/>
        </w:rPr>
        <w:t xml:space="preserve">Про </w:t>
      </w:r>
      <w:r>
        <w:rPr>
          <w:rFonts w:ascii="Times New Roman" w:hAnsi="Times New Roman"/>
          <w:sz w:val="28"/>
          <w:szCs w:val="28"/>
          <w:lang w:val="ru-RU"/>
        </w:rPr>
        <w:lastRenderedPageBreak/>
        <w:t>засади державної регуляторної політики у сфері господарської діяльності</w:t>
      </w:r>
      <w:r w:rsidRPr="00D03D19">
        <w:rPr>
          <w:rFonts w:ascii="Times New Roman" w:hAnsi="Times New Roman"/>
          <w:sz w:val="28"/>
          <w:szCs w:val="28"/>
          <w:lang w:val="ru-RU"/>
        </w:rPr>
        <w:t xml:space="preserve">» </w:t>
      </w:r>
      <w:r>
        <w:rPr>
          <w:rFonts w:ascii="Times New Roman" w:hAnsi="Times New Roman"/>
          <w:sz w:val="28"/>
          <w:szCs w:val="28"/>
          <w:lang w:val="ru-RU"/>
        </w:rPr>
        <w:t>дія цього Закону не поширюється на здійснення діяльності, пов’язаної з прийняттям зазначеного рішення НКЦПФР. Оцінити стан впровадження рішення НКЦПФР та досягнення цим нормативно-правовим актом цілей, задекларованих при його прийнятті можливо під час застосування його положень протягом певного періоду.</w:t>
      </w:r>
    </w:p>
    <w:p w:rsidR="00CF36A3" w:rsidRPr="00D03D19" w:rsidRDefault="00CF36A3">
      <w:pPr>
        <w:widowControl w:val="0"/>
        <w:autoSpaceDE w:val="0"/>
        <w:autoSpaceDN w:val="0"/>
        <w:adjustRightInd w:val="0"/>
        <w:spacing w:after="0" w:line="360" w:lineRule="auto"/>
        <w:ind w:left="-426" w:firstLine="720"/>
        <w:jc w:val="both"/>
        <w:rPr>
          <w:rFonts w:ascii="Times New Roman" w:hAnsi="Times New Roman"/>
          <w:sz w:val="28"/>
          <w:szCs w:val="28"/>
          <w:lang w:val="ru-RU"/>
        </w:rPr>
      </w:pPr>
    </w:p>
    <w:p w:rsidR="00CF36A3" w:rsidRPr="00D03D19" w:rsidRDefault="00CF36A3">
      <w:pPr>
        <w:widowControl w:val="0"/>
        <w:autoSpaceDE w:val="0"/>
        <w:autoSpaceDN w:val="0"/>
        <w:adjustRightInd w:val="0"/>
        <w:spacing w:after="0" w:line="360" w:lineRule="auto"/>
        <w:ind w:left="-426" w:firstLine="720"/>
        <w:jc w:val="both"/>
        <w:rPr>
          <w:rFonts w:ascii="Times New Roman" w:hAnsi="Times New Roman"/>
          <w:sz w:val="28"/>
          <w:szCs w:val="28"/>
          <w:lang w:val="ru-RU"/>
        </w:rPr>
      </w:pPr>
    </w:p>
    <w:p w:rsidR="00CF36A3" w:rsidRDefault="00694647">
      <w:pPr>
        <w:widowControl w:val="0"/>
        <w:autoSpaceDE w:val="0"/>
        <w:autoSpaceDN w:val="0"/>
        <w:adjustRightInd w:val="0"/>
        <w:spacing w:after="0" w:line="360" w:lineRule="auto"/>
        <w:ind w:left="-426"/>
        <w:jc w:val="both"/>
        <w:rPr>
          <w:rFonts w:ascii="Times New Roman" w:hAnsi="Times New Roman"/>
          <w:b/>
          <w:bCs/>
          <w:sz w:val="28"/>
          <w:szCs w:val="28"/>
          <w:lang w:val="ru-RU"/>
        </w:rPr>
      </w:pPr>
      <w:r>
        <w:rPr>
          <w:rFonts w:ascii="Times New Roman" w:hAnsi="Times New Roman"/>
          <w:b/>
          <w:bCs/>
          <w:sz w:val="28"/>
          <w:szCs w:val="28"/>
          <w:lang w:val="ru-RU"/>
        </w:rPr>
        <w:t xml:space="preserve">Голова </w:t>
      </w:r>
      <w:r w:rsidR="00CF36A3">
        <w:rPr>
          <w:rFonts w:ascii="Times New Roman" w:hAnsi="Times New Roman"/>
          <w:b/>
          <w:bCs/>
          <w:sz w:val="28"/>
          <w:szCs w:val="28"/>
          <w:lang w:val="ru-RU"/>
        </w:rPr>
        <w:t xml:space="preserve">Комісії                                </w:t>
      </w:r>
      <w:r>
        <w:rPr>
          <w:rFonts w:ascii="Times New Roman" w:hAnsi="Times New Roman"/>
          <w:b/>
          <w:bCs/>
          <w:sz w:val="28"/>
          <w:szCs w:val="28"/>
          <w:lang w:val="ru-RU"/>
        </w:rPr>
        <w:t xml:space="preserve">                           </w:t>
      </w:r>
      <w:r w:rsidR="00CF36A3">
        <w:rPr>
          <w:rFonts w:ascii="Times New Roman" w:hAnsi="Times New Roman"/>
          <w:b/>
          <w:bCs/>
          <w:sz w:val="28"/>
          <w:szCs w:val="28"/>
          <w:lang w:val="ru-RU"/>
        </w:rPr>
        <w:t>Т. Хромаєв</w:t>
      </w:r>
    </w:p>
    <w:p w:rsidR="00CF36A3" w:rsidRDefault="00CF36A3">
      <w:pPr>
        <w:widowControl w:val="0"/>
        <w:autoSpaceDE w:val="0"/>
        <w:autoSpaceDN w:val="0"/>
        <w:adjustRightInd w:val="0"/>
        <w:spacing w:after="0" w:line="360" w:lineRule="auto"/>
        <w:ind w:left="294"/>
        <w:jc w:val="both"/>
        <w:rPr>
          <w:rFonts w:ascii="Times New Roman" w:hAnsi="Times New Roman"/>
          <w:sz w:val="28"/>
          <w:szCs w:val="28"/>
          <w:lang w:val="en"/>
        </w:rPr>
      </w:pPr>
    </w:p>
    <w:sectPr w:rsidR="00CF36A3">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C9606"/>
    <w:lvl w:ilvl="0">
      <w:numFmt w:val="bullet"/>
      <w:lvlText w:val="*"/>
      <w:lvlJc w:val="left"/>
    </w:lvl>
  </w:abstractNum>
  <w:abstractNum w:abstractNumId="1" w15:restartNumberingAfterBreak="0">
    <w:nsid w:val="49421F3F"/>
    <w:multiLevelType w:val="hybridMultilevel"/>
    <w:tmpl w:val="49C43482"/>
    <w:lvl w:ilvl="0" w:tplc="E0A0151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3D19"/>
    <w:rsid w:val="001F2940"/>
    <w:rsid w:val="002A685E"/>
    <w:rsid w:val="004274CB"/>
    <w:rsid w:val="00694647"/>
    <w:rsid w:val="006C6D6B"/>
    <w:rsid w:val="00756410"/>
    <w:rsid w:val="007A5696"/>
    <w:rsid w:val="00924493"/>
    <w:rsid w:val="009C38CF"/>
    <w:rsid w:val="00A13F0C"/>
    <w:rsid w:val="00A53614"/>
    <w:rsid w:val="00C715EB"/>
    <w:rsid w:val="00CE59FD"/>
    <w:rsid w:val="00CF36A3"/>
    <w:rsid w:val="00D03D19"/>
    <w:rsid w:val="00DC5088"/>
    <w:rsid w:val="00DF3061"/>
    <w:rsid w:val="00E76E44"/>
    <w:rsid w:val="00EE26CE"/>
    <w:rsid w:val="00F21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09B1B8-7B61-41AB-8332-4EBC1E76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Губар</dc:creator>
  <cp:keywords/>
  <dc:description/>
  <cp:lastModifiedBy>Руслан Кисляк</cp:lastModifiedBy>
  <cp:revision>2</cp:revision>
  <dcterms:created xsi:type="dcterms:W3CDTF">2020-06-09T12:53:00Z</dcterms:created>
  <dcterms:modified xsi:type="dcterms:W3CDTF">2020-06-09T12:53:00Z</dcterms:modified>
</cp:coreProperties>
</file>