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07B2" w14:textId="7D22A06C" w:rsidR="00126C2B" w:rsidRDefault="00126C2B" w:rsidP="00126C2B">
      <w:pPr>
        <w:pStyle w:val="3"/>
        <w:spacing w:before="0" w:after="0"/>
        <w:ind w:left="5387"/>
        <w:jc w:val="both"/>
        <w:rPr>
          <w:rFonts w:ascii="Times New Roman" w:hAnsi="Times New Roman" w:cs="Times New Roman"/>
          <w:b w:val="0"/>
          <w:bCs w:val="0"/>
          <w:color w:val="000000"/>
          <w:sz w:val="28"/>
          <w:szCs w:val="28"/>
          <w:lang w:val="ru-RU"/>
        </w:rPr>
      </w:pPr>
      <w:bookmarkStart w:id="0" w:name="_GoBack"/>
      <w:bookmarkEnd w:id="0"/>
      <w:proofErr w:type="spellStart"/>
      <w:r w:rsidRPr="004D12D8">
        <w:rPr>
          <w:rFonts w:ascii="Times New Roman" w:hAnsi="Times New Roman" w:cs="Times New Roman"/>
          <w:b w:val="0"/>
          <w:bCs w:val="0"/>
          <w:color w:val="000000"/>
          <w:sz w:val="28"/>
          <w:szCs w:val="28"/>
          <w:lang w:val="ru-RU"/>
        </w:rPr>
        <w:t>Додаток</w:t>
      </w:r>
      <w:proofErr w:type="spellEnd"/>
      <w:r>
        <w:rPr>
          <w:rFonts w:ascii="Times New Roman" w:hAnsi="Times New Roman" w:cs="Times New Roman"/>
          <w:b w:val="0"/>
          <w:bCs w:val="0"/>
          <w:color w:val="000000"/>
          <w:sz w:val="28"/>
          <w:szCs w:val="28"/>
          <w:lang w:val="ru-RU"/>
        </w:rPr>
        <w:t xml:space="preserve"> </w:t>
      </w:r>
      <w:r w:rsidR="0065126C">
        <w:rPr>
          <w:rFonts w:ascii="Times New Roman" w:hAnsi="Times New Roman" w:cs="Times New Roman"/>
          <w:b w:val="0"/>
          <w:bCs w:val="0"/>
          <w:color w:val="000000"/>
          <w:sz w:val="28"/>
          <w:szCs w:val="28"/>
          <w:lang w:val="ru-RU"/>
        </w:rPr>
        <w:t>5</w:t>
      </w:r>
      <w:r w:rsidRPr="004D12D8">
        <w:rPr>
          <w:rFonts w:ascii="Times New Roman" w:hAnsi="Times New Roman" w:cs="Times New Roman"/>
          <w:b w:val="0"/>
          <w:bCs w:val="0"/>
          <w:color w:val="000000"/>
          <w:sz w:val="28"/>
          <w:szCs w:val="28"/>
          <w:lang w:val="ru-RU"/>
        </w:rPr>
        <w:t xml:space="preserve"> </w:t>
      </w:r>
    </w:p>
    <w:p w14:paraId="38B0F1E2" w14:textId="77777777" w:rsidR="002B04DD" w:rsidRPr="004D12D8" w:rsidRDefault="002B04DD" w:rsidP="002B04DD">
      <w:pPr>
        <w:pStyle w:val="3"/>
        <w:spacing w:before="0" w:after="0"/>
        <w:ind w:left="5387"/>
        <w:jc w:val="both"/>
        <w:rPr>
          <w:rFonts w:ascii="Times New Roman" w:hAnsi="Times New Roman" w:cs="Times New Roman"/>
          <w:b w:val="0"/>
          <w:bCs w:val="0"/>
          <w:color w:val="000000"/>
          <w:sz w:val="28"/>
          <w:szCs w:val="28"/>
          <w:lang w:val="ru-RU"/>
        </w:rPr>
      </w:pPr>
      <w:r w:rsidRPr="004D12D8">
        <w:rPr>
          <w:rFonts w:ascii="Times New Roman" w:hAnsi="Times New Roman" w:cs="Times New Roman"/>
          <w:b w:val="0"/>
          <w:bCs w:val="0"/>
          <w:color w:val="000000"/>
          <w:sz w:val="28"/>
          <w:szCs w:val="28"/>
          <w:lang w:val="ru-RU"/>
        </w:rPr>
        <w:t xml:space="preserve">до </w:t>
      </w:r>
      <w:proofErr w:type="spellStart"/>
      <w:r w:rsidRPr="004D12D8">
        <w:rPr>
          <w:rFonts w:ascii="Times New Roman" w:hAnsi="Times New Roman" w:cs="Times New Roman"/>
          <w:b w:val="0"/>
          <w:bCs w:val="0"/>
          <w:color w:val="000000"/>
          <w:sz w:val="28"/>
          <w:szCs w:val="28"/>
          <w:lang w:val="ru-RU"/>
        </w:rPr>
        <w:t>Положення</w:t>
      </w:r>
      <w:proofErr w:type="spellEnd"/>
      <w:r w:rsidRPr="004D12D8">
        <w:rPr>
          <w:rFonts w:ascii="Times New Roman" w:hAnsi="Times New Roman" w:cs="Times New Roman"/>
          <w:b w:val="0"/>
          <w:bCs w:val="0"/>
          <w:color w:val="000000"/>
          <w:sz w:val="28"/>
          <w:szCs w:val="28"/>
          <w:lang w:val="ru-RU"/>
        </w:rPr>
        <w:t xml:space="preserve"> про порядок </w:t>
      </w:r>
      <w:proofErr w:type="spellStart"/>
      <w:r w:rsidRPr="004D12D8">
        <w:rPr>
          <w:rFonts w:ascii="Times New Roman" w:hAnsi="Times New Roman" w:cs="Times New Roman"/>
          <w:b w:val="0"/>
          <w:bCs w:val="0"/>
          <w:color w:val="000000"/>
          <w:sz w:val="28"/>
          <w:szCs w:val="28"/>
          <w:lang w:val="ru-RU"/>
        </w:rPr>
        <w:t>складання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подання</w:t>
      </w:r>
      <w:proofErr w:type="spellEnd"/>
      <w:r w:rsidRPr="004D12D8">
        <w:rPr>
          <w:rFonts w:ascii="Times New Roman" w:hAnsi="Times New Roman" w:cs="Times New Roman"/>
          <w:b w:val="0"/>
          <w:bCs w:val="0"/>
          <w:color w:val="000000"/>
          <w:sz w:val="28"/>
          <w:szCs w:val="28"/>
          <w:lang w:val="ru-RU"/>
        </w:rPr>
        <w:t xml:space="preserve"> та </w:t>
      </w:r>
      <w:proofErr w:type="spellStart"/>
      <w:r w:rsidRPr="004D12D8">
        <w:rPr>
          <w:rFonts w:ascii="Times New Roman" w:hAnsi="Times New Roman" w:cs="Times New Roman"/>
          <w:b w:val="0"/>
          <w:bCs w:val="0"/>
          <w:color w:val="000000"/>
          <w:sz w:val="28"/>
          <w:szCs w:val="28"/>
          <w:lang w:val="ru-RU"/>
        </w:rPr>
        <w:t>оприлюднення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адміністратором</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недержавного</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пенсійного</w:t>
      </w:r>
      <w:proofErr w:type="spellEnd"/>
      <w:r w:rsidRPr="004D12D8">
        <w:rPr>
          <w:rFonts w:ascii="Times New Roman" w:hAnsi="Times New Roman" w:cs="Times New Roman"/>
          <w:b w:val="0"/>
          <w:bCs w:val="0"/>
          <w:color w:val="000000"/>
          <w:sz w:val="28"/>
          <w:szCs w:val="28"/>
          <w:lang w:val="ru-RU"/>
        </w:rPr>
        <w:t xml:space="preserve"> фонду </w:t>
      </w:r>
      <w:proofErr w:type="spellStart"/>
      <w:r>
        <w:rPr>
          <w:rFonts w:ascii="Times New Roman" w:hAnsi="Times New Roman" w:cs="Times New Roman"/>
          <w:b w:val="0"/>
          <w:bCs w:val="0"/>
          <w:color w:val="000000"/>
          <w:sz w:val="28"/>
          <w:szCs w:val="28"/>
          <w:lang w:val="ru-RU"/>
        </w:rPr>
        <w:t>адміністративних</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даних</w:t>
      </w:r>
      <w:proofErr w:type="spellEnd"/>
      <w:r>
        <w:rPr>
          <w:rFonts w:ascii="Times New Roman" w:hAnsi="Times New Roman" w:cs="Times New Roman"/>
          <w:b w:val="0"/>
          <w:bCs w:val="0"/>
          <w:color w:val="000000"/>
          <w:sz w:val="28"/>
          <w:szCs w:val="28"/>
          <w:lang w:val="ru-RU"/>
        </w:rPr>
        <w:t xml:space="preserve">, у тому </w:t>
      </w:r>
      <w:proofErr w:type="spellStart"/>
      <w:r>
        <w:rPr>
          <w:rFonts w:ascii="Times New Roman" w:hAnsi="Times New Roman" w:cs="Times New Roman"/>
          <w:b w:val="0"/>
          <w:bCs w:val="0"/>
          <w:color w:val="000000"/>
          <w:sz w:val="28"/>
          <w:szCs w:val="28"/>
          <w:lang w:val="ru-RU"/>
        </w:rPr>
        <w:t>числі</w:t>
      </w:r>
      <w:proofErr w:type="spellEnd"/>
      <w:r>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звітності</w:t>
      </w:r>
      <w:proofErr w:type="spellEnd"/>
      <w:r w:rsidRPr="004D12D8">
        <w:rPr>
          <w:rFonts w:ascii="Times New Roman" w:hAnsi="Times New Roman" w:cs="Times New Roman"/>
          <w:b w:val="0"/>
          <w:bCs w:val="0"/>
          <w:color w:val="000000"/>
          <w:sz w:val="28"/>
          <w:szCs w:val="28"/>
          <w:lang w:val="ru-RU"/>
        </w:rPr>
        <w:t xml:space="preserve"> з </w:t>
      </w:r>
      <w:proofErr w:type="spellStart"/>
      <w:r>
        <w:rPr>
          <w:rFonts w:ascii="Times New Roman" w:hAnsi="Times New Roman" w:cs="Times New Roman"/>
          <w:b w:val="0"/>
          <w:bCs w:val="0"/>
          <w:color w:val="000000"/>
          <w:sz w:val="28"/>
          <w:szCs w:val="28"/>
          <w:lang w:val="ru-RU"/>
        </w:rPr>
        <w:t>недержавного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пенсійного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забезпечення</w:t>
      </w:r>
      <w:proofErr w:type="spellEnd"/>
    </w:p>
    <w:p w14:paraId="773C4A1C" w14:textId="77777777" w:rsidR="00126C2B" w:rsidRDefault="00126C2B" w:rsidP="002B04DD">
      <w:pPr>
        <w:shd w:val="clear" w:color="auto" w:fill="FFFFFF"/>
        <w:spacing w:before="150" w:after="150" w:line="240" w:lineRule="auto"/>
        <w:ind w:left="5387" w:right="450"/>
        <w:rPr>
          <w:rFonts w:ascii="Times New Roman" w:eastAsia="Times New Roman" w:hAnsi="Times New Roman" w:cs="Times New Roman"/>
          <w:b/>
          <w:bCs/>
          <w:color w:val="000000"/>
          <w:sz w:val="28"/>
          <w:szCs w:val="28"/>
          <w:lang w:eastAsia="uk-UA"/>
        </w:rPr>
      </w:pPr>
      <w:r w:rsidRPr="0024620F">
        <w:rPr>
          <w:rFonts w:ascii="Times New Roman" w:hAnsi="Times New Roman" w:cs="Times New Roman"/>
          <w:color w:val="000000"/>
          <w:sz w:val="28"/>
          <w:szCs w:val="28"/>
          <w:lang w:val="ru-RU"/>
        </w:rPr>
        <w:t xml:space="preserve">(абзац </w:t>
      </w:r>
      <w:proofErr w:type="spellStart"/>
      <w:r w:rsidR="0024620F">
        <w:rPr>
          <w:rFonts w:ascii="Times New Roman" w:hAnsi="Times New Roman" w:cs="Times New Roman"/>
          <w:color w:val="000000"/>
          <w:sz w:val="28"/>
          <w:szCs w:val="28"/>
          <w:lang w:val="ru-RU"/>
        </w:rPr>
        <w:t>шост</w:t>
      </w:r>
      <w:r w:rsidRPr="0024620F">
        <w:rPr>
          <w:rFonts w:ascii="Times New Roman" w:hAnsi="Times New Roman" w:cs="Times New Roman"/>
          <w:color w:val="000000"/>
          <w:sz w:val="28"/>
          <w:szCs w:val="28"/>
          <w:lang w:val="ru-RU"/>
        </w:rPr>
        <w:t>ий</w:t>
      </w:r>
      <w:proofErr w:type="spellEnd"/>
      <w:r w:rsidRPr="0024620F">
        <w:rPr>
          <w:rFonts w:ascii="Times New Roman" w:hAnsi="Times New Roman" w:cs="Times New Roman"/>
          <w:color w:val="000000"/>
          <w:sz w:val="28"/>
          <w:szCs w:val="28"/>
          <w:lang w:val="ru-RU"/>
        </w:rPr>
        <w:t xml:space="preserve"> </w:t>
      </w:r>
      <w:proofErr w:type="spellStart"/>
      <w:r w:rsidRPr="0024620F">
        <w:rPr>
          <w:rFonts w:ascii="Times New Roman" w:hAnsi="Times New Roman" w:cs="Times New Roman"/>
          <w:color w:val="000000"/>
          <w:sz w:val="28"/>
          <w:szCs w:val="28"/>
          <w:lang w:val="ru-RU"/>
        </w:rPr>
        <w:t>підпункту</w:t>
      </w:r>
      <w:proofErr w:type="spellEnd"/>
      <w:r w:rsidRPr="0024620F">
        <w:rPr>
          <w:rFonts w:ascii="Times New Roman" w:hAnsi="Times New Roman" w:cs="Times New Roman"/>
          <w:color w:val="000000"/>
          <w:sz w:val="28"/>
          <w:szCs w:val="28"/>
          <w:lang w:val="ru-RU"/>
        </w:rPr>
        <w:t xml:space="preserve"> </w:t>
      </w:r>
      <w:r w:rsidR="0024620F">
        <w:rPr>
          <w:rFonts w:ascii="Times New Roman" w:hAnsi="Times New Roman" w:cs="Times New Roman"/>
          <w:color w:val="000000"/>
          <w:sz w:val="28"/>
          <w:szCs w:val="28"/>
          <w:lang w:val="ru-RU"/>
        </w:rPr>
        <w:t>1</w:t>
      </w:r>
      <w:r w:rsidRPr="0024620F">
        <w:rPr>
          <w:rFonts w:ascii="Times New Roman" w:hAnsi="Times New Roman" w:cs="Times New Roman"/>
          <w:color w:val="000000"/>
          <w:sz w:val="28"/>
          <w:szCs w:val="28"/>
          <w:lang w:val="ru-RU"/>
        </w:rPr>
        <w:t xml:space="preserve"> пункту 3 </w:t>
      </w:r>
      <w:proofErr w:type="spellStart"/>
      <w:r w:rsidRPr="0024620F">
        <w:rPr>
          <w:rFonts w:ascii="Times New Roman" w:hAnsi="Times New Roman" w:cs="Times New Roman"/>
          <w:color w:val="000000"/>
          <w:sz w:val="28"/>
          <w:szCs w:val="28"/>
          <w:lang w:val="ru-RU"/>
        </w:rPr>
        <w:t>розділу</w:t>
      </w:r>
      <w:proofErr w:type="spellEnd"/>
      <w:r w:rsidRPr="0024620F">
        <w:rPr>
          <w:rFonts w:ascii="Times New Roman" w:hAnsi="Times New Roman" w:cs="Times New Roman"/>
          <w:color w:val="000000"/>
          <w:sz w:val="28"/>
          <w:szCs w:val="28"/>
          <w:lang w:val="ru-RU"/>
        </w:rPr>
        <w:t xml:space="preserve"> II)</w:t>
      </w:r>
    </w:p>
    <w:p w14:paraId="5EF3FA4C" w14:textId="77777777" w:rsidR="0024620F" w:rsidRDefault="0024620F" w:rsidP="00DA3DFF">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eastAsia="uk-UA"/>
        </w:rPr>
      </w:pPr>
    </w:p>
    <w:p w14:paraId="50D625A0" w14:textId="77777777" w:rsidR="00DA3DFF" w:rsidRPr="00DA3DFF" w:rsidRDefault="00DA3DFF" w:rsidP="00DA3DF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DA3DFF">
        <w:rPr>
          <w:rFonts w:ascii="Times New Roman" w:eastAsia="Times New Roman" w:hAnsi="Times New Roman" w:cs="Times New Roman"/>
          <w:b/>
          <w:bCs/>
          <w:color w:val="000000"/>
          <w:sz w:val="28"/>
          <w:szCs w:val="28"/>
          <w:lang w:eastAsia="uk-UA"/>
        </w:rPr>
        <w:t>ДОВІДКА</w:t>
      </w:r>
      <w:r w:rsidRPr="00DA3DFF">
        <w:rPr>
          <w:rFonts w:ascii="Times New Roman" w:eastAsia="Times New Roman" w:hAnsi="Times New Roman" w:cs="Times New Roman"/>
          <w:color w:val="000000"/>
          <w:sz w:val="24"/>
          <w:szCs w:val="24"/>
          <w:lang w:eastAsia="uk-UA"/>
        </w:rPr>
        <w:br/>
      </w:r>
      <w:r w:rsidRPr="00DA3DFF">
        <w:rPr>
          <w:rFonts w:ascii="Times New Roman" w:eastAsia="Times New Roman" w:hAnsi="Times New Roman" w:cs="Times New Roman"/>
          <w:b/>
          <w:bCs/>
          <w:color w:val="000000"/>
          <w:sz w:val="28"/>
          <w:szCs w:val="28"/>
          <w:lang w:eastAsia="uk-UA"/>
        </w:rPr>
        <w:t>про розрахунок нормативу достатності власних коштів</w:t>
      </w:r>
    </w:p>
    <w:p w14:paraId="426E5A2B" w14:textId="77777777" w:rsidR="00DA3DFF" w:rsidRPr="00DA3DFF" w:rsidRDefault="00DA3DFF" w:rsidP="00DA3DFF">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 w:name="n520"/>
      <w:bookmarkEnd w:id="1"/>
    </w:p>
    <w:tbl>
      <w:tblPr>
        <w:tblW w:w="4929" w:type="pct"/>
        <w:tblInd w:w="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07"/>
        <w:gridCol w:w="8082"/>
      </w:tblGrid>
      <w:tr w:rsidR="00D41483" w:rsidRPr="00DA3DFF" w14:paraId="592735CE" w14:textId="77777777" w:rsidTr="00F37338">
        <w:trPr>
          <w:trHeight w:val="234"/>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E8604CE" w14:textId="77777777" w:rsidR="00D41483" w:rsidRPr="004F5C7D" w:rsidRDefault="00D41483" w:rsidP="00D41483">
            <w:pPr>
              <w:pStyle w:val="a3"/>
              <w:numPr>
                <w:ilvl w:val="0"/>
                <w:numId w:val="2"/>
              </w:numPr>
              <w:rPr>
                <w:rFonts w:ascii="Times New Roman" w:hAnsi="Times New Roman" w:cs="Times New Roman"/>
                <w:color w:val="000000"/>
                <w:sz w:val="28"/>
                <w:szCs w:val="28"/>
              </w:rPr>
            </w:pPr>
          </w:p>
        </w:tc>
        <w:tc>
          <w:tcPr>
            <w:tcW w:w="8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31CDE" w14:textId="77777777" w:rsidR="00D41483" w:rsidRPr="004F5C7D" w:rsidRDefault="00D41483" w:rsidP="00D41483">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Місяць, за який подаються Дані</w:t>
            </w:r>
          </w:p>
        </w:tc>
      </w:tr>
      <w:tr w:rsidR="00D41483" w:rsidRPr="00DA3DFF" w14:paraId="78E3E013" w14:textId="77777777" w:rsidTr="00F37338">
        <w:trPr>
          <w:trHeight w:val="242"/>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04812C6" w14:textId="77777777" w:rsidR="00D41483" w:rsidRPr="004F5C7D" w:rsidRDefault="00D41483" w:rsidP="00D41483">
            <w:pPr>
              <w:pStyle w:val="a3"/>
              <w:numPr>
                <w:ilvl w:val="0"/>
                <w:numId w:val="2"/>
              </w:numPr>
              <w:rPr>
                <w:rFonts w:ascii="Times New Roman" w:hAnsi="Times New Roman" w:cs="Times New Roman"/>
                <w:color w:val="000000"/>
                <w:sz w:val="28"/>
                <w:szCs w:val="28"/>
              </w:rPr>
            </w:pPr>
          </w:p>
        </w:tc>
        <w:tc>
          <w:tcPr>
            <w:tcW w:w="8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52831" w14:textId="77777777" w:rsidR="00D41483" w:rsidRPr="004F5C7D" w:rsidRDefault="00D41483" w:rsidP="00D41483">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Рік, за який подаються Дані</w:t>
            </w:r>
          </w:p>
        </w:tc>
      </w:tr>
      <w:tr w:rsidR="00D41483" w:rsidRPr="00DA3DFF" w14:paraId="69C393B1" w14:textId="77777777" w:rsidTr="00F37338">
        <w:trPr>
          <w:trHeight w:val="376"/>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91837E8" w14:textId="77777777" w:rsidR="00D41483" w:rsidRPr="004F5C7D" w:rsidRDefault="00D41483" w:rsidP="00D41483">
            <w:pPr>
              <w:pStyle w:val="a3"/>
              <w:numPr>
                <w:ilvl w:val="0"/>
                <w:numId w:val="2"/>
              </w:numPr>
              <w:rPr>
                <w:rFonts w:ascii="Times New Roman" w:hAnsi="Times New Roman" w:cs="Times New Roman"/>
                <w:color w:val="000000"/>
                <w:sz w:val="28"/>
                <w:szCs w:val="28"/>
              </w:rPr>
            </w:pPr>
          </w:p>
        </w:tc>
        <w:tc>
          <w:tcPr>
            <w:tcW w:w="8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594A1" w14:textId="77777777" w:rsidR="00D41483" w:rsidRPr="004F5C7D" w:rsidRDefault="00D41483" w:rsidP="00D41483">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Дата, станом</w:t>
            </w:r>
            <w:r w:rsidR="0024620F" w:rsidRPr="004F5C7D">
              <w:rPr>
                <w:rFonts w:ascii="Times New Roman" w:hAnsi="Times New Roman" w:cs="Times New Roman"/>
                <w:color w:val="000000"/>
                <w:sz w:val="28"/>
                <w:szCs w:val="28"/>
              </w:rPr>
              <w:t>,</w:t>
            </w:r>
            <w:r w:rsidRPr="004F5C7D">
              <w:rPr>
                <w:rFonts w:ascii="Times New Roman" w:hAnsi="Times New Roman" w:cs="Times New Roman"/>
                <w:color w:val="000000"/>
                <w:sz w:val="28"/>
                <w:szCs w:val="28"/>
              </w:rPr>
              <w:t xml:space="preserve"> на яку здійснено розрахунок нормативу</w:t>
            </w:r>
          </w:p>
        </w:tc>
      </w:tr>
      <w:tr w:rsidR="00D41483" w:rsidRPr="00DA3DFF" w14:paraId="4E4F4FDE" w14:textId="77777777" w:rsidTr="00F37338">
        <w:trPr>
          <w:trHeight w:val="376"/>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F05D7C7" w14:textId="77777777" w:rsidR="00D41483" w:rsidRPr="004F5C7D" w:rsidRDefault="00D41483" w:rsidP="00D41483">
            <w:pPr>
              <w:pStyle w:val="a3"/>
              <w:numPr>
                <w:ilvl w:val="0"/>
                <w:numId w:val="2"/>
              </w:numPr>
              <w:rPr>
                <w:rFonts w:ascii="Times New Roman" w:hAnsi="Times New Roman" w:cs="Times New Roman"/>
                <w:color w:val="000000"/>
                <w:sz w:val="28"/>
                <w:szCs w:val="28"/>
              </w:rPr>
            </w:pPr>
          </w:p>
        </w:tc>
        <w:tc>
          <w:tcPr>
            <w:tcW w:w="8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3A50A" w14:textId="77777777" w:rsidR="00D41483" w:rsidRPr="004F5C7D" w:rsidRDefault="00D41483" w:rsidP="00D41483">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Дані Адміністратора: код за ЄДРПОУ</w:t>
            </w:r>
          </w:p>
        </w:tc>
      </w:tr>
      <w:tr w:rsidR="00D41483" w:rsidRPr="00DA3DFF" w14:paraId="39603074" w14:textId="77777777" w:rsidTr="00F37338">
        <w:trPr>
          <w:trHeight w:val="376"/>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3B7CC64" w14:textId="77777777" w:rsidR="00D41483" w:rsidRPr="004F5C7D" w:rsidRDefault="00D41483" w:rsidP="00D41483">
            <w:pPr>
              <w:pStyle w:val="a3"/>
              <w:numPr>
                <w:ilvl w:val="0"/>
                <w:numId w:val="2"/>
              </w:numPr>
              <w:rPr>
                <w:rFonts w:ascii="Times New Roman" w:hAnsi="Times New Roman" w:cs="Times New Roman"/>
                <w:color w:val="000000"/>
                <w:sz w:val="28"/>
                <w:szCs w:val="28"/>
              </w:rPr>
            </w:pPr>
          </w:p>
        </w:tc>
        <w:tc>
          <w:tcPr>
            <w:tcW w:w="8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902E0" w14:textId="77777777" w:rsidR="00D41483" w:rsidRPr="004F5C7D" w:rsidRDefault="00D41483" w:rsidP="00D41483">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Дані Адміністратора: повне найменування</w:t>
            </w:r>
          </w:p>
        </w:tc>
      </w:tr>
      <w:tr w:rsidR="00DA3DFF" w:rsidRPr="00DA3DFF" w14:paraId="412CEC17"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3A2FAD41" w14:textId="77777777" w:rsidR="00DA3DFF" w:rsidRPr="004F5C7D" w:rsidRDefault="00DA3DFF" w:rsidP="00D41483">
            <w:pPr>
              <w:pStyle w:val="a3"/>
              <w:numPr>
                <w:ilvl w:val="0"/>
                <w:numId w:val="2"/>
              </w:numPr>
              <w:rPr>
                <w:rFonts w:ascii="Times New Roman" w:hAnsi="Times New Roman" w:cs="Times New Roman"/>
                <w:color w:val="000000"/>
                <w:sz w:val="28"/>
                <w:szCs w:val="28"/>
              </w:rPr>
            </w:pPr>
            <w:bookmarkStart w:id="2" w:name="n521"/>
            <w:bookmarkEnd w:id="2"/>
          </w:p>
        </w:tc>
        <w:tc>
          <w:tcPr>
            <w:tcW w:w="8082" w:type="dxa"/>
            <w:tcBorders>
              <w:top w:val="single" w:sz="4" w:space="0" w:color="auto"/>
              <w:left w:val="nil"/>
              <w:bottom w:val="single" w:sz="4" w:space="0" w:color="auto"/>
              <w:right w:val="single" w:sz="4" w:space="0" w:color="auto"/>
            </w:tcBorders>
            <w:shd w:val="clear" w:color="auto" w:fill="auto"/>
            <w:vAlign w:val="center"/>
          </w:tcPr>
          <w:p w14:paraId="52166BA8"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Норматив достатності власних коштів</w:t>
            </w:r>
            <w:r w:rsidRPr="004F5C7D">
              <w:rPr>
                <w:rFonts w:ascii="Times New Roman" w:hAnsi="Times New Roman" w:cs="Times New Roman"/>
                <w:b/>
                <w:bCs/>
                <w:color w:val="000000"/>
                <w:sz w:val="28"/>
                <w:szCs w:val="28"/>
                <w:vertAlign w:val="superscript"/>
              </w:rPr>
              <w:t>-1</w:t>
            </w:r>
          </w:p>
        </w:tc>
      </w:tr>
      <w:tr w:rsidR="00DA3DFF" w:rsidRPr="00DA3DFF" w14:paraId="2C2EF1C9"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36A02F2"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450000E4"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Розмір власних коштів, грн</w:t>
            </w:r>
          </w:p>
        </w:tc>
      </w:tr>
      <w:tr w:rsidR="00DA3DFF" w:rsidRPr="00DA3DFF" w14:paraId="0C8FF7D9"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1FFE8663"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27639B1"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Розмір капіталу першого рівня, грн</w:t>
            </w:r>
          </w:p>
        </w:tc>
      </w:tr>
      <w:tr w:rsidR="00DA3DFF" w:rsidRPr="00DA3DFF" w14:paraId="3C116256"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A23EA53"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EE115E3"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Розмір капіталу другого рівня, грн</w:t>
            </w:r>
          </w:p>
        </w:tc>
      </w:tr>
      <w:tr w:rsidR="00DA3DFF" w:rsidRPr="00DA3DFF" w14:paraId="45EBD4F8"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1F64B06"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60A8C71F" w14:textId="77777777" w:rsidR="00DA3DFF" w:rsidRPr="004F5C7D" w:rsidRDefault="00DA3DFF" w:rsidP="00181C0E">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Зареєстрований статутний капітал, грн</w:t>
            </w:r>
          </w:p>
        </w:tc>
      </w:tr>
      <w:tr w:rsidR="00DA3DFF" w:rsidRPr="00DA3DFF" w14:paraId="51C4E7F1"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355FD5F"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4E5DFBC"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Резервний капітал, грн</w:t>
            </w:r>
          </w:p>
        </w:tc>
      </w:tr>
      <w:tr w:rsidR="00DA3DFF" w:rsidRPr="00DA3DFF" w14:paraId="54F3F775"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A02EEAF"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2D8B52CB"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Додатковий капітал, грн</w:t>
            </w:r>
          </w:p>
        </w:tc>
      </w:tr>
      <w:tr w:rsidR="00DA3DFF" w:rsidRPr="00DA3DFF" w14:paraId="65C3D83D"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2E6928CF"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34F56DB"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Нерозподілений прибуток на початок звітного року, грн</w:t>
            </w:r>
          </w:p>
        </w:tc>
      </w:tr>
      <w:tr w:rsidR="00DA3DFF" w:rsidRPr="00DA3DFF" w14:paraId="1526BC29"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254B7D58"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5C1462FF"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DA3DFF" w:rsidRPr="00DA3DFF" w14:paraId="3A05CFD6"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A0D3D7A"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38FC16DC"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Неоплачений статутний капітал, грн</w:t>
            </w:r>
          </w:p>
        </w:tc>
      </w:tr>
      <w:tr w:rsidR="00DA3DFF" w:rsidRPr="00DA3DFF" w14:paraId="679FF29C"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C031D63"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6E8B0DDE"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Вилучений статутний капітал, грн</w:t>
            </w:r>
          </w:p>
        </w:tc>
      </w:tr>
      <w:tr w:rsidR="00DA3DFF" w:rsidRPr="00DA3DFF" w14:paraId="4CDCEC55" w14:textId="77777777" w:rsidTr="00F37338">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E2B3956"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5B43A34F"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Прострочена понад 30 днів дебіторська заборгованість, грн</w:t>
            </w:r>
          </w:p>
        </w:tc>
      </w:tr>
      <w:tr w:rsidR="00DA3DFF" w:rsidRPr="00DA3DFF" w14:paraId="0D339E47" w14:textId="77777777" w:rsidTr="00F37338">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2636287"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49C7B33A"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Довгострокова дебіторська заборгованість, в тому числі пролонгована, термін сплати якої не настав, грн</w:t>
            </w:r>
          </w:p>
        </w:tc>
      </w:tr>
      <w:tr w:rsidR="00DA3DFF" w:rsidRPr="00DA3DFF" w14:paraId="3167CE9C"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104BB3FB"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434461C6"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Короткострокова дебіторська заборгованість, сумарний строк пролонгації якої перевищує 30 днів та термін сплати якої не настав, грн</w:t>
            </w:r>
          </w:p>
        </w:tc>
      </w:tr>
      <w:tr w:rsidR="00DA3DFF" w:rsidRPr="00DA3DFF" w14:paraId="2AD67190"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66DFCCD"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74884546"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Нематеріальні активи за залишковою вартістю, грн</w:t>
            </w:r>
          </w:p>
        </w:tc>
      </w:tr>
      <w:tr w:rsidR="00DA3DFF" w:rsidRPr="00DA3DFF" w14:paraId="61EF7021"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FCF60C6"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51C0865D"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Капітальні вкладення у нематеріальні активи, грн</w:t>
            </w:r>
          </w:p>
        </w:tc>
      </w:tr>
      <w:tr w:rsidR="00DA3DFF" w:rsidRPr="00DA3DFF" w14:paraId="24603D73"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39AD93BB"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53093C6F"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Прибуток на початок звітного року, що був розподілений у звітному році, грн</w:t>
            </w:r>
          </w:p>
        </w:tc>
      </w:tr>
      <w:tr w:rsidR="00DA3DFF" w:rsidRPr="00DA3DFF" w14:paraId="5F6CA76C"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1B22376D"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AB5117D"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Непокритий збиток на початок звітного року, грн</w:t>
            </w:r>
          </w:p>
        </w:tc>
      </w:tr>
      <w:tr w:rsidR="00DA3DFF" w:rsidRPr="00DA3DFF" w14:paraId="2916DE43"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665FD138"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4EA3C45"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Збитки поточного року (якщо фінансовим результатом є збиток), грн</w:t>
            </w:r>
          </w:p>
        </w:tc>
      </w:tr>
      <w:tr w:rsidR="00DA3DFF" w:rsidRPr="00DA3DFF" w14:paraId="27814934" w14:textId="77777777" w:rsidTr="00F37338">
        <w:trPr>
          <w:trHeight w:val="1435"/>
        </w:trPr>
        <w:tc>
          <w:tcPr>
            <w:tcW w:w="1407" w:type="dxa"/>
            <w:tcBorders>
              <w:top w:val="nil"/>
              <w:left w:val="single" w:sz="4" w:space="0" w:color="auto"/>
              <w:bottom w:val="single" w:sz="4" w:space="0" w:color="auto"/>
              <w:right w:val="single" w:sz="4" w:space="0" w:color="auto"/>
            </w:tcBorders>
            <w:shd w:val="clear" w:color="auto" w:fill="auto"/>
            <w:vAlign w:val="center"/>
          </w:tcPr>
          <w:p w14:paraId="6D5976D8"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C3139C0"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Фінансові інвестиції у статутний капітал підприємств (крім приватних акціонерних товариств, акції яких перебувають у біржовому списку фондової біржі,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tr w:rsidR="00F37338" w:rsidRPr="00DA3DFF" w14:paraId="64F4DE7A" w14:textId="77777777" w:rsidTr="00F37338">
        <w:trPr>
          <w:trHeight w:val="1435"/>
        </w:trPr>
        <w:tc>
          <w:tcPr>
            <w:tcW w:w="1407" w:type="dxa"/>
            <w:tcBorders>
              <w:top w:val="nil"/>
              <w:left w:val="single" w:sz="4" w:space="0" w:color="auto"/>
              <w:bottom w:val="single" w:sz="4" w:space="0" w:color="auto"/>
              <w:right w:val="single" w:sz="4" w:space="0" w:color="auto"/>
            </w:tcBorders>
            <w:shd w:val="clear" w:color="auto" w:fill="auto"/>
            <w:vAlign w:val="center"/>
          </w:tcPr>
          <w:p w14:paraId="7378FF93" w14:textId="77777777" w:rsidR="00F37338" w:rsidRPr="004F5C7D" w:rsidRDefault="00F37338"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3F18E83" w14:textId="4BC32360" w:rsidR="00F37338" w:rsidRPr="004F5C7D" w:rsidRDefault="00F37338"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F37338" w:rsidRPr="00DA3DFF" w14:paraId="4E52C363" w14:textId="77777777" w:rsidTr="00F37338">
        <w:tc>
          <w:tcPr>
            <w:tcW w:w="1407" w:type="dxa"/>
            <w:tcBorders>
              <w:left w:val="single" w:sz="4" w:space="0" w:color="auto"/>
              <w:bottom w:val="single" w:sz="4" w:space="0" w:color="auto"/>
              <w:right w:val="single" w:sz="4" w:space="0" w:color="auto"/>
            </w:tcBorders>
            <w:shd w:val="clear" w:color="auto" w:fill="auto"/>
            <w:vAlign w:val="center"/>
          </w:tcPr>
          <w:p w14:paraId="00D33EE4" w14:textId="77777777" w:rsidR="00F37338" w:rsidRPr="004F5C7D" w:rsidRDefault="00F37338" w:rsidP="00D41483">
            <w:pPr>
              <w:pStyle w:val="a3"/>
              <w:numPr>
                <w:ilvl w:val="0"/>
                <w:numId w:val="2"/>
              </w:numPr>
              <w:rPr>
                <w:rFonts w:ascii="Times New Roman" w:hAnsi="Times New Roman" w:cs="Times New Roman"/>
                <w:color w:val="000000"/>
                <w:sz w:val="28"/>
                <w:szCs w:val="28"/>
              </w:rPr>
            </w:pPr>
          </w:p>
        </w:tc>
        <w:tc>
          <w:tcPr>
            <w:tcW w:w="8082" w:type="dxa"/>
            <w:tcBorders>
              <w:top w:val="nil"/>
              <w:left w:val="nil"/>
              <w:bottom w:val="single" w:sz="4" w:space="0" w:color="auto"/>
              <w:right w:val="single" w:sz="4" w:space="0" w:color="auto"/>
            </w:tcBorders>
            <w:shd w:val="clear" w:color="auto" w:fill="auto"/>
            <w:vAlign w:val="center"/>
          </w:tcPr>
          <w:p w14:paraId="43206F18" w14:textId="77777777" w:rsidR="00F37338" w:rsidRPr="004F5C7D" w:rsidRDefault="00F37338"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 xml:space="preserve">Балансова вартість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w:t>
            </w:r>
            <w:r w:rsidRPr="004F5C7D">
              <w:rPr>
                <w:rFonts w:ascii="Times New Roman" w:hAnsi="Times New Roman" w:cs="Times New Roman"/>
                <w:color w:val="000000"/>
                <w:sz w:val="28"/>
                <w:szCs w:val="28"/>
              </w:rPr>
              <w:lastRenderedPageBreak/>
              <w:t>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DA3DFF" w:rsidRPr="00DA3DFF" w14:paraId="197002C9" w14:textId="77777777" w:rsidTr="00F37338">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81E7FD6"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251B0A89"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 xml:space="preserve">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rsidRPr="004F5C7D">
              <w:rPr>
                <w:rFonts w:ascii="Times New Roman" w:hAnsi="Times New Roman" w:cs="Times New Roman"/>
                <w:color w:val="000000"/>
                <w:sz w:val="28"/>
                <w:szCs w:val="28"/>
              </w:rPr>
              <w:t>зупинено</w:t>
            </w:r>
            <w:proofErr w:type="spellEnd"/>
            <w:r w:rsidRPr="004F5C7D">
              <w:rPr>
                <w:rFonts w:ascii="Times New Roman" w:hAnsi="Times New Roman" w:cs="Times New Roman"/>
                <w:color w:val="000000"/>
                <w:sz w:val="28"/>
                <w:szCs w:val="28"/>
              </w:rPr>
              <w:t xml:space="preserve"> внесення змін до системи депозитарного обліку цінних паперів або обіг яких </w:t>
            </w:r>
            <w:proofErr w:type="spellStart"/>
            <w:r w:rsidRPr="004F5C7D">
              <w:rPr>
                <w:rFonts w:ascii="Times New Roman" w:hAnsi="Times New Roman" w:cs="Times New Roman"/>
                <w:color w:val="000000"/>
                <w:sz w:val="28"/>
                <w:szCs w:val="28"/>
              </w:rPr>
              <w:t>зупинено</w:t>
            </w:r>
            <w:proofErr w:type="spellEnd"/>
            <w:r w:rsidRPr="004F5C7D">
              <w:rPr>
                <w:rFonts w:ascii="Times New Roman" w:hAnsi="Times New Roman" w:cs="Times New Roman"/>
                <w:color w:val="000000"/>
                <w:sz w:val="28"/>
                <w:szCs w:val="28"/>
              </w:rP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DA3DFF" w:rsidRPr="00DA3DFF" w14:paraId="7D7BBB90"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927AAC3"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1CF0191"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Гудвіл, грн</w:t>
            </w:r>
          </w:p>
        </w:tc>
      </w:tr>
      <w:tr w:rsidR="00DA3DFF" w:rsidRPr="00DA3DFF" w14:paraId="1AE7D95B"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0ED783BF"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7CE5E750"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DA3DFF" w:rsidRPr="00DA3DFF" w14:paraId="19E38C95"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4B8A441C"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263CE07"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Відстрочені податкові активи, грн</w:t>
            </w:r>
          </w:p>
        </w:tc>
      </w:tr>
      <w:tr w:rsidR="00DA3DFF" w:rsidRPr="00DA3DFF" w14:paraId="67629826"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4994DFC8"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6F59E993"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Витрати майбутніх періодів, грн</w:t>
            </w:r>
          </w:p>
        </w:tc>
      </w:tr>
      <w:tr w:rsidR="00DA3DFF" w:rsidRPr="00DA3DFF" w14:paraId="51DFFF0E"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4C73CB70"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150552B"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Внески до незареєстрованого статутного капіталу, грн</w:t>
            </w:r>
          </w:p>
        </w:tc>
      </w:tr>
      <w:tr w:rsidR="00DA3DFF" w:rsidRPr="00DA3DFF" w14:paraId="70E66F07"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19488AEA"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0F05E9C9"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Капітал у дооцінках, грн</w:t>
            </w:r>
          </w:p>
        </w:tc>
      </w:tr>
      <w:tr w:rsidR="00DA3DFF" w:rsidRPr="00DA3DFF" w14:paraId="1509420B"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533E436C"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tcPr>
          <w:p w14:paraId="16AD6506"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Розмір фіксованих накладних витрат, грн</w:t>
            </w:r>
          </w:p>
        </w:tc>
      </w:tr>
      <w:tr w:rsidR="00DA3DFF" w:rsidRPr="00DA3DFF" w14:paraId="6EDEE990" w14:textId="77777777" w:rsidTr="00F37338">
        <w:trPr>
          <w:trHeight w:val="1277"/>
        </w:trPr>
        <w:tc>
          <w:tcPr>
            <w:tcW w:w="1407" w:type="dxa"/>
            <w:tcBorders>
              <w:top w:val="nil"/>
              <w:left w:val="single" w:sz="4" w:space="0" w:color="auto"/>
              <w:bottom w:val="single" w:sz="4" w:space="0" w:color="auto"/>
              <w:right w:val="single" w:sz="4" w:space="0" w:color="auto"/>
            </w:tcBorders>
            <w:shd w:val="clear" w:color="auto" w:fill="auto"/>
            <w:vAlign w:val="center"/>
          </w:tcPr>
          <w:p w14:paraId="1F374F94"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27F4A15B"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DA3DFF" w:rsidRPr="00DA3DFF" w14:paraId="255980F7"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8B31A6B"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0A09644C"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Витрати на утримання адміністративно-управлінського персоналу, грн</w:t>
            </w:r>
          </w:p>
        </w:tc>
      </w:tr>
      <w:tr w:rsidR="00DA3DFF" w:rsidRPr="00DA3DFF" w14:paraId="7AC2FE4F" w14:textId="77777777" w:rsidTr="00F37338">
        <w:trPr>
          <w:trHeight w:val="321"/>
        </w:trPr>
        <w:tc>
          <w:tcPr>
            <w:tcW w:w="1407" w:type="dxa"/>
            <w:tcBorders>
              <w:top w:val="nil"/>
              <w:left w:val="single" w:sz="4" w:space="0" w:color="auto"/>
              <w:bottom w:val="single" w:sz="4" w:space="0" w:color="auto"/>
              <w:right w:val="single" w:sz="4" w:space="0" w:color="auto"/>
            </w:tcBorders>
            <w:shd w:val="clear" w:color="auto" w:fill="auto"/>
            <w:vAlign w:val="center"/>
          </w:tcPr>
          <w:p w14:paraId="75B556E6"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48D3A738"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Витрати на службові відрядження, грн</w:t>
            </w:r>
          </w:p>
        </w:tc>
      </w:tr>
      <w:tr w:rsidR="00DA3DFF" w:rsidRPr="00DA3DFF" w14:paraId="09F5DAB4"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25A31D47"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7DA6FAF1"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 xml:space="preserve">Витрати на утримання основних засобів, інших матеріальних необоротних активів загальногосподарського призначення </w:t>
            </w:r>
            <w:r w:rsidRPr="004F5C7D">
              <w:rPr>
                <w:rFonts w:ascii="Times New Roman" w:hAnsi="Times New Roman" w:cs="Times New Roman"/>
                <w:color w:val="000000"/>
                <w:sz w:val="28"/>
                <w:szCs w:val="28"/>
              </w:rPr>
              <w:lastRenderedPageBreak/>
              <w:t>(оренда, амортизація, ремонт, страхування майна, комунальні послуги), грн</w:t>
            </w:r>
          </w:p>
        </w:tc>
      </w:tr>
      <w:tr w:rsidR="00DA3DFF" w:rsidRPr="00DA3DFF" w14:paraId="11257D2D"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37D3D547"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54A9CCE0"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Витрати на оплату послуг зв’язку, грн</w:t>
            </w:r>
          </w:p>
        </w:tc>
      </w:tr>
      <w:tr w:rsidR="00DA3DFF" w:rsidRPr="00DA3DFF" w14:paraId="49EEDC81"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663FEBFB"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3D4CE4B6"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Винагороди за консультаційні послуги, грн</w:t>
            </w:r>
          </w:p>
        </w:tc>
      </w:tr>
      <w:tr w:rsidR="00DA3DFF" w:rsidRPr="00DA3DFF" w14:paraId="7D1057EA"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6B8E1827"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45418176"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Винагороди за інформаційні послуги, грн</w:t>
            </w:r>
          </w:p>
        </w:tc>
      </w:tr>
      <w:tr w:rsidR="00DA3DFF" w:rsidRPr="00DA3DFF" w14:paraId="084FBAA5"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709BA38"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4B39ED41"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Винагороди за аудиторські послуги, грн</w:t>
            </w:r>
          </w:p>
        </w:tc>
      </w:tr>
      <w:tr w:rsidR="00DA3DFF" w:rsidRPr="00DA3DFF" w14:paraId="61BCE984"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75B81239"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319FFD15"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Винагороди за інші послуги, грн</w:t>
            </w:r>
          </w:p>
        </w:tc>
      </w:tr>
      <w:tr w:rsidR="00DA3DFF" w:rsidRPr="00DA3DFF" w14:paraId="3D8FE8C8"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27575375"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5C29758F"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Плата за розрахунково-касове обслуговування та інші послуги банків, грн</w:t>
            </w:r>
          </w:p>
        </w:tc>
      </w:tr>
      <w:tr w:rsidR="00DA3DFF" w:rsidRPr="00DA3DFF" w14:paraId="55A1BE20" w14:textId="77777777" w:rsidTr="00F37338">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4E227D5"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031EF4CB"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Витрати на охорону приміщень, грн</w:t>
            </w:r>
          </w:p>
        </w:tc>
      </w:tr>
      <w:tr w:rsidR="00DA3DFF" w:rsidRPr="00DA3DFF" w14:paraId="1A02BE3A" w14:textId="77777777" w:rsidTr="00F37338">
        <w:tc>
          <w:tcPr>
            <w:tcW w:w="1407" w:type="dxa"/>
            <w:tcBorders>
              <w:top w:val="nil"/>
              <w:left w:val="single" w:sz="4" w:space="0" w:color="auto"/>
              <w:bottom w:val="single" w:sz="4" w:space="0" w:color="auto"/>
              <w:right w:val="single" w:sz="4" w:space="0" w:color="auto"/>
            </w:tcBorders>
            <w:shd w:val="clear" w:color="auto" w:fill="auto"/>
            <w:vAlign w:val="center"/>
          </w:tcPr>
          <w:p w14:paraId="3907BC2D" w14:textId="77777777" w:rsidR="00DA3DFF" w:rsidRPr="004F5C7D" w:rsidRDefault="00DA3DFF" w:rsidP="00D41483">
            <w:pPr>
              <w:pStyle w:val="a3"/>
              <w:numPr>
                <w:ilvl w:val="0"/>
                <w:numId w:val="2"/>
              </w:numPr>
              <w:rPr>
                <w:rFonts w:ascii="Times New Roman" w:hAnsi="Times New Roman" w:cs="Times New Roman"/>
                <w:color w:val="000000"/>
                <w:sz w:val="28"/>
                <w:szCs w:val="28"/>
              </w:rPr>
            </w:pPr>
          </w:p>
        </w:tc>
        <w:tc>
          <w:tcPr>
            <w:tcW w:w="8082" w:type="dxa"/>
            <w:tcBorders>
              <w:top w:val="single" w:sz="4" w:space="0" w:color="auto"/>
              <w:left w:val="nil"/>
              <w:bottom w:val="single" w:sz="4" w:space="0" w:color="auto"/>
              <w:right w:val="single" w:sz="4" w:space="0" w:color="auto"/>
            </w:tcBorders>
            <w:shd w:val="clear" w:color="auto" w:fill="auto"/>
            <w:vAlign w:val="center"/>
            <w:hideMark/>
          </w:tcPr>
          <w:p w14:paraId="78CAE010" w14:textId="77777777" w:rsidR="00DA3DFF" w:rsidRPr="004F5C7D" w:rsidRDefault="00DA3DFF" w:rsidP="00DA3DFF">
            <w:pPr>
              <w:rPr>
                <w:rFonts w:ascii="Times New Roman" w:hAnsi="Times New Roman" w:cs="Times New Roman"/>
                <w:color w:val="000000"/>
                <w:sz w:val="28"/>
                <w:szCs w:val="28"/>
              </w:rPr>
            </w:pPr>
            <w:r w:rsidRPr="004F5C7D">
              <w:rPr>
                <w:rFonts w:ascii="Times New Roman" w:hAnsi="Times New Roman" w:cs="Times New Roman"/>
                <w:color w:val="000000"/>
                <w:sz w:val="28"/>
                <w:szCs w:val="28"/>
              </w:rPr>
              <w:t>Примітки</w:t>
            </w:r>
          </w:p>
        </w:tc>
      </w:tr>
    </w:tbl>
    <w:p w14:paraId="764866A6" w14:textId="77777777" w:rsidR="0024620F" w:rsidRDefault="00DA3DFF" w:rsidP="00D41483">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3" w:name="n523"/>
      <w:bookmarkEnd w:id="3"/>
      <w:r w:rsidRPr="0024620F">
        <w:rPr>
          <w:rFonts w:ascii="Times New Roman" w:eastAsia="Times New Roman" w:hAnsi="Times New Roman" w:cs="Times New Roman"/>
          <w:color w:val="000000"/>
          <w:sz w:val="24"/>
          <w:szCs w:val="24"/>
          <w:lang w:eastAsia="uk-UA"/>
        </w:rPr>
        <w:t>__________</w:t>
      </w:r>
      <w:r w:rsidR="0024620F">
        <w:rPr>
          <w:rFonts w:ascii="Times New Roman" w:eastAsia="Times New Roman" w:hAnsi="Times New Roman" w:cs="Times New Roman"/>
          <w:color w:val="000000"/>
          <w:sz w:val="24"/>
          <w:szCs w:val="24"/>
          <w:lang w:eastAsia="uk-UA"/>
        </w:rPr>
        <w:t>________________</w:t>
      </w:r>
    </w:p>
    <w:p w14:paraId="5296D541" w14:textId="77777777" w:rsidR="0024620F" w:rsidRDefault="0024620F" w:rsidP="00D41483">
      <w:pPr>
        <w:shd w:val="clear" w:color="auto" w:fill="FFFFFF"/>
        <w:spacing w:before="150" w:after="150" w:line="240" w:lineRule="auto"/>
        <w:rPr>
          <w:rFonts w:ascii="Times New Roman" w:eastAsia="Times New Roman" w:hAnsi="Times New Roman" w:cs="Times New Roman"/>
          <w:b/>
          <w:bCs/>
          <w:color w:val="000000"/>
          <w:sz w:val="24"/>
          <w:szCs w:val="24"/>
          <w:vertAlign w:val="superscript"/>
          <w:lang w:eastAsia="uk-UA"/>
        </w:rPr>
      </w:pPr>
      <w:r w:rsidRPr="00DA3DFF">
        <w:rPr>
          <w:rFonts w:ascii="Times New Roman" w:eastAsia="Times New Roman" w:hAnsi="Times New Roman" w:cs="Times New Roman"/>
          <w:color w:val="000000"/>
          <w:sz w:val="24"/>
          <w:szCs w:val="24"/>
          <w:lang w:eastAsia="uk-UA"/>
        </w:rPr>
        <w:t>Примітка.</w:t>
      </w:r>
      <w:r>
        <w:rPr>
          <w:rFonts w:ascii="Times New Roman" w:eastAsia="Times New Roman" w:hAnsi="Times New Roman" w:cs="Times New Roman"/>
          <w:color w:val="000000"/>
          <w:sz w:val="24"/>
          <w:szCs w:val="24"/>
          <w:lang w:eastAsia="uk-UA"/>
        </w:rPr>
        <w:t xml:space="preserve"> </w:t>
      </w:r>
      <w:r w:rsidRPr="00DA3DFF">
        <w:rPr>
          <w:rFonts w:ascii="Times New Roman" w:eastAsia="Times New Roman" w:hAnsi="Times New Roman" w:cs="Times New Roman"/>
          <w:color w:val="000000"/>
          <w:sz w:val="24"/>
          <w:szCs w:val="24"/>
          <w:lang w:eastAsia="uk-UA"/>
        </w:rPr>
        <w:t>Дані таблиці у гривнях зазначаються з округленням до двох знаків після коми.</w:t>
      </w:r>
    </w:p>
    <w:p w14:paraId="7F800EA1" w14:textId="77777777" w:rsidR="0024620F" w:rsidRDefault="0024620F" w:rsidP="00D41483">
      <w:pPr>
        <w:shd w:val="clear" w:color="auto" w:fill="FFFFFF"/>
        <w:spacing w:before="150" w:after="150" w:line="240" w:lineRule="auto"/>
        <w:rPr>
          <w:rFonts w:ascii="Times New Roman" w:eastAsia="Times New Roman" w:hAnsi="Times New Roman" w:cs="Times New Roman"/>
          <w:b/>
          <w:bCs/>
          <w:color w:val="000000"/>
          <w:sz w:val="24"/>
          <w:szCs w:val="24"/>
          <w:vertAlign w:val="superscript"/>
          <w:lang w:eastAsia="uk-UA"/>
        </w:rPr>
      </w:pPr>
      <w:r>
        <w:rPr>
          <w:rFonts w:ascii="Times New Roman" w:eastAsia="Times New Roman" w:hAnsi="Times New Roman" w:cs="Times New Roman"/>
          <w:b/>
          <w:bCs/>
          <w:color w:val="000000"/>
          <w:sz w:val="24"/>
          <w:szCs w:val="24"/>
          <w:vertAlign w:val="superscript"/>
          <w:lang w:eastAsia="uk-UA"/>
        </w:rPr>
        <w:t>___________________________________________</w:t>
      </w:r>
    </w:p>
    <w:p w14:paraId="6EBE2588" w14:textId="77777777" w:rsidR="00E816AC" w:rsidRDefault="00DA3DFF" w:rsidP="00D41483">
      <w:pPr>
        <w:shd w:val="clear" w:color="auto" w:fill="FFFFFF"/>
        <w:spacing w:before="150" w:after="150" w:line="240" w:lineRule="auto"/>
        <w:rPr>
          <w:rFonts w:ascii="Times New Roman" w:eastAsia="Times New Roman" w:hAnsi="Times New Roman" w:cs="Times New Roman"/>
          <w:color w:val="000000"/>
          <w:sz w:val="24"/>
          <w:szCs w:val="24"/>
          <w:lang w:eastAsia="uk-UA"/>
        </w:rPr>
      </w:pPr>
      <w:r w:rsidRPr="0024620F">
        <w:rPr>
          <w:rFonts w:ascii="Times New Roman" w:eastAsia="Times New Roman" w:hAnsi="Times New Roman" w:cs="Times New Roman"/>
          <w:b/>
          <w:bCs/>
          <w:color w:val="000000"/>
          <w:sz w:val="24"/>
          <w:szCs w:val="24"/>
          <w:vertAlign w:val="superscript"/>
          <w:lang w:eastAsia="uk-UA"/>
        </w:rPr>
        <w:t>-1</w:t>
      </w:r>
      <w:r w:rsidRPr="0024620F">
        <w:rPr>
          <w:rFonts w:ascii="Times New Roman" w:eastAsia="Times New Roman" w:hAnsi="Times New Roman" w:cs="Times New Roman"/>
          <w:color w:val="000000"/>
          <w:sz w:val="24"/>
          <w:szCs w:val="24"/>
          <w:lang w:eastAsia="uk-UA"/>
        </w:rPr>
        <w:t> Зазначається з округленням до чотирьох знаків після коми.</w:t>
      </w:r>
    </w:p>
    <w:p w14:paraId="0FB2B3BE" w14:textId="77777777" w:rsidR="0024620F" w:rsidRDefault="0024620F" w:rsidP="0024620F">
      <w:pPr>
        <w:pStyle w:val="rvps2"/>
        <w:shd w:val="clear" w:color="auto" w:fill="FFFFFF"/>
        <w:spacing w:before="0" w:beforeAutospacing="0" w:after="0" w:afterAutospacing="0"/>
        <w:jc w:val="both"/>
        <w:rPr>
          <w:bCs/>
          <w:sz w:val="28"/>
          <w:szCs w:val="28"/>
          <w:lang w:eastAsia="en-US"/>
        </w:rPr>
      </w:pPr>
    </w:p>
    <w:p w14:paraId="55A631B3" w14:textId="77777777" w:rsidR="0024620F" w:rsidRPr="004D12D8" w:rsidRDefault="0024620F" w:rsidP="0024620F">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Директор департаменту методології</w:t>
      </w:r>
    </w:p>
    <w:p w14:paraId="63CD8A46" w14:textId="77777777" w:rsidR="0024620F" w:rsidRPr="004D12D8" w:rsidRDefault="0024620F" w:rsidP="0024620F">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регулювання професійних учасників</w:t>
      </w:r>
    </w:p>
    <w:p w14:paraId="5F3E8EFF" w14:textId="77777777" w:rsidR="0024620F" w:rsidRPr="004D12D8" w:rsidRDefault="0024620F" w:rsidP="0024620F">
      <w:pPr>
        <w:pStyle w:val="rvps2"/>
        <w:shd w:val="clear" w:color="auto" w:fill="FFFFFF"/>
        <w:spacing w:before="0" w:beforeAutospacing="0" w:after="0" w:afterAutospacing="0"/>
        <w:jc w:val="both"/>
        <w:rPr>
          <w:bCs/>
          <w:color w:val="000000"/>
          <w:sz w:val="28"/>
          <w:szCs w:val="28"/>
        </w:rPr>
      </w:pPr>
      <w:r w:rsidRPr="004D12D8">
        <w:rPr>
          <w:bCs/>
          <w:sz w:val="28"/>
          <w:szCs w:val="28"/>
          <w:lang w:eastAsia="en-US"/>
        </w:rPr>
        <w:t>ринку цінних паперів</w:t>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t>Ірина КУРОЧКІНА</w:t>
      </w:r>
    </w:p>
    <w:sectPr w:rsidR="0024620F" w:rsidRPr="004D12D8" w:rsidSect="00196188">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B339" w14:textId="77777777" w:rsidR="00EC2D3C" w:rsidRDefault="00EC2D3C" w:rsidP="00196188">
      <w:pPr>
        <w:spacing w:after="0" w:line="240" w:lineRule="auto"/>
      </w:pPr>
      <w:r>
        <w:separator/>
      </w:r>
    </w:p>
  </w:endnote>
  <w:endnote w:type="continuationSeparator" w:id="0">
    <w:p w14:paraId="72747071" w14:textId="77777777" w:rsidR="00EC2D3C" w:rsidRDefault="00EC2D3C" w:rsidP="0019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D8A00" w14:textId="77777777" w:rsidR="00EC2D3C" w:rsidRDefault="00EC2D3C" w:rsidP="00196188">
      <w:pPr>
        <w:spacing w:after="0" w:line="240" w:lineRule="auto"/>
      </w:pPr>
      <w:r>
        <w:separator/>
      </w:r>
    </w:p>
  </w:footnote>
  <w:footnote w:type="continuationSeparator" w:id="0">
    <w:p w14:paraId="3200D31B" w14:textId="77777777" w:rsidR="00EC2D3C" w:rsidRDefault="00EC2D3C" w:rsidP="0019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62406826"/>
      <w:docPartObj>
        <w:docPartGallery w:val="Page Numbers (Top of Page)"/>
        <w:docPartUnique/>
      </w:docPartObj>
    </w:sdtPr>
    <w:sdtEndPr/>
    <w:sdtContent>
      <w:p w14:paraId="3770FFAB" w14:textId="72C7AA6D" w:rsidR="00196188" w:rsidRPr="00196188" w:rsidRDefault="00196188" w:rsidP="00196188">
        <w:pPr>
          <w:pStyle w:val="a4"/>
          <w:jc w:val="center"/>
          <w:rPr>
            <w:rFonts w:ascii="Times New Roman" w:hAnsi="Times New Roman" w:cs="Times New Roman"/>
            <w:sz w:val="28"/>
            <w:szCs w:val="28"/>
          </w:rPr>
        </w:pPr>
        <w:r w:rsidRPr="00196188">
          <w:rPr>
            <w:rFonts w:ascii="Times New Roman" w:hAnsi="Times New Roman" w:cs="Times New Roman"/>
            <w:sz w:val="28"/>
            <w:szCs w:val="28"/>
          </w:rPr>
          <w:fldChar w:fldCharType="begin"/>
        </w:r>
        <w:r w:rsidRPr="00196188">
          <w:rPr>
            <w:rFonts w:ascii="Times New Roman" w:hAnsi="Times New Roman" w:cs="Times New Roman"/>
            <w:sz w:val="28"/>
            <w:szCs w:val="28"/>
          </w:rPr>
          <w:instrText>PAGE   \* MERGEFORMAT</w:instrText>
        </w:r>
        <w:r w:rsidRPr="00196188">
          <w:rPr>
            <w:rFonts w:ascii="Times New Roman" w:hAnsi="Times New Roman" w:cs="Times New Roman"/>
            <w:sz w:val="28"/>
            <w:szCs w:val="28"/>
          </w:rPr>
          <w:fldChar w:fldCharType="separate"/>
        </w:r>
        <w:r w:rsidR="006F7F3E">
          <w:rPr>
            <w:rFonts w:ascii="Times New Roman" w:hAnsi="Times New Roman" w:cs="Times New Roman"/>
            <w:noProof/>
            <w:sz w:val="28"/>
            <w:szCs w:val="28"/>
          </w:rPr>
          <w:t>4</w:t>
        </w:r>
        <w:r w:rsidRPr="00196188">
          <w:rPr>
            <w:rFonts w:ascii="Times New Roman" w:hAnsi="Times New Roman" w:cs="Times New Roman"/>
            <w:sz w:val="28"/>
            <w:szCs w:val="28"/>
          </w:rPr>
          <w:fldChar w:fldCharType="end"/>
        </w:r>
      </w:p>
      <w:p w14:paraId="050D0AFB" w14:textId="77777777" w:rsidR="00196188" w:rsidRPr="00196188" w:rsidRDefault="00196188" w:rsidP="00196188">
        <w:pPr>
          <w:pStyle w:val="a4"/>
          <w:jc w:val="right"/>
          <w:rPr>
            <w:sz w:val="28"/>
            <w:szCs w:val="28"/>
          </w:rPr>
        </w:pPr>
        <w:proofErr w:type="spellStart"/>
        <w:r w:rsidRPr="00196188">
          <w:rPr>
            <w:rFonts w:ascii="Times New Roman" w:hAnsi="Times New Roman" w:cs="Times New Roman"/>
            <w:sz w:val="28"/>
            <w:szCs w:val="28"/>
            <w:lang w:val="en-US"/>
          </w:rPr>
          <w:t>Продовження</w:t>
        </w:r>
        <w:proofErr w:type="spellEnd"/>
        <w:r w:rsidRPr="00196188">
          <w:rPr>
            <w:rFonts w:ascii="Times New Roman" w:hAnsi="Times New Roman" w:cs="Times New Roman"/>
            <w:sz w:val="28"/>
            <w:szCs w:val="28"/>
            <w:lang w:val="en-US"/>
          </w:rPr>
          <w:t xml:space="preserve"> </w:t>
        </w:r>
        <w:proofErr w:type="spellStart"/>
        <w:r w:rsidRPr="00196188">
          <w:rPr>
            <w:rFonts w:ascii="Times New Roman" w:hAnsi="Times New Roman" w:cs="Times New Roman"/>
            <w:sz w:val="28"/>
            <w:szCs w:val="28"/>
            <w:lang w:val="en-US"/>
          </w:rPr>
          <w:t>додатка</w:t>
        </w:r>
        <w:proofErr w:type="spellEnd"/>
        <w:r w:rsidRPr="00196188">
          <w:rPr>
            <w:rFonts w:ascii="Times New Roman" w:hAnsi="Times New Roman" w:cs="Times New Roman"/>
            <w:sz w:val="28"/>
            <w:szCs w:val="28"/>
            <w:lang w:val="en-US"/>
          </w:rPr>
          <w:t xml:space="preserve"> 6</w:t>
        </w:r>
      </w:p>
    </w:sdtContent>
  </w:sdt>
  <w:p w14:paraId="606AFA13" w14:textId="77777777" w:rsidR="00196188" w:rsidRPr="00196188" w:rsidRDefault="00196188">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541"/>
    <w:multiLevelType w:val="hybridMultilevel"/>
    <w:tmpl w:val="6C404F5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D6BEF"/>
    <w:multiLevelType w:val="hybridMultilevel"/>
    <w:tmpl w:val="DA765ED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9A"/>
    <w:rsid w:val="000455EB"/>
    <w:rsid w:val="00126C2B"/>
    <w:rsid w:val="00181C0E"/>
    <w:rsid w:val="00196188"/>
    <w:rsid w:val="001A50C8"/>
    <w:rsid w:val="0024620F"/>
    <w:rsid w:val="002B04DD"/>
    <w:rsid w:val="00452788"/>
    <w:rsid w:val="00467986"/>
    <w:rsid w:val="004D5B66"/>
    <w:rsid w:val="004F5C7D"/>
    <w:rsid w:val="0065126C"/>
    <w:rsid w:val="006D2B87"/>
    <w:rsid w:val="006F7F3E"/>
    <w:rsid w:val="00744C42"/>
    <w:rsid w:val="0080786D"/>
    <w:rsid w:val="009613C5"/>
    <w:rsid w:val="00A8567A"/>
    <w:rsid w:val="00B65090"/>
    <w:rsid w:val="00C64F9A"/>
    <w:rsid w:val="00C84345"/>
    <w:rsid w:val="00CE481B"/>
    <w:rsid w:val="00D41483"/>
    <w:rsid w:val="00DA3DFF"/>
    <w:rsid w:val="00E40AF1"/>
    <w:rsid w:val="00E512D3"/>
    <w:rsid w:val="00E57F7A"/>
    <w:rsid w:val="00E816AC"/>
    <w:rsid w:val="00EC2D3C"/>
    <w:rsid w:val="00F373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CA34"/>
  <w15:docId w15:val="{524AD9C9-AFBF-496A-AA6D-637A005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F9A"/>
  </w:style>
  <w:style w:type="paragraph" w:styleId="3">
    <w:name w:val="heading 3"/>
    <w:basedOn w:val="a"/>
    <w:next w:val="a"/>
    <w:link w:val="30"/>
    <w:qFormat/>
    <w:rsid w:val="00126C2B"/>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6C2B"/>
    <w:rPr>
      <w:rFonts w:ascii="Arial" w:eastAsia="Times New Roman" w:hAnsi="Arial" w:cs="Arial"/>
      <w:b/>
      <w:bCs/>
      <w:sz w:val="26"/>
      <w:szCs w:val="26"/>
      <w:lang w:val="en-US"/>
    </w:rPr>
  </w:style>
  <w:style w:type="paragraph" w:styleId="a3">
    <w:name w:val="List Paragraph"/>
    <w:basedOn w:val="a"/>
    <w:uiPriority w:val="34"/>
    <w:qFormat/>
    <w:rsid w:val="00126C2B"/>
    <w:pPr>
      <w:ind w:left="720"/>
      <w:contextualSpacing/>
    </w:pPr>
  </w:style>
  <w:style w:type="paragraph" w:customStyle="1" w:styleId="rvps2">
    <w:name w:val="rvps2"/>
    <w:basedOn w:val="a"/>
    <w:rsid w:val="002462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1961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6188"/>
  </w:style>
  <w:style w:type="paragraph" w:styleId="a6">
    <w:name w:val="footer"/>
    <w:basedOn w:val="a"/>
    <w:link w:val="a7"/>
    <w:uiPriority w:val="99"/>
    <w:unhideWhenUsed/>
    <w:rsid w:val="001961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83">
      <w:bodyDiv w:val="1"/>
      <w:marLeft w:val="0"/>
      <w:marRight w:val="0"/>
      <w:marTop w:val="0"/>
      <w:marBottom w:val="0"/>
      <w:divBdr>
        <w:top w:val="none" w:sz="0" w:space="0" w:color="auto"/>
        <w:left w:val="none" w:sz="0" w:space="0" w:color="auto"/>
        <w:bottom w:val="none" w:sz="0" w:space="0" w:color="auto"/>
        <w:right w:val="none" w:sz="0" w:space="0" w:color="auto"/>
      </w:divBdr>
    </w:div>
    <w:div w:id="1094741685">
      <w:bodyDiv w:val="1"/>
      <w:marLeft w:val="0"/>
      <w:marRight w:val="0"/>
      <w:marTop w:val="0"/>
      <w:marBottom w:val="0"/>
      <w:divBdr>
        <w:top w:val="none" w:sz="0" w:space="0" w:color="auto"/>
        <w:left w:val="none" w:sz="0" w:space="0" w:color="auto"/>
        <w:bottom w:val="none" w:sz="0" w:space="0" w:color="auto"/>
        <w:right w:val="none" w:sz="0" w:space="0" w:color="auto"/>
      </w:divBdr>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5690-CB16-47D9-9ED3-53406C9C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 Кисляк</cp:lastModifiedBy>
  <cp:revision>2</cp:revision>
  <dcterms:created xsi:type="dcterms:W3CDTF">2020-06-25T17:07:00Z</dcterms:created>
  <dcterms:modified xsi:type="dcterms:W3CDTF">2020-06-25T17:07:00Z</dcterms:modified>
</cp:coreProperties>
</file>