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FC" w:rsidRPr="00C21280" w:rsidRDefault="00DB4AFC" w:rsidP="00DB4AFC">
      <w:pPr>
        <w:jc w:val="right"/>
        <w:rPr>
          <w:b/>
          <w:spacing w:val="60"/>
          <w:lang w:val="en-US"/>
        </w:rPr>
      </w:pPr>
      <w:bookmarkStart w:id="0" w:name="_GoBack"/>
      <w:bookmarkEnd w:id="0"/>
      <w:r w:rsidRPr="004642FD">
        <w:rPr>
          <w:noProof/>
          <w:spacing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05pt;margin-top:.3pt;width:67.5pt;height:78.75pt;z-index:2" fillcolor="window">
            <v:imagedata r:id="rId7" o:title=""/>
          </v:shape>
        </w:pict>
      </w:r>
    </w:p>
    <w:p w:rsidR="00DB4AFC" w:rsidRPr="002B3CAB" w:rsidRDefault="00DB4AFC" w:rsidP="00DB4AFC">
      <w:pPr>
        <w:jc w:val="center"/>
        <w:rPr>
          <w:b/>
          <w:color w:val="FFFFFF"/>
        </w:rPr>
      </w:pPr>
    </w:p>
    <w:p w:rsidR="00DB4AFC" w:rsidRPr="00ED7626" w:rsidRDefault="00DB4AFC" w:rsidP="00DB4AFC">
      <w:pPr>
        <w:pStyle w:val="4"/>
        <w:ind w:left="360" w:right="540"/>
        <w:rPr>
          <w:sz w:val="28"/>
        </w:rPr>
      </w:pPr>
    </w:p>
    <w:p w:rsidR="00DB4AFC" w:rsidRPr="00ED7626" w:rsidRDefault="00DB4AFC" w:rsidP="00DB4AFC">
      <w:pPr>
        <w:pStyle w:val="4"/>
        <w:ind w:left="360" w:right="540"/>
        <w:rPr>
          <w:sz w:val="28"/>
        </w:rPr>
      </w:pPr>
    </w:p>
    <w:p w:rsidR="00DB4AFC" w:rsidRPr="00ED7626" w:rsidRDefault="00DB4AFC" w:rsidP="00DB4AFC">
      <w:pPr>
        <w:pStyle w:val="4"/>
        <w:ind w:left="360" w:right="540"/>
        <w:rPr>
          <w:sz w:val="28"/>
        </w:rPr>
      </w:pPr>
    </w:p>
    <w:p w:rsidR="00DB4AFC" w:rsidRPr="00ED7626" w:rsidRDefault="00DB4AFC" w:rsidP="00DB4AFC">
      <w:pPr>
        <w:pStyle w:val="4"/>
        <w:ind w:left="360" w:right="540"/>
        <w:rPr>
          <w:sz w:val="28"/>
        </w:rPr>
      </w:pPr>
    </w:p>
    <w:p w:rsidR="00DB4AFC" w:rsidRPr="00ED7626" w:rsidRDefault="00DB4AFC" w:rsidP="00DB4AFC">
      <w:pPr>
        <w:pStyle w:val="4"/>
        <w:ind w:left="360" w:right="540"/>
        <w:rPr>
          <w:sz w:val="28"/>
        </w:rPr>
      </w:pPr>
      <w:r w:rsidRPr="00ED7626">
        <w:rPr>
          <w:sz w:val="28"/>
        </w:rPr>
        <w:t>НАЦІОНАЛЬНА КОМІСІЯ З ЦІННИХ ПАПЕРІВ</w:t>
      </w:r>
    </w:p>
    <w:p w:rsidR="00DB4AFC" w:rsidRPr="00ED7626" w:rsidRDefault="00DB4AFC" w:rsidP="00DB4AFC">
      <w:pPr>
        <w:pStyle w:val="1"/>
        <w:ind w:left="360" w:right="540"/>
      </w:pPr>
      <w:r w:rsidRPr="00ED7626">
        <w:t>ТА ФОНДОВОГО РИНКУ</w:t>
      </w:r>
    </w:p>
    <w:p w:rsidR="00DB4AFC" w:rsidRPr="00ED7626" w:rsidRDefault="00DB4AFC" w:rsidP="00DB4AFC">
      <w:pPr>
        <w:jc w:val="both"/>
        <w:rPr>
          <w:b/>
          <w:sz w:val="28"/>
        </w:rPr>
      </w:pPr>
      <w:r w:rsidRPr="00ED7626">
        <w:pict>
          <v:shape id="_x0000_s1027" style="position:absolute;left:0;text-align:left;margin-left:20.2pt;margin-top:5.85pt;width:424.8pt;height:7.2pt;z-index:1;mso-position-horizontal:absolute;mso-position-horizontal-relative:text;mso-position-vertical:absolute;mso-position-vertical-relative:text" coordsize="20000,20000" o:allowincell="f" path="m,l,20000r20000,l20000,,,e">
            <v:fill type="pattern"/>
            <v:path arrowok="t"/>
          </v:shape>
        </w:pict>
      </w:r>
    </w:p>
    <w:p w:rsidR="00DB4AFC" w:rsidRPr="00ED7626" w:rsidRDefault="00DB4AFC" w:rsidP="00DB4AFC">
      <w:pPr>
        <w:jc w:val="both"/>
        <w:rPr>
          <w:sz w:val="28"/>
        </w:rPr>
      </w:pPr>
    </w:p>
    <w:p w:rsidR="00DB4AFC" w:rsidRPr="00ED7626" w:rsidRDefault="00DB4AFC" w:rsidP="00DB4AFC">
      <w:pPr>
        <w:pStyle w:val="caaieiaie4"/>
        <w:widowControl/>
        <w:rPr>
          <w:rFonts w:ascii="Times New Roman" w:hAnsi="Times New Roman"/>
          <w:spacing w:val="60"/>
          <w:sz w:val="28"/>
        </w:rPr>
      </w:pPr>
      <w:r w:rsidRPr="00ED7626">
        <w:rPr>
          <w:rFonts w:ascii="Times New Roman" w:hAnsi="Times New Roman"/>
          <w:spacing w:val="60"/>
          <w:sz w:val="28"/>
        </w:rPr>
        <w:t>РІШЕННЯ</w:t>
      </w:r>
    </w:p>
    <w:p w:rsidR="00DB4AFC" w:rsidRPr="00ED7626" w:rsidRDefault="00DB4AFC" w:rsidP="00DB4AFC">
      <w:pPr>
        <w:jc w:val="both"/>
        <w:rPr>
          <w:sz w:val="28"/>
        </w:rPr>
      </w:pPr>
    </w:p>
    <w:p w:rsidR="006C63D2" w:rsidRPr="00800CD3" w:rsidRDefault="005D7209" w:rsidP="00F5724D">
      <w:pPr>
        <w:tabs>
          <w:tab w:val="left" w:pos="4500"/>
          <w:tab w:val="left" w:pos="8460"/>
        </w:tabs>
        <w:jc w:val="center"/>
        <w:rPr>
          <w:sz w:val="28"/>
          <w:lang w:val="ru-RU"/>
        </w:rPr>
      </w:pPr>
      <w:r>
        <w:rPr>
          <w:sz w:val="28"/>
          <w:lang w:val="ru-RU"/>
        </w:rPr>
        <w:t>18</w:t>
      </w:r>
      <w:r w:rsidR="00144307">
        <w:rPr>
          <w:sz w:val="28"/>
        </w:rPr>
        <w:t>.</w:t>
      </w:r>
      <w:r>
        <w:rPr>
          <w:sz w:val="28"/>
        </w:rPr>
        <w:t>06</w:t>
      </w:r>
      <w:r w:rsidR="006C63D2">
        <w:rPr>
          <w:sz w:val="28"/>
        </w:rPr>
        <w:t>.20</w:t>
      </w:r>
      <w:r w:rsidR="00033F43">
        <w:rPr>
          <w:sz w:val="28"/>
        </w:rPr>
        <w:t>20</w:t>
      </w:r>
      <w:r w:rsidR="006C63D2">
        <w:rPr>
          <w:sz w:val="28"/>
        </w:rPr>
        <w:tab/>
        <w:t>м. Київ</w:t>
      </w:r>
      <w:r w:rsidR="006C63D2">
        <w:rPr>
          <w:sz w:val="28"/>
        </w:rPr>
        <w:tab/>
        <w:t xml:space="preserve">№ </w:t>
      </w:r>
      <w:r>
        <w:rPr>
          <w:sz w:val="28"/>
          <w:lang w:val="ru-RU"/>
        </w:rPr>
        <w:t>311</w:t>
      </w:r>
    </w:p>
    <w:p w:rsidR="00DB4AFC" w:rsidRPr="00ED7626" w:rsidRDefault="00DB4AFC" w:rsidP="00DB4AFC">
      <w:pPr>
        <w:jc w:val="both"/>
      </w:pPr>
    </w:p>
    <w:p w:rsidR="002C5E21" w:rsidRPr="00EC10B1" w:rsidRDefault="002C5E21" w:rsidP="00DB4AFC">
      <w:pPr>
        <w:jc w:val="both"/>
        <w:rPr>
          <w:b/>
          <w:bCs/>
          <w:lang w:val="ru-RU"/>
        </w:rPr>
      </w:pPr>
    </w:p>
    <w:p w:rsidR="00DB4AFC" w:rsidRPr="0091024C" w:rsidRDefault="00DB4AFC" w:rsidP="00DB4AFC">
      <w:pPr>
        <w:jc w:val="both"/>
        <w:rPr>
          <w:b/>
        </w:rPr>
      </w:pPr>
      <w:r w:rsidRPr="00ED7626">
        <w:rPr>
          <w:b/>
          <w:bCs/>
        </w:rPr>
        <w:t>Щодо</w:t>
      </w:r>
      <w:r w:rsidRPr="006F4E9E">
        <w:rPr>
          <w:b/>
        </w:rPr>
        <w:t xml:space="preserve"> </w:t>
      </w:r>
      <w:r w:rsidR="00EA4948" w:rsidRPr="0091024C">
        <w:rPr>
          <w:b/>
        </w:rPr>
        <w:t>заборони</w:t>
      </w:r>
      <w:r w:rsidRPr="0091024C">
        <w:rPr>
          <w:b/>
        </w:rPr>
        <w:t xml:space="preserve"> </w:t>
      </w:r>
      <w:r w:rsidR="00800CD3" w:rsidRPr="0091024C">
        <w:rPr>
          <w:b/>
        </w:rPr>
        <w:t>торгівлі</w:t>
      </w:r>
      <w:r w:rsidRPr="0091024C">
        <w:rPr>
          <w:b/>
        </w:rPr>
        <w:t xml:space="preserve"> цінними паперами </w:t>
      </w:r>
    </w:p>
    <w:p w:rsidR="00DB4AFC" w:rsidRPr="0091024C" w:rsidRDefault="00DB4AFC" w:rsidP="00A50284">
      <w:pPr>
        <w:rPr>
          <w:b/>
          <w:bCs/>
        </w:rPr>
      </w:pPr>
    </w:p>
    <w:p w:rsidR="00DB4AFC" w:rsidRPr="00800CD3" w:rsidRDefault="00DB4AFC" w:rsidP="00DB4AFC">
      <w:pPr>
        <w:jc w:val="both"/>
        <w:rPr>
          <w:b/>
        </w:rPr>
      </w:pPr>
    </w:p>
    <w:p w:rsidR="000B71F1" w:rsidRPr="00EC10B1" w:rsidRDefault="000B71F1" w:rsidP="00DB4AFC">
      <w:pPr>
        <w:jc w:val="both"/>
        <w:rPr>
          <w:b/>
          <w:lang w:val="ru-RU"/>
        </w:rPr>
      </w:pPr>
    </w:p>
    <w:p w:rsidR="00DB4AFC" w:rsidRPr="00EA4948" w:rsidRDefault="00DB4AFC" w:rsidP="00DB4AFC">
      <w:pPr>
        <w:spacing w:before="240"/>
        <w:ind w:firstLine="709"/>
        <w:jc w:val="both"/>
        <w:rPr>
          <w:sz w:val="28"/>
          <w:szCs w:val="28"/>
          <w:u w:val="single"/>
        </w:rPr>
      </w:pPr>
      <w:r w:rsidRPr="00A95884">
        <w:rPr>
          <w:sz w:val="28"/>
          <w:szCs w:val="28"/>
        </w:rPr>
        <w:t xml:space="preserve">Відповідно до пункту </w:t>
      </w:r>
      <w:r w:rsidR="00EA4948" w:rsidRPr="008B3B42">
        <w:rPr>
          <w:sz w:val="28"/>
          <w:szCs w:val="28"/>
        </w:rPr>
        <w:t>16</w:t>
      </w:r>
      <w:r w:rsidR="00EA4948" w:rsidRPr="008B3B42">
        <w:rPr>
          <w:sz w:val="28"/>
          <w:szCs w:val="28"/>
          <w:vertAlign w:val="superscript"/>
        </w:rPr>
        <w:t>3</w:t>
      </w:r>
      <w:r w:rsidRPr="00A95884">
        <w:rPr>
          <w:sz w:val="28"/>
          <w:szCs w:val="28"/>
        </w:rPr>
        <w:t xml:space="preserve"> статті 8 Закону України «Про державне регулювання ринку цінних паперів в</w:t>
      </w:r>
      <w:r>
        <w:rPr>
          <w:sz w:val="28"/>
          <w:szCs w:val="28"/>
        </w:rPr>
        <w:t xml:space="preserve"> Україні», </w:t>
      </w:r>
      <w:r w:rsidRPr="006474D2">
        <w:rPr>
          <w:sz w:val="28"/>
          <w:szCs w:val="28"/>
        </w:rPr>
        <w:t>з метою захисту</w:t>
      </w:r>
      <w:r w:rsidRPr="000B51E2">
        <w:rPr>
          <w:sz w:val="28"/>
          <w:szCs w:val="28"/>
        </w:rPr>
        <w:t xml:space="preserve"> </w:t>
      </w:r>
      <w:r w:rsidR="00EA4948">
        <w:rPr>
          <w:sz w:val="28"/>
          <w:szCs w:val="28"/>
        </w:rPr>
        <w:t xml:space="preserve">прав </w:t>
      </w:r>
      <w:r w:rsidRPr="000B51E2">
        <w:rPr>
          <w:sz w:val="28"/>
          <w:szCs w:val="28"/>
        </w:rPr>
        <w:t>інвесторів у цінні папери</w:t>
      </w:r>
      <w:r w:rsidRPr="00BE525A">
        <w:rPr>
          <w:sz w:val="28"/>
          <w:szCs w:val="28"/>
        </w:rPr>
        <w:t>,</w:t>
      </w:r>
    </w:p>
    <w:p w:rsidR="00B873AF" w:rsidRPr="0074593F" w:rsidRDefault="00B873AF" w:rsidP="00B873AF">
      <w:pPr>
        <w:jc w:val="center"/>
        <w:rPr>
          <w:sz w:val="20"/>
          <w:szCs w:val="20"/>
        </w:rPr>
      </w:pPr>
    </w:p>
    <w:p w:rsidR="00B873AF" w:rsidRPr="0074593F" w:rsidRDefault="00B873AF" w:rsidP="00B873AF">
      <w:pPr>
        <w:jc w:val="center"/>
        <w:rPr>
          <w:sz w:val="28"/>
          <w:szCs w:val="28"/>
        </w:rPr>
      </w:pPr>
      <w:r w:rsidRPr="0074593F">
        <w:rPr>
          <w:sz w:val="28"/>
          <w:szCs w:val="28"/>
        </w:rPr>
        <w:t>Національна комісія з цінних паперів та фондового ринку (далі – Комісія)</w:t>
      </w:r>
    </w:p>
    <w:p w:rsidR="00DB4AFC" w:rsidRPr="00ED7626" w:rsidRDefault="00DB4AFC" w:rsidP="00DB4AFC">
      <w:pPr>
        <w:spacing w:before="240" w:after="240"/>
        <w:jc w:val="center"/>
        <w:rPr>
          <w:b/>
          <w:sz w:val="28"/>
          <w:szCs w:val="28"/>
        </w:rPr>
      </w:pPr>
      <w:r w:rsidRPr="00ED7626">
        <w:rPr>
          <w:b/>
          <w:sz w:val="28"/>
          <w:szCs w:val="28"/>
        </w:rPr>
        <w:t>В И Р І Ш И Л А:</w:t>
      </w:r>
      <w:r>
        <w:rPr>
          <w:b/>
          <w:sz w:val="28"/>
          <w:szCs w:val="28"/>
        </w:rPr>
        <w:t xml:space="preserve"> </w:t>
      </w:r>
    </w:p>
    <w:p w:rsidR="002C5E21" w:rsidRPr="00F85E1E" w:rsidRDefault="00DB4AFC" w:rsidP="00150E06">
      <w:pPr>
        <w:numPr>
          <w:ilvl w:val="0"/>
          <w:numId w:val="1"/>
        </w:numPr>
        <w:tabs>
          <w:tab w:val="clear" w:pos="360"/>
          <w:tab w:val="num" w:pos="0"/>
          <w:tab w:val="num" w:pos="900"/>
          <w:tab w:val="left" w:pos="1080"/>
        </w:tabs>
        <w:ind w:left="0" w:firstLine="567"/>
        <w:jc w:val="both"/>
        <w:rPr>
          <w:sz w:val="28"/>
          <w:szCs w:val="28"/>
        </w:rPr>
      </w:pPr>
      <w:r w:rsidRPr="00BB773B">
        <w:rPr>
          <w:sz w:val="28"/>
          <w:szCs w:val="28"/>
        </w:rPr>
        <w:t>З</w:t>
      </w:r>
      <w:r w:rsidR="00C823CE">
        <w:rPr>
          <w:sz w:val="28"/>
          <w:szCs w:val="28"/>
        </w:rPr>
        <w:t>аборонит</w:t>
      </w:r>
      <w:r w:rsidR="00F5724D">
        <w:rPr>
          <w:sz w:val="28"/>
          <w:szCs w:val="28"/>
        </w:rPr>
        <w:t xml:space="preserve">и з </w:t>
      </w:r>
      <w:r w:rsidR="00F5724D" w:rsidRPr="00F85E1E">
        <w:rPr>
          <w:sz w:val="28"/>
          <w:szCs w:val="28"/>
        </w:rPr>
        <w:t>«</w:t>
      </w:r>
      <w:r w:rsidR="005D7209">
        <w:rPr>
          <w:sz w:val="28"/>
          <w:szCs w:val="28"/>
        </w:rPr>
        <w:t>19</w:t>
      </w:r>
      <w:r w:rsidR="006C093B" w:rsidRPr="00F85E1E">
        <w:rPr>
          <w:sz w:val="28"/>
          <w:szCs w:val="28"/>
        </w:rPr>
        <w:t>»</w:t>
      </w:r>
      <w:r w:rsidR="00F5724D" w:rsidRPr="00F85E1E">
        <w:rPr>
          <w:sz w:val="28"/>
          <w:szCs w:val="28"/>
        </w:rPr>
        <w:t xml:space="preserve"> </w:t>
      </w:r>
      <w:r w:rsidR="005D7209">
        <w:rPr>
          <w:sz w:val="28"/>
          <w:szCs w:val="28"/>
        </w:rPr>
        <w:t xml:space="preserve">червня </w:t>
      </w:r>
      <w:r w:rsidR="00F85E1E" w:rsidRPr="00F85E1E">
        <w:rPr>
          <w:sz w:val="28"/>
          <w:szCs w:val="28"/>
        </w:rPr>
        <w:t>2</w:t>
      </w:r>
      <w:r w:rsidR="00EE6A3E" w:rsidRPr="00F85E1E">
        <w:rPr>
          <w:sz w:val="28"/>
          <w:szCs w:val="28"/>
        </w:rPr>
        <w:t>0</w:t>
      </w:r>
      <w:r w:rsidR="00033F43" w:rsidRPr="00F85E1E">
        <w:rPr>
          <w:sz w:val="28"/>
          <w:szCs w:val="28"/>
        </w:rPr>
        <w:t>20</w:t>
      </w:r>
      <w:r w:rsidRPr="00F85E1E">
        <w:rPr>
          <w:sz w:val="28"/>
          <w:szCs w:val="28"/>
        </w:rPr>
        <w:t xml:space="preserve"> торгівлю цінними паперами</w:t>
      </w:r>
      <w:r w:rsidR="00EC10B1" w:rsidRPr="00F85E1E">
        <w:rPr>
          <w:sz w:val="28"/>
          <w:szCs w:val="28"/>
        </w:rPr>
        <w:t xml:space="preserve"> </w:t>
      </w:r>
      <w:r w:rsidR="00CD3B34" w:rsidRPr="00F85E1E">
        <w:rPr>
          <w:sz w:val="28"/>
          <w:szCs w:val="28"/>
        </w:rPr>
        <w:t>Товариств</w:t>
      </w:r>
      <w:r w:rsidR="001F2531" w:rsidRPr="00F85E1E">
        <w:rPr>
          <w:sz w:val="28"/>
          <w:szCs w:val="28"/>
        </w:rPr>
        <w:t xml:space="preserve"> </w:t>
      </w:r>
      <w:r w:rsidR="00CD3B34" w:rsidRPr="00F85E1E">
        <w:rPr>
          <w:sz w:val="28"/>
          <w:szCs w:val="28"/>
        </w:rPr>
        <w:t>(</w:t>
      </w:r>
      <w:r w:rsidR="009349AA" w:rsidRPr="00F85E1E">
        <w:rPr>
          <w:sz w:val="28"/>
          <w:szCs w:val="28"/>
        </w:rPr>
        <w:t xml:space="preserve">перелік </w:t>
      </w:r>
      <w:r w:rsidR="00CD3B34" w:rsidRPr="00F85E1E">
        <w:rPr>
          <w:sz w:val="28"/>
          <w:szCs w:val="28"/>
        </w:rPr>
        <w:t xml:space="preserve">додається) </w:t>
      </w:r>
      <w:r w:rsidR="002C5E21" w:rsidRPr="00F85E1E">
        <w:rPr>
          <w:sz w:val="28"/>
          <w:szCs w:val="28"/>
        </w:rPr>
        <w:t>а саме, вчинення торговцями цінними паперами правочинів з цінними паперами ц</w:t>
      </w:r>
      <w:r w:rsidR="00A43E5C" w:rsidRPr="00F85E1E">
        <w:rPr>
          <w:sz w:val="28"/>
          <w:szCs w:val="28"/>
        </w:rPr>
        <w:t>их</w:t>
      </w:r>
      <w:r w:rsidR="002C5E21" w:rsidRPr="00F85E1E">
        <w:rPr>
          <w:sz w:val="28"/>
          <w:szCs w:val="28"/>
        </w:rPr>
        <w:t xml:space="preserve"> емітент</w:t>
      </w:r>
      <w:r w:rsidR="00A43E5C" w:rsidRPr="00F85E1E">
        <w:rPr>
          <w:sz w:val="28"/>
          <w:szCs w:val="28"/>
        </w:rPr>
        <w:t>ів</w:t>
      </w:r>
      <w:r w:rsidR="002C5E21" w:rsidRPr="00F85E1E">
        <w:rPr>
          <w:sz w:val="28"/>
          <w:szCs w:val="28"/>
        </w:rPr>
        <w:t>, пов’я</w:t>
      </w:r>
      <w:r w:rsidR="00FB6FC3" w:rsidRPr="00F85E1E">
        <w:rPr>
          <w:sz w:val="28"/>
          <w:szCs w:val="28"/>
        </w:rPr>
        <w:t xml:space="preserve">заних з переходом прав на цінні </w:t>
      </w:r>
      <w:r w:rsidR="002C5E21" w:rsidRPr="00F85E1E">
        <w:rPr>
          <w:sz w:val="28"/>
          <w:szCs w:val="28"/>
        </w:rPr>
        <w:t>пап</w:t>
      </w:r>
      <w:r w:rsidR="00232DCB" w:rsidRPr="00F85E1E">
        <w:rPr>
          <w:sz w:val="28"/>
          <w:szCs w:val="28"/>
        </w:rPr>
        <w:t>ери і прав за цінними паперами</w:t>
      </w:r>
      <w:r w:rsidR="002C5E21" w:rsidRPr="00F85E1E">
        <w:rPr>
          <w:sz w:val="28"/>
          <w:szCs w:val="28"/>
        </w:rPr>
        <w:t>.</w:t>
      </w:r>
    </w:p>
    <w:p w:rsidR="00DB4AFC" w:rsidRDefault="00DB4AFC" w:rsidP="00DB4AFC">
      <w:pPr>
        <w:numPr>
          <w:ilvl w:val="0"/>
          <w:numId w:val="1"/>
        </w:numPr>
        <w:tabs>
          <w:tab w:val="num" w:pos="0"/>
          <w:tab w:val="num" w:pos="900"/>
          <w:tab w:val="left" w:pos="1080"/>
        </w:tabs>
        <w:ind w:left="0" w:firstLine="360"/>
        <w:jc w:val="both"/>
        <w:rPr>
          <w:sz w:val="28"/>
          <w:szCs w:val="28"/>
        </w:rPr>
      </w:pPr>
      <w:r w:rsidRPr="00F85E1E">
        <w:rPr>
          <w:sz w:val="28"/>
          <w:szCs w:val="28"/>
        </w:rPr>
        <w:t>ПАТ «Національний депозитарій</w:t>
      </w:r>
      <w:r>
        <w:rPr>
          <w:sz w:val="28"/>
          <w:szCs w:val="28"/>
        </w:rPr>
        <w:t xml:space="preserve"> України»</w:t>
      </w:r>
      <w:r w:rsidRPr="009145AB">
        <w:rPr>
          <w:sz w:val="28"/>
          <w:szCs w:val="28"/>
        </w:rPr>
        <w:t xml:space="preserve"> </w:t>
      </w:r>
      <w:r w:rsidR="00B873AF">
        <w:rPr>
          <w:spacing w:val="-4"/>
          <w:sz w:val="28"/>
          <w:szCs w:val="28"/>
        </w:rPr>
        <w:t>(ідентифікаційний код юридичної особи</w:t>
      </w:r>
      <w:r w:rsidRPr="009145AB">
        <w:rPr>
          <w:sz w:val="28"/>
          <w:szCs w:val="28"/>
        </w:rPr>
        <w:t xml:space="preserve"> 30370711) довести до відома депозитарних установ, що здійснюють облік прав власності на цінні папери зазначеного в пункті 1 цього рішення емітент</w:t>
      </w:r>
      <w:r w:rsidR="00A43E5C">
        <w:rPr>
          <w:sz w:val="28"/>
          <w:szCs w:val="28"/>
        </w:rPr>
        <w:t>ів</w:t>
      </w:r>
      <w:r w:rsidRPr="009145AB">
        <w:rPr>
          <w:sz w:val="28"/>
          <w:szCs w:val="28"/>
        </w:rPr>
        <w:t>, дане рішення.</w:t>
      </w:r>
    </w:p>
    <w:p w:rsidR="00DB4AFC" w:rsidRDefault="00DB4AFC" w:rsidP="00DB4AFC">
      <w:pPr>
        <w:numPr>
          <w:ilvl w:val="0"/>
          <w:numId w:val="1"/>
        </w:numPr>
        <w:tabs>
          <w:tab w:val="num" w:pos="0"/>
          <w:tab w:val="num" w:pos="900"/>
          <w:tab w:val="left" w:pos="1080"/>
        </w:tabs>
        <w:ind w:left="0" w:firstLine="360"/>
        <w:jc w:val="both"/>
        <w:rPr>
          <w:sz w:val="28"/>
          <w:szCs w:val="28"/>
        </w:rPr>
      </w:pPr>
      <w:r w:rsidRPr="009145AB">
        <w:rPr>
          <w:sz w:val="28"/>
          <w:szCs w:val="28"/>
        </w:rPr>
        <w:t>Фондовим біржам довести до відома членів біржі інформацію про дане рішення</w:t>
      </w:r>
      <w:r>
        <w:rPr>
          <w:sz w:val="28"/>
          <w:szCs w:val="28"/>
        </w:rPr>
        <w:t>.</w:t>
      </w:r>
    </w:p>
    <w:p w:rsidR="00DB4AFC" w:rsidRDefault="00EE6A3E" w:rsidP="00DB4AFC">
      <w:pPr>
        <w:numPr>
          <w:ilvl w:val="0"/>
          <w:numId w:val="1"/>
        </w:numPr>
        <w:tabs>
          <w:tab w:val="num" w:pos="0"/>
          <w:tab w:val="num" w:pos="900"/>
          <w:tab w:val="left" w:pos="108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Професійній асоціації учасників ринк</w:t>
      </w:r>
      <w:r w:rsidR="00E207CB">
        <w:rPr>
          <w:sz w:val="28"/>
          <w:szCs w:val="28"/>
        </w:rPr>
        <w:t>ів</w:t>
      </w:r>
      <w:r>
        <w:rPr>
          <w:sz w:val="28"/>
          <w:szCs w:val="28"/>
        </w:rPr>
        <w:t xml:space="preserve"> капітал</w:t>
      </w:r>
      <w:r w:rsidR="00E207CB">
        <w:rPr>
          <w:sz w:val="28"/>
          <w:szCs w:val="28"/>
        </w:rPr>
        <w:t>у</w:t>
      </w:r>
      <w:r>
        <w:rPr>
          <w:sz w:val="28"/>
          <w:szCs w:val="28"/>
        </w:rPr>
        <w:t xml:space="preserve"> та деривативів </w:t>
      </w:r>
      <w:r w:rsidR="00DF27F0">
        <w:rPr>
          <w:spacing w:val="-4"/>
          <w:sz w:val="28"/>
          <w:szCs w:val="28"/>
        </w:rPr>
        <w:t xml:space="preserve">(ідентифікаційний код юридичної особи </w:t>
      </w:r>
      <w:r>
        <w:rPr>
          <w:sz w:val="28"/>
          <w:szCs w:val="28"/>
        </w:rPr>
        <w:t>24382704),</w:t>
      </w:r>
      <w:r w:rsidR="006B61B1" w:rsidRPr="006B61B1">
        <w:rPr>
          <w:sz w:val="28"/>
          <w:szCs w:val="28"/>
        </w:rPr>
        <w:t xml:space="preserve"> </w:t>
      </w:r>
      <w:r w:rsidR="006B61B1">
        <w:rPr>
          <w:sz w:val="28"/>
          <w:szCs w:val="28"/>
        </w:rPr>
        <w:t xml:space="preserve">Українській Асоціації Інвестиційного Бізнесу </w:t>
      </w:r>
      <w:r w:rsidR="006B61B1">
        <w:rPr>
          <w:spacing w:val="-4"/>
          <w:sz w:val="28"/>
          <w:szCs w:val="28"/>
        </w:rPr>
        <w:t xml:space="preserve">(ідентифікаційний код юридичної особи </w:t>
      </w:r>
      <w:r w:rsidR="006B61B1">
        <w:rPr>
          <w:sz w:val="28"/>
          <w:szCs w:val="28"/>
        </w:rPr>
        <w:t>23152037),</w:t>
      </w:r>
      <w:r>
        <w:rPr>
          <w:sz w:val="28"/>
          <w:szCs w:val="28"/>
        </w:rPr>
        <w:t xml:space="preserve"> </w:t>
      </w:r>
      <w:r w:rsidR="00DB4AFC">
        <w:rPr>
          <w:sz w:val="28"/>
          <w:szCs w:val="28"/>
        </w:rPr>
        <w:t xml:space="preserve">Асоціації «Українські фондові торговці» </w:t>
      </w:r>
      <w:r w:rsidR="00B873AF">
        <w:rPr>
          <w:spacing w:val="-4"/>
          <w:sz w:val="28"/>
          <w:szCs w:val="28"/>
        </w:rPr>
        <w:t>(ідентифікаційний код юридичної особи</w:t>
      </w:r>
      <w:r w:rsidR="00DB4AFC">
        <w:rPr>
          <w:sz w:val="28"/>
          <w:szCs w:val="28"/>
        </w:rPr>
        <w:t xml:space="preserve"> 33338204) довести до відома членів відповідних асоціацій інформацію про дане рішення Комісії.</w:t>
      </w:r>
    </w:p>
    <w:p w:rsidR="00DB4AFC" w:rsidRDefault="00DB4AFC" w:rsidP="00DB4AFC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Департаменту </w:t>
      </w:r>
      <w:r w:rsidR="00CD3B34">
        <w:rPr>
          <w:sz w:val="28"/>
          <w:szCs w:val="28"/>
        </w:rPr>
        <w:t>нагляду за станом корпоративного управління та корпоративними фінансами</w:t>
      </w:r>
      <w:r>
        <w:rPr>
          <w:sz w:val="28"/>
          <w:szCs w:val="28"/>
        </w:rPr>
        <w:t xml:space="preserve"> забезпечити відправлення копії цього рішення </w:t>
      </w:r>
      <w:r>
        <w:rPr>
          <w:sz w:val="28"/>
          <w:szCs w:val="28"/>
        </w:rPr>
        <w:lastRenderedPageBreak/>
        <w:t xml:space="preserve">фондовим біржам, ПАТ «Національний депозитарій України» </w:t>
      </w:r>
      <w:r w:rsidR="00B873AF">
        <w:rPr>
          <w:spacing w:val="-4"/>
          <w:sz w:val="28"/>
          <w:szCs w:val="28"/>
        </w:rPr>
        <w:t xml:space="preserve">(ідентифікаційний код юридичної особи </w:t>
      </w:r>
      <w:r>
        <w:rPr>
          <w:sz w:val="28"/>
          <w:szCs w:val="28"/>
        </w:rPr>
        <w:t xml:space="preserve">30370711), ПАТ «Розрахунковий центр з обслуговування договорів на фінансових ринках» </w:t>
      </w:r>
      <w:r w:rsidR="00B873AF">
        <w:rPr>
          <w:spacing w:val="-4"/>
          <w:sz w:val="28"/>
          <w:szCs w:val="28"/>
        </w:rPr>
        <w:t>(ідентифікаційний код юридичної особи</w:t>
      </w:r>
      <w:r>
        <w:rPr>
          <w:sz w:val="28"/>
          <w:szCs w:val="28"/>
        </w:rPr>
        <w:t xml:space="preserve"> 35917889).</w:t>
      </w:r>
    </w:p>
    <w:p w:rsidR="00DB4AFC" w:rsidRDefault="004C5E6E" w:rsidP="00B2154C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154C">
        <w:rPr>
          <w:sz w:val="28"/>
          <w:szCs w:val="28"/>
        </w:rPr>
        <w:t xml:space="preserve">6. </w:t>
      </w:r>
      <w:r w:rsidR="00DB4AFC">
        <w:rPr>
          <w:sz w:val="28"/>
          <w:szCs w:val="28"/>
        </w:rPr>
        <w:t xml:space="preserve">Департаменту </w:t>
      </w:r>
      <w:r w:rsidR="00CD3B34" w:rsidRPr="00CD3B34">
        <w:rPr>
          <w:sz w:val="28"/>
          <w:szCs w:val="28"/>
        </w:rPr>
        <w:t>нагляду за стан</w:t>
      </w:r>
      <w:r w:rsidR="00CD3B34">
        <w:rPr>
          <w:sz w:val="28"/>
          <w:szCs w:val="28"/>
        </w:rPr>
        <w:t xml:space="preserve">ом корпоративного управління та </w:t>
      </w:r>
      <w:r w:rsidR="00CD3B34" w:rsidRPr="00CD3B34">
        <w:rPr>
          <w:sz w:val="28"/>
          <w:szCs w:val="28"/>
        </w:rPr>
        <w:t>корпоративними фінансами</w:t>
      </w:r>
      <w:r w:rsidR="00DB4AFC">
        <w:rPr>
          <w:sz w:val="28"/>
          <w:szCs w:val="28"/>
        </w:rPr>
        <w:t xml:space="preserve"> повідомити про прийняте рішення </w:t>
      </w:r>
      <w:r w:rsidR="00EE6A3E">
        <w:rPr>
          <w:sz w:val="28"/>
          <w:szCs w:val="28"/>
        </w:rPr>
        <w:t>Професійну асоціацію учасників ринк</w:t>
      </w:r>
      <w:r w:rsidR="00E207CB">
        <w:rPr>
          <w:sz w:val="28"/>
          <w:szCs w:val="28"/>
        </w:rPr>
        <w:t>ів</w:t>
      </w:r>
      <w:r w:rsidR="00EE6A3E">
        <w:rPr>
          <w:sz w:val="28"/>
          <w:szCs w:val="28"/>
        </w:rPr>
        <w:t xml:space="preserve"> капітал</w:t>
      </w:r>
      <w:r w:rsidR="00E207CB">
        <w:rPr>
          <w:sz w:val="28"/>
          <w:szCs w:val="28"/>
        </w:rPr>
        <w:t>у</w:t>
      </w:r>
      <w:r w:rsidR="00EE6A3E">
        <w:rPr>
          <w:sz w:val="28"/>
          <w:szCs w:val="28"/>
        </w:rPr>
        <w:t xml:space="preserve"> та деривативів </w:t>
      </w:r>
      <w:r w:rsidR="00C64E17">
        <w:rPr>
          <w:sz w:val="28"/>
          <w:szCs w:val="28"/>
        </w:rPr>
        <w:t xml:space="preserve">(ПАРД) </w:t>
      </w:r>
      <w:r w:rsidR="00B873AF">
        <w:rPr>
          <w:spacing w:val="-4"/>
          <w:sz w:val="28"/>
          <w:szCs w:val="28"/>
        </w:rPr>
        <w:t xml:space="preserve">(ідентифікаційний код юридичної особи </w:t>
      </w:r>
      <w:r w:rsidR="00EE6A3E">
        <w:rPr>
          <w:sz w:val="28"/>
          <w:szCs w:val="28"/>
        </w:rPr>
        <w:t xml:space="preserve">24382704), </w:t>
      </w:r>
      <w:r w:rsidR="00DB4AFC">
        <w:rPr>
          <w:sz w:val="28"/>
          <w:szCs w:val="28"/>
        </w:rPr>
        <w:t xml:space="preserve">Українську Асоціацію Інвестиційного Бізнесу </w:t>
      </w:r>
      <w:r w:rsidR="00B873AF">
        <w:rPr>
          <w:spacing w:val="-4"/>
          <w:sz w:val="28"/>
          <w:szCs w:val="28"/>
        </w:rPr>
        <w:t xml:space="preserve">(ідентифікаційний код юридичної особи </w:t>
      </w:r>
      <w:r w:rsidR="00DB4AFC">
        <w:rPr>
          <w:sz w:val="28"/>
          <w:szCs w:val="28"/>
        </w:rPr>
        <w:t>23152037)</w:t>
      </w:r>
      <w:r w:rsidR="00C64E17">
        <w:rPr>
          <w:sz w:val="28"/>
          <w:szCs w:val="28"/>
        </w:rPr>
        <w:t>,</w:t>
      </w:r>
      <w:r w:rsidR="00C64E17" w:rsidRPr="00C64E17">
        <w:rPr>
          <w:sz w:val="28"/>
          <w:szCs w:val="28"/>
        </w:rPr>
        <w:t xml:space="preserve"> </w:t>
      </w:r>
      <w:r w:rsidR="00C64E17">
        <w:rPr>
          <w:sz w:val="28"/>
          <w:szCs w:val="28"/>
        </w:rPr>
        <w:t xml:space="preserve">Асоціацію «Українські фондові торговці» </w:t>
      </w:r>
      <w:r w:rsidR="00C64E17">
        <w:rPr>
          <w:spacing w:val="-4"/>
          <w:sz w:val="28"/>
          <w:szCs w:val="28"/>
        </w:rPr>
        <w:t xml:space="preserve">(ідентифікаційний код юридичної особи </w:t>
      </w:r>
      <w:r w:rsidR="00C64E17">
        <w:rPr>
          <w:sz w:val="28"/>
          <w:szCs w:val="28"/>
        </w:rPr>
        <w:t>33338204)</w:t>
      </w:r>
      <w:r w:rsidR="00DB4AFC">
        <w:rPr>
          <w:sz w:val="28"/>
          <w:szCs w:val="28"/>
        </w:rPr>
        <w:t>.</w:t>
      </w:r>
    </w:p>
    <w:p w:rsidR="00DB4AFC" w:rsidRDefault="00B2154C" w:rsidP="00B2154C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3E5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7741D2">
        <w:rPr>
          <w:sz w:val="28"/>
          <w:szCs w:val="28"/>
        </w:rPr>
        <w:t xml:space="preserve">Департаменту </w:t>
      </w:r>
      <w:r w:rsidR="00CD3B34" w:rsidRPr="00CD3B34">
        <w:rPr>
          <w:sz w:val="28"/>
          <w:szCs w:val="28"/>
        </w:rPr>
        <w:t>нагляду за станом корпоративного управління та корпоративними фінансами</w:t>
      </w:r>
      <w:r w:rsidR="007741D2">
        <w:rPr>
          <w:sz w:val="28"/>
          <w:szCs w:val="28"/>
        </w:rPr>
        <w:t xml:space="preserve"> </w:t>
      </w:r>
      <w:r w:rsidR="00DB4AFC">
        <w:rPr>
          <w:sz w:val="28"/>
          <w:szCs w:val="28"/>
        </w:rPr>
        <w:t>забезпечити оприлюднення цього рішення на офіційному веб-сайті  Комісії.</w:t>
      </w:r>
    </w:p>
    <w:p w:rsidR="00DB4AFC" w:rsidRDefault="00B2154C" w:rsidP="00B2154C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7E78">
        <w:rPr>
          <w:sz w:val="28"/>
          <w:szCs w:val="28"/>
        </w:rPr>
        <w:t xml:space="preserve"> </w:t>
      </w:r>
      <w:r w:rsidR="00A43E5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DB4AFC">
        <w:rPr>
          <w:sz w:val="28"/>
          <w:szCs w:val="28"/>
        </w:rPr>
        <w:t>Контроль за виконанням цього рішення</w:t>
      </w:r>
      <w:r>
        <w:rPr>
          <w:sz w:val="28"/>
          <w:szCs w:val="28"/>
        </w:rPr>
        <w:t xml:space="preserve"> покласти на члена Комісії   </w:t>
      </w:r>
      <w:r w:rsidR="000754CB">
        <w:rPr>
          <w:sz w:val="28"/>
          <w:szCs w:val="28"/>
        </w:rPr>
        <w:t>М.Лібанова</w:t>
      </w:r>
      <w:r w:rsidR="00C64E17">
        <w:rPr>
          <w:sz w:val="28"/>
          <w:szCs w:val="28"/>
        </w:rPr>
        <w:t>.</w:t>
      </w:r>
    </w:p>
    <w:p w:rsidR="00DB4AFC" w:rsidRDefault="00DB4AFC" w:rsidP="00DB4AFC">
      <w:pPr>
        <w:jc w:val="both"/>
        <w:rPr>
          <w:b/>
          <w:sz w:val="28"/>
          <w:szCs w:val="28"/>
        </w:rPr>
      </w:pPr>
    </w:p>
    <w:p w:rsidR="00DB4AFC" w:rsidRDefault="00DB4AFC" w:rsidP="00DB4AFC">
      <w:pPr>
        <w:jc w:val="both"/>
        <w:rPr>
          <w:b/>
          <w:sz w:val="28"/>
          <w:szCs w:val="28"/>
        </w:rPr>
      </w:pPr>
    </w:p>
    <w:p w:rsidR="00DB4AFC" w:rsidRDefault="00DB4AFC" w:rsidP="00DB4AFC">
      <w:pPr>
        <w:jc w:val="both"/>
        <w:rPr>
          <w:b/>
          <w:sz w:val="28"/>
          <w:szCs w:val="28"/>
        </w:rPr>
      </w:pPr>
    </w:p>
    <w:p w:rsidR="00DB4AFC" w:rsidRDefault="00DB4AFC" w:rsidP="00DB4AFC">
      <w:pPr>
        <w:jc w:val="both"/>
        <w:rPr>
          <w:b/>
          <w:sz w:val="28"/>
          <w:szCs w:val="28"/>
        </w:rPr>
      </w:pPr>
    </w:p>
    <w:p w:rsidR="00C64E17" w:rsidRPr="0074593F" w:rsidRDefault="00C64E17" w:rsidP="00C64E17">
      <w:pPr>
        <w:tabs>
          <w:tab w:val="left" w:pos="7920"/>
        </w:tabs>
        <w:jc w:val="both"/>
        <w:rPr>
          <w:b/>
          <w:sz w:val="28"/>
          <w:szCs w:val="28"/>
        </w:rPr>
      </w:pPr>
      <w:r w:rsidRPr="0074593F">
        <w:rPr>
          <w:b/>
          <w:sz w:val="28"/>
          <w:szCs w:val="28"/>
        </w:rPr>
        <w:t>Голова Комісії</w:t>
      </w:r>
      <w:r w:rsidRPr="0074593F">
        <w:rPr>
          <w:b/>
          <w:sz w:val="28"/>
          <w:szCs w:val="28"/>
        </w:rPr>
        <w:tab/>
        <w:t>Т. Хромаєв</w:t>
      </w:r>
    </w:p>
    <w:p w:rsidR="00DB4AFC" w:rsidRPr="00CC5F45" w:rsidRDefault="00DB4AFC" w:rsidP="00DB4AFC">
      <w:pPr>
        <w:ind w:left="5580"/>
        <w:rPr>
          <w:lang w:val="ru-RU"/>
        </w:rPr>
      </w:pPr>
    </w:p>
    <w:p w:rsidR="00DB4AFC" w:rsidRPr="00CC5F45" w:rsidRDefault="00DB4AFC" w:rsidP="00DB4AFC">
      <w:pPr>
        <w:ind w:left="5580"/>
        <w:rPr>
          <w:lang w:val="ru-RU"/>
        </w:rPr>
      </w:pPr>
    </w:p>
    <w:p w:rsidR="00DB4AFC" w:rsidRPr="00CC5F45" w:rsidRDefault="00DB4AFC" w:rsidP="00DB4AFC">
      <w:pPr>
        <w:ind w:left="5580"/>
        <w:rPr>
          <w:lang w:val="ru-RU"/>
        </w:rPr>
      </w:pPr>
    </w:p>
    <w:p w:rsidR="00DB4AFC" w:rsidRPr="00CC5F45" w:rsidRDefault="00DB4AFC" w:rsidP="00DB4AFC">
      <w:pPr>
        <w:ind w:left="5580"/>
        <w:rPr>
          <w:lang w:val="ru-RU"/>
        </w:rPr>
      </w:pPr>
    </w:p>
    <w:p w:rsidR="00DB4AFC" w:rsidRPr="00CC5F45" w:rsidRDefault="00DB4AFC" w:rsidP="00DB4AFC">
      <w:pPr>
        <w:ind w:left="5580"/>
        <w:rPr>
          <w:lang w:val="ru-RU"/>
        </w:rPr>
      </w:pPr>
    </w:p>
    <w:p w:rsidR="00DB4AFC" w:rsidRPr="00CC5F45" w:rsidRDefault="00DB4AFC" w:rsidP="00DB4AFC">
      <w:pPr>
        <w:ind w:left="5580"/>
        <w:rPr>
          <w:lang w:val="ru-RU"/>
        </w:rPr>
      </w:pPr>
    </w:p>
    <w:p w:rsidR="00DB4AFC" w:rsidRPr="00CC5F45" w:rsidRDefault="00DB4AFC" w:rsidP="00DB4AFC">
      <w:pPr>
        <w:ind w:left="5580"/>
        <w:rPr>
          <w:lang w:val="ru-RU"/>
        </w:rPr>
      </w:pPr>
    </w:p>
    <w:p w:rsidR="00DB4AFC" w:rsidRDefault="00DB4AFC" w:rsidP="00DB4AFC">
      <w:pPr>
        <w:ind w:left="5580"/>
        <w:rPr>
          <w:lang w:val="ru-RU"/>
        </w:rPr>
      </w:pPr>
    </w:p>
    <w:p w:rsidR="00DB4AFC" w:rsidRDefault="00DB4AFC" w:rsidP="00DB4AFC">
      <w:pPr>
        <w:ind w:left="5580"/>
        <w:rPr>
          <w:lang w:val="ru-RU"/>
        </w:rPr>
      </w:pPr>
    </w:p>
    <w:p w:rsidR="00DB4AFC" w:rsidRDefault="00DB4AFC" w:rsidP="00DB4AFC">
      <w:pPr>
        <w:ind w:left="5580"/>
        <w:rPr>
          <w:lang w:val="ru-RU"/>
        </w:rPr>
      </w:pPr>
    </w:p>
    <w:p w:rsidR="00DB4AFC" w:rsidRPr="007F61B3" w:rsidRDefault="00DB4AFC" w:rsidP="00DB4AFC">
      <w:pPr>
        <w:ind w:left="5580"/>
        <w:rPr>
          <w:lang w:val="ru-RU"/>
        </w:rPr>
      </w:pPr>
    </w:p>
    <w:p w:rsidR="00DB4AFC" w:rsidRPr="007F61B3" w:rsidRDefault="00DB4AFC" w:rsidP="00DB4AFC">
      <w:pPr>
        <w:ind w:left="5580"/>
        <w:rPr>
          <w:lang w:val="ru-RU"/>
        </w:rPr>
      </w:pPr>
    </w:p>
    <w:p w:rsidR="00DB4AFC" w:rsidRDefault="00DB4AFC" w:rsidP="00DB4AFC">
      <w:pPr>
        <w:ind w:left="5580"/>
        <w:rPr>
          <w:lang w:val="ru-RU"/>
        </w:rPr>
      </w:pPr>
    </w:p>
    <w:p w:rsidR="00DB4AFC" w:rsidRDefault="00DB4AFC" w:rsidP="00DB4AFC">
      <w:pPr>
        <w:ind w:left="5580"/>
        <w:rPr>
          <w:lang w:val="ru-RU"/>
        </w:rPr>
      </w:pPr>
    </w:p>
    <w:p w:rsidR="006B61B1" w:rsidRDefault="006B61B1" w:rsidP="00DB4AFC">
      <w:pPr>
        <w:ind w:left="5580"/>
        <w:rPr>
          <w:lang w:val="ru-RU"/>
        </w:rPr>
      </w:pPr>
    </w:p>
    <w:p w:rsidR="006B61B1" w:rsidRDefault="006B61B1" w:rsidP="00DB4AFC">
      <w:pPr>
        <w:ind w:left="5580"/>
        <w:rPr>
          <w:lang w:val="ru-RU"/>
        </w:rPr>
      </w:pPr>
    </w:p>
    <w:p w:rsidR="006B61B1" w:rsidRDefault="006B61B1" w:rsidP="00DB4AFC">
      <w:pPr>
        <w:ind w:left="5580"/>
        <w:rPr>
          <w:lang w:val="ru-RU"/>
        </w:rPr>
      </w:pPr>
    </w:p>
    <w:p w:rsidR="00DB4AFC" w:rsidRDefault="00DB4AFC" w:rsidP="00DB4AFC">
      <w:pPr>
        <w:ind w:left="5580"/>
        <w:rPr>
          <w:lang w:val="ru-RU"/>
        </w:rPr>
      </w:pPr>
    </w:p>
    <w:p w:rsidR="00DB4AFC" w:rsidRDefault="00DB4AFC" w:rsidP="00DB4AFC">
      <w:pPr>
        <w:ind w:left="5580"/>
        <w:rPr>
          <w:lang w:val="ru-RU"/>
        </w:rPr>
      </w:pPr>
    </w:p>
    <w:p w:rsidR="006C63D2" w:rsidRPr="0074593F" w:rsidRDefault="006C63D2" w:rsidP="006C63D2">
      <w:pPr>
        <w:ind w:left="5400"/>
      </w:pPr>
      <w:r w:rsidRPr="0074593F">
        <w:t>Протокол засідання Комісії</w:t>
      </w:r>
    </w:p>
    <w:p w:rsidR="006C63D2" w:rsidRPr="005D7209" w:rsidRDefault="001F5720" w:rsidP="006C63D2">
      <w:pPr>
        <w:tabs>
          <w:tab w:val="left" w:pos="7740"/>
        </w:tabs>
        <w:ind w:left="5400"/>
      </w:pPr>
      <w:r>
        <w:t>від «</w:t>
      </w:r>
      <w:r w:rsidR="005D7209">
        <w:t>18</w:t>
      </w:r>
      <w:r w:rsidR="006C63D2" w:rsidRPr="0074593F">
        <w:t>»</w:t>
      </w:r>
      <w:r w:rsidR="00F5724D">
        <w:t xml:space="preserve"> </w:t>
      </w:r>
      <w:r w:rsidR="005D7209">
        <w:t>червня</w:t>
      </w:r>
      <w:r w:rsidR="00F5724D">
        <w:t xml:space="preserve"> </w:t>
      </w:r>
      <w:r w:rsidR="006C63D2" w:rsidRPr="0074593F">
        <w:t>20</w:t>
      </w:r>
      <w:r w:rsidR="00033F43">
        <w:t>20</w:t>
      </w:r>
      <w:r w:rsidR="00675FD6">
        <w:t xml:space="preserve"> </w:t>
      </w:r>
      <w:r w:rsidR="006C63D2">
        <w:t xml:space="preserve">№ </w:t>
      </w:r>
      <w:r w:rsidR="005D7209">
        <w:t>31</w:t>
      </w:r>
    </w:p>
    <w:p w:rsidR="007741D2" w:rsidRDefault="007741D2" w:rsidP="00C64E17">
      <w:pPr>
        <w:tabs>
          <w:tab w:val="left" w:pos="2548"/>
        </w:tabs>
        <w:rPr>
          <w:b/>
          <w:sz w:val="28"/>
          <w:szCs w:val="28"/>
        </w:rPr>
      </w:pPr>
    </w:p>
    <w:p w:rsidR="001948DC" w:rsidRDefault="001948DC" w:rsidP="00C64E17">
      <w:pPr>
        <w:tabs>
          <w:tab w:val="left" w:pos="2548"/>
        </w:tabs>
        <w:rPr>
          <w:b/>
          <w:sz w:val="28"/>
          <w:szCs w:val="28"/>
        </w:rPr>
      </w:pPr>
    </w:p>
    <w:p w:rsidR="00495B41" w:rsidRDefault="00495B41" w:rsidP="00C64E17">
      <w:pPr>
        <w:tabs>
          <w:tab w:val="left" w:pos="2548"/>
        </w:tabs>
        <w:rPr>
          <w:b/>
          <w:sz w:val="28"/>
          <w:szCs w:val="28"/>
        </w:rPr>
      </w:pPr>
    </w:p>
    <w:p w:rsidR="00A43E5C" w:rsidRDefault="00A43E5C" w:rsidP="00C64E17">
      <w:pPr>
        <w:tabs>
          <w:tab w:val="left" w:pos="2548"/>
        </w:tabs>
        <w:rPr>
          <w:b/>
          <w:sz w:val="28"/>
          <w:szCs w:val="28"/>
        </w:rPr>
      </w:pPr>
    </w:p>
    <w:p w:rsidR="00A43E5C" w:rsidRDefault="00A43E5C" w:rsidP="00C64E17">
      <w:pPr>
        <w:tabs>
          <w:tab w:val="left" w:pos="2548"/>
        </w:tabs>
        <w:rPr>
          <w:b/>
          <w:sz w:val="28"/>
          <w:szCs w:val="28"/>
        </w:rPr>
      </w:pPr>
    </w:p>
    <w:p w:rsidR="007520C7" w:rsidRDefault="007520C7" w:rsidP="001948DC">
      <w:pPr>
        <w:ind w:left="4500" w:right="-35"/>
        <w:rPr>
          <w:sz w:val="26"/>
          <w:szCs w:val="26"/>
        </w:rPr>
      </w:pPr>
    </w:p>
    <w:p w:rsidR="001948DC" w:rsidRPr="00711DF0" w:rsidRDefault="001948DC" w:rsidP="001948DC">
      <w:pPr>
        <w:ind w:left="4500" w:right="-35"/>
        <w:rPr>
          <w:sz w:val="26"/>
          <w:szCs w:val="26"/>
        </w:rPr>
      </w:pPr>
      <w:r w:rsidRPr="00711DF0">
        <w:rPr>
          <w:sz w:val="26"/>
          <w:szCs w:val="26"/>
        </w:rPr>
        <w:lastRenderedPageBreak/>
        <w:t>ЗАТВЕРДЖЕНО</w:t>
      </w:r>
    </w:p>
    <w:p w:rsidR="001948DC" w:rsidRPr="00711DF0" w:rsidRDefault="001948DC" w:rsidP="001948DC">
      <w:pPr>
        <w:ind w:left="4500" w:right="-35"/>
        <w:rPr>
          <w:sz w:val="26"/>
          <w:szCs w:val="26"/>
        </w:rPr>
      </w:pPr>
      <w:r w:rsidRPr="00711DF0">
        <w:rPr>
          <w:sz w:val="26"/>
          <w:szCs w:val="26"/>
        </w:rPr>
        <w:t>Рішенням Національної комісії з цінних паперів та фондового ринку</w:t>
      </w:r>
    </w:p>
    <w:p w:rsidR="001948DC" w:rsidRPr="00800CD3" w:rsidRDefault="001948DC" w:rsidP="001948DC">
      <w:pPr>
        <w:ind w:left="4500" w:right="-35"/>
        <w:rPr>
          <w:sz w:val="26"/>
          <w:szCs w:val="26"/>
          <w:lang w:val="ru-RU"/>
        </w:rPr>
      </w:pPr>
      <w:r w:rsidRPr="00711DF0">
        <w:rPr>
          <w:sz w:val="26"/>
          <w:szCs w:val="26"/>
        </w:rPr>
        <w:t>«</w:t>
      </w:r>
      <w:r w:rsidR="005D7209">
        <w:rPr>
          <w:sz w:val="26"/>
          <w:szCs w:val="26"/>
          <w:lang w:val="ru-RU"/>
        </w:rPr>
        <w:t>18</w:t>
      </w:r>
      <w:r w:rsidRPr="00711DF0">
        <w:rPr>
          <w:sz w:val="26"/>
          <w:szCs w:val="26"/>
        </w:rPr>
        <w:t>»</w:t>
      </w:r>
      <w:r w:rsidR="00F5724D">
        <w:rPr>
          <w:sz w:val="26"/>
          <w:szCs w:val="26"/>
        </w:rPr>
        <w:t xml:space="preserve"> </w:t>
      </w:r>
      <w:r w:rsidR="005D7209">
        <w:rPr>
          <w:sz w:val="26"/>
          <w:szCs w:val="26"/>
          <w:lang w:val="ru-RU"/>
        </w:rPr>
        <w:t>червня</w:t>
      </w:r>
      <w:r w:rsidR="00F85E1E">
        <w:rPr>
          <w:sz w:val="26"/>
          <w:szCs w:val="26"/>
        </w:rPr>
        <w:t xml:space="preserve"> </w:t>
      </w:r>
      <w:r w:rsidRPr="00711DF0">
        <w:rPr>
          <w:sz w:val="26"/>
          <w:szCs w:val="26"/>
        </w:rPr>
        <w:t>20</w:t>
      </w:r>
      <w:r w:rsidR="00033F43">
        <w:rPr>
          <w:sz w:val="26"/>
          <w:szCs w:val="26"/>
        </w:rPr>
        <w:t>20</w:t>
      </w:r>
      <w:r w:rsidRPr="00711DF0">
        <w:rPr>
          <w:sz w:val="26"/>
          <w:szCs w:val="26"/>
        </w:rPr>
        <w:t xml:space="preserve"> року № </w:t>
      </w:r>
      <w:r w:rsidR="005D7209">
        <w:rPr>
          <w:sz w:val="26"/>
          <w:szCs w:val="26"/>
        </w:rPr>
        <w:t>311</w:t>
      </w:r>
      <w:r w:rsidR="00800CD3" w:rsidRPr="00800CD3">
        <w:rPr>
          <w:sz w:val="26"/>
          <w:szCs w:val="26"/>
          <w:lang w:val="ru-RU"/>
        </w:rPr>
        <w:t>____</w:t>
      </w:r>
    </w:p>
    <w:p w:rsidR="001948DC" w:rsidRDefault="001948DC" w:rsidP="001948DC">
      <w:pPr>
        <w:rPr>
          <w:sz w:val="26"/>
          <w:szCs w:val="26"/>
        </w:rPr>
      </w:pPr>
    </w:p>
    <w:p w:rsidR="001948DC" w:rsidRPr="00711DF0" w:rsidRDefault="001948DC" w:rsidP="001948DC">
      <w:pPr>
        <w:rPr>
          <w:sz w:val="26"/>
          <w:szCs w:val="26"/>
        </w:rPr>
      </w:pPr>
    </w:p>
    <w:p w:rsidR="005D7209" w:rsidRDefault="005D7209" w:rsidP="005D7209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Перелік компаній з управління активами та пайових інвестиційних фондів, яким з «19» червня 2020 року заборонено торгівлю </w:t>
      </w:r>
      <w:r w:rsidRPr="00E84526">
        <w:rPr>
          <w:color w:val="000000"/>
          <w:sz w:val="28"/>
          <w:szCs w:val="28"/>
        </w:rPr>
        <w:t>цінними паперами</w:t>
      </w:r>
      <w:r>
        <w:rPr>
          <w:color w:val="000000"/>
          <w:sz w:val="28"/>
          <w:szCs w:val="28"/>
        </w:rPr>
        <w:t>:</w:t>
      </w:r>
    </w:p>
    <w:p w:rsidR="005D7209" w:rsidRDefault="005D7209" w:rsidP="005D7209">
      <w:pPr>
        <w:tabs>
          <w:tab w:val="left" w:pos="2548"/>
        </w:tabs>
        <w:jc w:val="center"/>
        <w:rPr>
          <w:b/>
          <w:sz w:val="28"/>
          <w:szCs w:val="28"/>
        </w:rPr>
      </w:pPr>
    </w:p>
    <w:p w:rsidR="005D7209" w:rsidRDefault="005D7209" w:rsidP="005D7209">
      <w:pPr>
        <w:widowControl w:val="0"/>
        <w:rPr>
          <w:color w:val="000000"/>
          <w:sz w:val="28"/>
          <w:szCs w:val="28"/>
        </w:rPr>
      </w:pPr>
    </w:p>
    <w:p w:rsidR="005D7209" w:rsidRDefault="005D7209" w:rsidP="005D7209">
      <w:pPr>
        <w:widowControl w:val="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5511"/>
        <w:gridCol w:w="3407"/>
      </w:tblGrid>
      <w:tr w:rsidR="005D7209" w:rsidTr="00CF5544">
        <w:tc>
          <w:tcPr>
            <w:tcW w:w="1220" w:type="dxa"/>
            <w:shd w:val="clear" w:color="auto" w:fill="auto"/>
          </w:tcPr>
          <w:p w:rsidR="005D7209" w:rsidRPr="00CF5544" w:rsidRDefault="005D7209" w:rsidP="00CF5544">
            <w:pPr>
              <w:widowControl w:val="0"/>
              <w:rPr>
                <w:color w:val="000000"/>
                <w:sz w:val="28"/>
                <w:szCs w:val="28"/>
              </w:rPr>
            </w:pPr>
            <w:r w:rsidRPr="00CF5544">
              <w:rPr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5511" w:type="dxa"/>
            <w:shd w:val="clear" w:color="auto" w:fill="auto"/>
          </w:tcPr>
          <w:p w:rsidR="005D7209" w:rsidRPr="00CF5544" w:rsidRDefault="005D7209" w:rsidP="00CF5544">
            <w:pPr>
              <w:widowControl w:val="0"/>
              <w:rPr>
                <w:color w:val="000000"/>
                <w:sz w:val="28"/>
                <w:szCs w:val="28"/>
              </w:rPr>
            </w:pPr>
            <w:r w:rsidRPr="00CF5544">
              <w:rPr>
                <w:color w:val="000000"/>
                <w:sz w:val="28"/>
                <w:szCs w:val="28"/>
              </w:rPr>
              <w:t>Компанія з управління активами</w:t>
            </w:r>
          </w:p>
        </w:tc>
        <w:tc>
          <w:tcPr>
            <w:tcW w:w="3407" w:type="dxa"/>
            <w:shd w:val="clear" w:color="auto" w:fill="auto"/>
          </w:tcPr>
          <w:p w:rsidR="005D7209" w:rsidRPr="00CF5544" w:rsidRDefault="005D7209" w:rsidP="00CF5544">
            <w:pPr>
              <w:widowControl w:val="0"/>
              <w:rPr>
                <w:color w:val="000000"/>
                <w:sz w:val="28"/>
                <w:szCs w:val="28"/>
              </w:rPr>
            </w:pPr>
            <w:r w:rsidRPr="00CF5544">
              <w:rPr>
                <w:color w:val="000000"/>
                <w:sz w:val="28"/>
                <w:szCs w:val="28"/>
              </w:rPr>
              <w:t>Інститут спільного інвестування</w:t>
            </w:r>
          </w:p>
        </w:tc>
      </w:tr>
      <w:tr w:rsidR="005D7209" w:rsidTr="00CF5544">
        <w:trPr>
          <w:trHeight w:val="2264"/>
        </w:trPr>
        <w:tc>
          <w:tcPr>
            <w:tcW w:w="1220" w:type="dxa"/>
            <w:shd w:val="clear" w:color="auto" w:fill="auto"/>
          </w:tcPr>
          <w:p w:rsidR="005D7209" w:rsidRPr="00CF5544" w:rsidRDefault="005D7209" w:rsidP="00CF5544">
            <w:pPr>
              <w:widowControl w:val="0"/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511" w:type="dxa"/>
            <w:shd w:val="clear" w:color="auto" w:fill="auto"/>
          </w:tcPr>
          <w:p w:rsidR="005D7209" w:rsidRPr="00CF5544" w:rsidRDefault="005D7209" w:rsidP="00CF5544">
            <w:pPr>
              <w:widowControl w:val="0"/>
              <w:rPr>
                <w:sz w:val="28"/>
                <w:szCs w:val="28"/>
              </w:rPr>
            </w:pPr>
            <w:r w:rsidRPr="00CF5544">
              <w:rPr>
                <w:sz w:val="28"/>
                <w:szCs w:val="28"/>
              </w:rPr>
              <w:t>ТОВ “ВЕНЧУРНІ ІНВЕСТИЦІЙНІ ПРОЕКТИ" (ідентифікаційний код юридичної особи 32162871)</w:t>
            </w:r>
          </w:p>
        </w:tc>
        <w:tc>
          <w:tcPr>
            <w:tcW w:w="3407" w:type="dxa"/>
            <w:shd w:val="clear" w:color="auto" w:fill="auto"/>
          </w:tcPr>
          <w:p w:rsidR="005D7209" w:rsidRPr="00CF5544" w:rsidRDefault="005D7209" w:rsidP="00CF5544">
            <w:pPr>
              <w:widowControl w:val="0"/>
              <w:rPr>
                <w:color w:val="000000"/>
                <w:sz w:val="28"/>
                <w:szCs w:val="28"/>
              </w:rPr>
            </w:pPr>
            <w:r w:rsidRPr="00CF5544">
              <w:rPr>
                <w:sz w:val="28"/>
                <w:szCs w:val="28"/>
              </w:rPr>
              <w:t xml:space="preserve">ПЗНВІФ "Міжрегіональний венчурний фонд" </w:t>
            </w:r>
            <w:r w:rsidRPr="00CF5544">
              <w:rPr>
                <w:color w:val="000000"/>
                <w:sz w:val="28"/>
                <w:szCs w:val="28"/>
              </w:rPr>
              <w:t xml:space="preserve"> (ЄДРІСІ 233001)</w:t>
            </w:r>
          </w:p>
        </w:tc>
      </w:tr>
      <w:tr w:rsidR="005D7209" w:rsidTr="00CF5544">
        <w:tc>
          <w:tcPr>
            <w:tcW w:w="1220" w:type="dxa"/>
            <w:shd w:val="clear" w:color="auto" w:fill="auto"/>
          </w:tcPr>
          <w:p w:rsidR="005D7209" w:rsidRPr="00CF5544" w:rsidRDefault="005D7209" w:rsidP="00CF5544">
            <w:pPr>
              <w:widowControl w:val="0"/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511" w:type="dxa"/>
            <w:shd w:val="clear" w:color="auto" w:fill="auto"/>
          </w:tcPr>
          <w:p w:rsidR="005D7209" w:rsidRPr="00CF5544" w:rsidRDefault="005D7209" w:rsidP="00CF5544">
            <w:pPr>
              <w:widowControl w:val="0"/>
              <w:rPr>
                <w:sz w:val="28"/>
                <w:szCs w:val="28"/>
              </w:rPr>
            </w:pPr>
            <w:r w:rsidRPr="00CF5544">
              <w:rPr>
                <w:sz w:val="28"/>
                <w:szCs w:val="28"/>
              </w:rPr>
              <w:t>ТОВ "КУА АПФ "СИНТАКС-ІНВЕСТ" (ідентифікаційний код юридичної особи 35133052)</w:t>
            </w:r>
          </w:p>
        </w:tc>
        <w:tc>
          <w:tcPr>
            <w:tcW w:w="3407" w:type="dxa"/>
            <w:shd w:val="clear" w:color="auto" w:fill="auto"/>
          </w:tcPr>
          <w:p w:rsidR="005D7209" w:rsidRPr="00CF5544" w:rsidRDefault="005D7209" w:rsidP="00CF5544">
            <w:pPr>
              <w:widowControl w:val="0"/>
              <w:rPr>
                <w:color w:val="000000"/>
                <w:sz w:val="28"/>
                <w:szCs w:val="28"/>
              </w:rPr>
            </w:pPr>
            <w:r w:rsidRPr="00CF5544">
              <w:rPr>
                <w:color w:val="000000"/>
                <w:sz w:val="28"/>
                <w:szCs w:val="28"/>
              </w:rPr>
              <w:t xml:space="preserve">ПАТ «ЗНВКІФ «Граніт-Інвест»  (ЄДРІСІ 133150)  </w:t>
            </w:r>
          </w:p>
        </w:tc>
      </w:tr>
    </w:tbl>
    <w:p w:rsidR="00495B41" w:rsidRPr="00675FD6" w:rsidRDefault="00495B41" w:rsidP="005D7209">
      <w:pPr>
        <w:tabs>
          <w:tab w:val="left" w:pos="2548"/>
        </w:tabs>
        <w:jc w:val="center"/>
        <w:rPr>
          <w:b/>
          <w:sz w:val="28"/>
          <w:szCs w:val="28"/>
        </w:rPr>
      </w:pPr>
    </w:p>
    <w:sectPr w:rsidR="00495B41" w:rsidRPr="00675FD6" w:rsidSect="0058392C">
      <w:headerReference w:type="default" r:id="rId8"/>
      <w:pgSz w:w="11906" w:h="16838"/>
      <w:pgMar w:top="1418" w:right="566" w:bottom="125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113" w:rsidRDefault="00010113" w:rsidP="00150E06">
      <w:r>
        <w:separator/>
      </w:r>
    </w:p>
  </w:endnote>
  <w:endnote w:type="continuationSeparator" w:id="0">
    <w:p w:rsidR="00010113" w:rsidRDefault="00010113" w:rsidP="0015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113" w:rsidRDefault="00010113" w:rsidP="00150E06">
      <w:r>
        <w:separator/>
      </w:r>
    </w:p>
  </w:footnote>
  <w:footnote w:type="continuationSeparator" w:id="0">
    <w:p w:rsidR="00010113" w:rsidRDefault="00010113" w:rsidP="00150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92C" w:rsidRDefault="0058392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B3B74" w:rsidRPr="00FB3B74">
      <w:rPr>
        <w:noProof/>
        <w:lang w:val="ru-RU"/>
      </w:rPr>
      <w:t>2</w:t>
    </w:r>
    <w:r>
      <w:fldChar w:fldCharType="end"/>
    </w:r>
  </w:p>
  <w:p w:rsidR="0058392C" w:rsidRDefault="0058392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50F0"/>
    <w:multiLevelType w:val="hybridMultilevel"/>
    <w:tmpl w:val="FC9E0718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0B78"/>
    <w:multiLevelType w:val="hybridMultilevel"/>
    <w:tmpl w:val="48DC9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B5E7A"/>
    <w:multiLevelType w:val="hybridMultilevel"/>
    <w:tmpl w:val="5BE287F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3770E8"/>
    <w:multiLevelType w:val="hybridMultilevel"/>
    <w:tmpl w:val="43207890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06C33"/>
    <w:multiLevelType w:val="hybridMultilevel"/>
    <w:tmpl w:val="9626AAF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9A618A3"/>
    <w:multiLevelType w:val="hybridMultilevel"/>
    <w:tmpl w:val="96641F7E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AFC"/>
    <w:rsid w:val="00001BE6"/>
    <w:rsid w:val="00010113"/>
    <w:rsid w:val="00031D2D"/>
    <w:rsid w:val="00033F43"/>
    <w:rsid w:val="000754CB"/>
    <w:rsid w:val="000A14C6"/>
    <w:rsid w:val="000B71F1"/>
    <w:rsid w:val="000D352C"/>
    <w:rsid w:val="000F3365"/>
    <w:rsid w:val="000F3E03"/>
    <w:rsid w:val="00101A7E"/>
    <w:rsid w:val="00114FF1"/>
    <w:rsid w:val="001237BE"/>
    <w:rsid w:val="00134978"/>
    <w:rsid w:val="00144307"/>
    <w:rsid w:val="00150E06"/>
    <w:rsid w:val="00153FAD"/>
    <w:rsid w:val="0019033A"/>
    <w:rsid w:val="00191891"/>
    <w:rsid w:val="001948DC"/>
    <w:rsid w:val="001A2090"/>
    <w:rsid w:val="001A7E78"/>
    <w:rsid w:val="001C3969"/>
    <w:rsid w:val="001C6D43"/>
    <w:rsid w:val="001F2531"/>
    <w:rsid w:val="001F5720"/>
    <w:rsid w:val="001F609D"/>
    <w:rsid w:val="00232DCB"/>
    <w:rsid w:val="002C5E21"/>
    <w:rsid w:val="002F6829"/>
    <w:rsid w:val="003146DB"/>
    <w:rsid w:val="00357F03"/>
    <w:rsid w:val="00373DEB"/>
    <w:rsid w:val="00396A7F"/>
    <w:rsid w:val="003A2FE7"/>
    <w:rsid w:val="00450782"/>
    <w:rsid w:val="004642FD"/>
    <w:rsid w:val="00495B41"/>
    <w:rsid w:val="004A4473"/>
    <w:rsid w:val="004A49D7"/>
    <w:rsid w:val="004C3A6E"/>
    <w:rsid w:val="004C5E6E"/>
    <w:rsid w:val="004E4AC9"/>
    <w:rsid w:val="005240D7"/>
    <w:rsid w:val="00564783"/>
    <w:rsid w:val="0057094B"/>
    <w:rsid w:val="0057686B"/>
    <w:rsid w:val="0058392C"/>
    <w:rsid w:val="00587107"/>
    <w:rsid w:val="005D4F26"/>
    <w:rsid w:val="005D7209"/>
    <w:rsid w:val="005E1718"/>
    <w:rsid w:val="00653545"/>
    <w:rsid w:val="00675FD6"/>
    <w:rsid w:val="00684EAD"/>
    <w:rsid w:val="006A32FF"/>
    <w:rsid w:val="006A6793"/>
    <w:rsid w:val="006B61B1"/>
    <w:rsid w:val="006C093B"/>
    <w:rsid w:val="006C63D2"/>
    <w:rsid w:val="006D59D2"/>
    <w:rsid w:val="007313DF"/>
    <w:rsid w:val="007460A6"/>
    <w:rsid w:val="007520C7"/>
    <w:rsid w:val="007547F1"/>
    <w:rsid w:val="00767F3C"/>
    <w:rsid w:val="007741D2"/>
    <w:rsid w:val="00793FD8"/>
    <w:rsid w:val="007B603E"/>
    <w:rsid w:val="007C35F1"/>
    <w:rsid w:val="007C5ACB"/>
    <w:rsid w:val="00800CD3"/>
    <w:rsid w:val="00810802"/>
    <w:rsid w:val="008141BF"/>
    <w:rsid w:val="00825B1A"/>
    <w:rsid w:val="0082644A"/>
    <w:rsid w:val="008864E4"/>
    <w:rsid w:val="00906E34"/>
    <w:rsid w:val="0091024C"/>
    <w:rsid w:val="009349AA"/>
    <w:rsid w:val="00956503"/>
    <w:rsid w:val="00980CFB"/>
    <w:rsid w:val="009A7908"/>
    <w:rsid w:val="009D0D0D"/>
    <w:rsid w:val="00A019A0"/>
    <w:rsid w:val="00A25389"/>
    <w:rsid w:val="00A376F0"/>
    <w:rsid w:val="00A41401"/>
    <w:rsid w:val="00A43E5C"/>
    <w:rsid w:val="00A50284"/>
    <w:rsid w:val="00A93F79"/>
    <w:rsid w:val="00AA181D"/>
    <w:rsid w:val="00AB2AAB"/>
    <w:rsid w:val="00AC48C8"/>
    <w:rsid w:val="00AF5A20"/>
    <w:rsid w:val="00B03F6D"/>
    <w:rsid w:val="00B2154C"/>
    <w:rsid w:val="00B413B3"/>
    <w:rsid w:val="00B471AB"/>
    <w:rsid w:val="00B51BDD"/>
    <w:rsid w:val="00B53E65"/>
    <w:rsid w:val="00B71AF3"/>
    <w:rsid w:val="00B873AF"/>
    <w:rsid w:val="00B95B81"/>
    <w:rsid w:val="00BA2C75"/>
    <w:rsid w:val="00BE525A"/>
    <w:rsid w:val="00C21280"/>
    <w:rsid w:val="00C41185"/>
    <w:rsid w:val="00C42D53"/>
    <w:rsid w:val="00C56ADE"/>
    <w:rsid w:val="00C64E17"/>
    <w:rsid w:val="00C7574C"/>
    <w:rsid w:val="00C823CE"/>
    <w:rsid w:val="00CB6848"/>
    <w:rsid w:val="00CC5925"/>
    <w:rsid w:val="00CD1EBC"/>
    <w:rsid w:val="00CD3B34"/>
    <w:rsid w:val="00CF39F7"/>
    <w:rsid w:val="00CF5544"/>
    <w:rsid w:val="00D31C75"/>
    <w:rsid w:val="00D56976"/>
    <w:rsid w:val="00D61019"/>
    <w:rsid w:val="00DB2F7B"/>
    <w:rsid w:val="00DB4AFC"/>
    <w:rsid w:val="00DE2525"/>
    <w:rsid w:val="00DE4531"/>
    <w:rsid w:val="00DF27F0"/>
    <w:rsid w:val="00E207CB"/>
    <w:rsid w:val="00E2393C"/>
    <w:rsid w:val="00E379AB"/>
    <w:rsid w:val="00E46A32"/>
    <w:rsid w:val="00E75A48"/>
    <w:rsid w:val="00E902D9"/>
    <w:rsid w:val="00EA4948"/>
    <w:rsid w:val="00EC10B1"/>
    <w:rsid w:val="00EE42AE"/>
    <w:rsid w:val="00EE6A3E"/>
    <w:rsid w:val="00F07DEE"/>
    <w:rsid w:val="00F41F5B"/>
    <w:rsid w:val="00F4776E"/>
    <w:rsid w:val="00F5724D"/>
    <w:rsid w:val="00F85E1E"/>
    <w:rsid w:val="00FA29AA"/>
    <w:rsid w:val="00FA4CB6"/>
    <w:rsid w:val="00FB3B74"/>
    <w:rsid w:val="00FB6FC3"/>
    <w:rsid w:val="00FC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D35FC9-DFD7-47DD-A87A-43E8CDC0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AFC"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rsid w:val="00DB4AFC"/>
    <w:pPr>
      <w:keepNext/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qFormat/>
    <w:rsid w:val="00DB4AFC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aaieiaie4">
    <w:name w:val="caaieiaie 4"/>
    <w:basedOn w:val="a"/>
    <w:next w:val="a"/>
    <w:rsid w:val="00DB4AFC"/>
    <w:pPr>
      <w:keepNext/>
      <w:widowControl w:val="0"/>
      <w:jc w:val="center"/>
    </w:pPr>
    <w:rPr>
      <w:rFonts w:ascii="Pragmatica" w:hAnsi="Pragmatica"/>
      <w:b/>
      <w:szCs w:val="20"/>
    </w:rPr>
  </w:style>
  <w:style w:type="table" w:styleId="a3">
    <w:name w:val="Table Grid"/>
    <w:basedOn w:val="a1"/>
    <w:rsid w:val="0049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50E0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150E06"/>
    <w:rPr>
      <w:sz w:val="24"/>
      <w:szCs w:val="24"/>
      <w:lang w:eastAsia="ru-RU"/>
    </w:rPr>
  </w:style>
  <w:style w:type="paragraph" w:styleId="a6">
    <w:name w:val="footer"/>
    <w:basedOn w:val="a"/>
    <w:link w:val="a7"/>
    <w:rsid w:val="00150E0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150E06"/>
    <w:rPr>
      <w:sz w:val="24"/>
      <w:szCs w:val="24"/>
      <w:lang w:eastAsia="ru-RU"/>
    </w:rPr>
  </w:style>
  <w:style w:type="character" w:styleId="a8">
    <w:name w:val="Hyperlink"/>
    <w:uiPriority w:val="99"/>
    <w:rsid w:val="00524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SSMSC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hubska</dc:creator>
  <cp:keywords/>
  <cp:lastModifiedBy>Руслан Кисляк</cp:lastModifiedBy>
  <cp:revision>2</cp:revision>
  <cp:lastPrinted>2018-03-15T09:05:00Z</cp:lastPrinted>
  <dcterms:created xsi:type="dcterms:W3CDTF">2020-07-07T12:03:00Z</dcterms:created>
  <dcterms:modified xsi:type="dcterms:W3CDTF">2020-07-07T12:03:00Z</dcterms:modified>
</cp:coreProperties>
</file>