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BB" w:rsidRDefault="00A81EBB" w:rsidP="00A81EBB">
      <w:pPr>
        <w:keepNext/>
        <w:spacing w:before="120" w:after="120"/>
        <w:jc w:val="center"/>
        <w:rPr>
          <w:i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BB" w:rsidRPr="00A81EBB" w:rsidRDefault="00A81EBB" w:rsidP="00A81EBB">
      <w:pPr>
        <w:keepNext/>
        <w:spacing w:before="120" w:after="120"/>
        <w:jc w:val="center"/>
        <w:rPr>
          <w:b/>
          <w:sz w:val="26"/>
          <w:szCs w:val="26"/>
          <w:lang w:eastAsia="ru-RU"/>
        </w:rPr>
      </w:pPr>
      <w:r w:rsidRPr="00A81EBB">
        <w:rPr>
          <w:b/>
          <w:sz w:val="26"/>
          <w:szCs w:val="26"/>
          <w:lang w:eastAsia="ru-RU"/>
        </w:rPr>
        <w:t>НАЦІОНАЛЬНА КОМІСІЯ З ЦІННИХ ПАПЕРІВ ТА ФОНДОВОГО РИНКУ</w:t>
      </w:r>
    </w:p>
    <w:p w:rsidR="00A81EBB" w:rsidRDefault="00A81EBB" w:rsidP="00A81EBB">
      <w:pPr>
        <w:keepNext/>
        <w:tabs>
          <w:tab w:val="left" w:pos="993"/>
        </w:tabs>
        <w:spacing w:before="120" w:after="120"/>
        <w:ind w:left="567"/>
        <w:jc w:val="center"/>
        <w:rPr>
          <w:lang w:eastAsia="ru-RU"/>
        </w:rPr>
      </w:pPr>
    </w:p>
    <w:p w:rsidR="00A81EBB" w:rsidRDefault="00A81EBB" w:rsidP="00A81EBB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>
        <w:rPr>
          <w:b/>
          <w:caps/>
          <w:spacing w:val="100"/>
          <w:sz w:val="28"/>
          <w:szCs w:val="28"/>
          <w:lang w:eastAsia="ru-RU"/>
        </w:rPr>
        <w:t>Наказ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81EBB" w:rsidTr="00A81EBB">
        <w:trPr>
          <w:trHeight w:val="620"/>
          <w:jc w:val="center"/>
        </w:trPr>
        <w:tc>
          <w:tcPr>
            <w:tcW w:w="3622" w:type="dxa"/>
            <w:hideMark/>
          </w:tcPr>
          <w:p w:rsidR="00A81EBB" w:rsidRDefault="00BE14EE" w:rsidP="00BE14EE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  <w:r w:rsidRPr="00BE14EE">
              <w:rPr>
                <w:sz w:val="28"/>
                <w:szCs w:val="28"/>
                <w:lang w:eastAsia="ru-RU"/>
              </w:rPr>
              <w:t>12.</w:t>
            </w:r>
            <w:r w:rsidR="00A81EBB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val="en-US" w:eastAsia="ru-RU"/>
              </w:rPr>
              <w:t xml:space="preserve">22 </w:t>
            </w:r>
            <w:r w:rsidR="00A81EBB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A81EBB" w:rsidRDefault="00A81EBB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A81EBB" w:rsidRPr="00BE14EE" w:rsidRDefault="00A81EBB" w:rsidP="00BE14EE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BE14EE" w:rsidRPr="00BE14EE">
              <w:rPr>
                <w:sz w:val="28"/>
                <w:szCs w:val="28"/>
                <w:lang w:eastAsia="ru-RU"/>
              </w:rPr>
              <w:t>123</w:t>
            </w:r>
          </w:p>
        </w:tc>
      </w:tr>
    </w:tbl>
    <w:p w:rsidR="00846182" w:rsidRPr="00846182" w:rsidRDefault="00846182" w:rsidP="00A81EBB">
      <w:pPr>
        <w:pStyle w:val="2"/>
        <w:numPr>
          <w:ilvl w:val="0"/>
          <w:numId w:val="0"/>
        </w:numPr>
      </w:pPr>
    </w:p>
    <w:tbl>
      <w:tblPr>
        <w:tblpPr w:leftFromText="180" w:rightFromText="180" w:vertAnchor="page" w:horzAnchor="margin" w:tblpXSpec="right" w:tblpY="477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4950"/>
      </w:tblGrid>
      <w:tr w:rsidR="00846182" w:rsidRPr="001640DA" w:rsidTr="00D82EF8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846182" w:rsidRPr="004214EC" w:rsidRDefault="00846182" w:rsidP="00846182">
            <w:pPr>
              <w:ind w:right="831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Щодо затвердження Опису розділів та схем ХМL файлів електронної форми </w:t>
            </w:r>
            <w:r w:rsidRPr="00846182">
              <w:rPr>
                <w:b/>
                <w:sz w:val="28"/>
                <w:szCs w:val="28"/>
              </w:rPr>
              <w:t>звітних даних довідки про розрахунок нормативу ліквідності активів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846182" w:rsidRPr="00766E2F" w:rsidRDefault="00846182" w:rsidP="00D82EF8">
            <w:pPr>
              <w:ind w:left="142"/>
              <w:rPr>
                <w:b/>
                <w:sz w:val="28"/>
                <w:szCs w:val="28"/>
              </w:rPr>
            </w:pPr>
          </w:p>
        </w:tc>
      </w:tr>
    </w:tbl>
    <w:p w:rsidR="00B6136D" w:rsidRDefault="00846182" w:rsidP="00B6136D">
      <w:pPr>
        <w:spacing w:before="240"/>
        <w:ind w:firstLine="709"/>
        <w:rPr>
          <w:rFonts w:ascii="Times New Roman CYR" w:hAnsi="Times New Roman CYR" w:cs="Times New Roman CYR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Відповідно до пункту 4 рішення Державної комісії з цінних паперів та фондового ринку від 13.05.2011 року №491 «Про затвердження відкритого формату передачі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 року за №658/19396 (із змінами), та з метою упорядкування складання п</w:t>
      </w:r>
      <w:r w:rsidRPr="00B6136D">
        <w:rPr>
          <w:spacing w:val="-6"/>
          <w:sz w:val="28"/>
          <w:szCs w:val="28"/>
        </w:rPr>
        <w:t xml:space="preserve">рофесійними учасниками ринків капіталу та </w:t>
      </w:r>
      <w:r w:rsidR="00B6136D" w:rsidRPr="00B6136D">
        <w:rPr>
          <w:spacing w:val="-6"/>
          <w:sz w:val="28"/>
          <w:szCs w:val="28"/>
        </w:rPr>
        <w:t>організованих товарних ринків</w:t>
      </w:r>
      <w:r w:rsidRPr="00B6136D">
        <w:rPr>
          <w:spacing w:val="-6"/>
          <w:sz w:val="28"/>
          <w:szCs w:val="28"/>
        </w:rPr>
        <w:t xml:space="preserve"> </w:t>
      </w:r>
      <w:r w:rsidR="00B6136D" w:rsidRPr="00B6136D">
        <w:rPr>
          <w:spacing w:val="-6"/>
          <w:sz w:val="28"/>
          <w:szCs w:val="28"/>
        </w:rPr>
        <w:t>звітних даних та інших відомостей, зокрема звітних даних довідки про розрахунок нормативу ліквідності активів,</w:t>
      </w:r>
      <w:r w:rsidR="00B6136D">
        <w:rPr>
          <w:spacing w:val="-6"/>
          <w:sz w:val="28"/>
          <w:szCs w:val="28"/>
        </w:rPr>
        <w:t xml:space="preserve"> </w:t>
      </w:r>
      <w:r w:rsidRPr="00B6136D">
        <w:rPr>
          <w:spacing w:val="-6"/>
          <w:sz w:val="28"/>
          <w:szCs w:val="28"/>
        </w:rPr>
        <w:t xml:space="preserve">та подання відповідних документів до Національної комісії з цінних паперів та фондового ринку </w:t>
      </w:r>
      <w:r w:rsidR="00B96990">
        <w:rPr>
          <w:spacing w:val="-6"/>
          <w:sz w:val="28"/>
          <w:szCs w:val="28"/>
        </w:rPr>
        <w:t xml:space="preserve">відповідно до п.6 </w:t>
      </w:r>
      <w:r w:rsidRPr="00B6136D">
        <w:rPr>
          <w:spacing w:val="-6"/>
          <w:sz w:val="28"/>
          <w:szCs w:val="28"/>
        </w:rPr>
        <w:t xml:space="preserve"> рішення Національної комісії з цінних паперів та фондового ринку </w:t>
      </w:r>
      <w:r w:rsidR="00B6136D" w:rsidRPr="00B6136D">
        <w:rPr>
          <w:spacing w:val="-6"/>
          <w:sz w:val="28"/>
          <w:szCs w:val="28"/>
        </w:rPr>
        <w:t xml:space="preserve">від 23.04.2022 року №314 </w:t>
      </w:r>
      <w:r w:rsidRPr="00B6136D">
        <w:rPr>
          <w:spacing w:val="-6"/>
          <w:sz w:val="28"/>
          <w:szCs w:val="28"/>
        </w:rPr>
        <w:t>(із змінами</w:t>
      </w:r>
      <w:r w:rsidR="00B6136D" w:rsidRPr="00B6136D">
        <w:rPr>
          <w:spacing w:val="-6"/>
          <w:sz w:val="28"/>
          <w:szCs w:val="28"/>
        </w:rPr>
        <w:t xml:space="preserve"> та доповненнями</w:t>
      </w:r>
      <w:r w:rsidRPr="00B6136D">
        <w:rPr>
          <w:spacing w:val="-6"/>
          <w:sz w:val="28"/>
          <w:szCs w:val="28"/>
        </w:rPr>
        <w:t>)</w:t>
      </w:r>
      <w:r w:rsidR="00B6136D">
        <w:rPr>
          <w:spacing w:val="-6"/>
          <w:sz w:val="28"/>
          <w:szCs w:val="28"/>
        </w:rPr>
        <w:t xml:space="preserve"> </w:t>
      </w:r>
      <w:r w:rsidR="00B6136D" w:rsidRPr="00B6136D">
        <w:rPr>
          <w:spacing w:val="-6"/>
          <w:sz w:val="28"/>
          <w:szCs w:val="28"/>
        </w:rPr>
        <w:t>у редакції рішення Національної комісії з цінних паперів та фондового ринку</w:t>
      </w:r>
      <w:r w:rsidR="00B6136D">
        <w:rPr>
          <w:spacing w:val="-6"/>
          <w:sz w:val="28"/>
          <w:szCs w:val="28"/>
        </w:rPr>
        <w:t xml:space="preserve"> 13.10.2022 р. №</w:t>
      </w:r>
      <w:r w:rsidR="00B6136D" w:rsidRPr="00B6136D">
        <w:rPr>
          <w:spacing w:val="-6"/>
          <w:sz w:val="28"/>
          <w:szCs w:val="28"/>
        </w:rPr>
        <w:t>1250</w:t>
      </w:r>
      <w:r w:rsidR="00B6136D">
        <w:rPr>
          <w:spacing w:val="-6"/>
          <w:sz w:val="28"/>
          <w:szCs w:val="28"/>
        </w:rPr>
        <w:t xml:space="preserve"> </w:t>
      </w:r>
      <w:r w:rsidRPr="00B6136D">
        <w:rPr>
          <w:spacing w:val="-6"/>
          <w:sz w:val="28"/>
          <w:szCs w:val="28"/>
        </w:rPr>
        <w:t>(далі – Положення),</w:t>
      </w:r>
      <w:r w:rsidRPr="0057421F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</w:p>
    <w:p w:rsidR="00B96990" w:rsidRDefault="00B96990" w:rsidP="00846182">
      <w:pPr>
        <w:spacing w:after="144"/>
        <w:jc w:val="center"/>
        <w:rPr>
          <w:b/>
          <w:sz w:val="28"/>
          <w:szCs w:val="28"/>
        </w:rPr>
      </w:pPr>
    </w:p>
    <w:p w:rsidR="00846182" w:rsidRDefault="00846182" w:rsidP="00846182">
      <w:pPr>
        <w:spacing w:after="144"/>
        <w:jc w:val="center"/>
        <w:rPr>
          <w:b/>
          <w:sz w:val="28"/>
          <w:szCs w:val="28"/>
        </w:rPr>
      </w:pPr>
      <w:r w:rsidRPr="00E82894">
        <w:rPr>
          <w:b/>
          <w:sz w:val="28"/>
          <w:szCs w:val="28"/>
        </w:rPr>
        <w:t>Н А К А З У Ю:</w:t>
      </w:r>
    </w:p>
    <w:p w:rsidR="00B96990" w:rsidRDefault="00B96990" w:rsidP="00846182">
      <w:pPr>
        <w:spacing w:after="144"/>
        <w:jc w:val="center"/>
        <w:rPr>
          <w:b/>
          <w:sz w:val="28"/>
          <w:szCs w:val="28"/>
        </w:rPr>
      </w:pPr>
    </w:p>
    <w:p w:rsidR="00846182" w:rsidRPr="00B6136D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7C3069">
        <w:rPr>
          <w:b w:val="0"/>
          <w:sz w:val="28"/>
          <w:szCs w:val="28"/>
        </w:rPr>
        <w:t xml:space="preserve">Затвердити Опис розділів та схем ХМL файлів електронної форми </w:t>
      </w:r>
      <w:r w:rsidR="00B6136D" w:rsidRPr="00846182">
        <w:rPr>
          <w:b w:val="0"/>
          <w:sz w:val="28"/>
          <w:szCs w:val="28"/>
        </w:rPr>
        <w:t>звітних даних довідки про розрахунок нормативу ліквідності активів</w:t>
      </w:r>
      <w:r w:rsidR="00B6136D" w:rsidRPr="007C3069">
        <w:rPr>
          <w:b w:val="0"/>
          <w:sz w:val="28"/>
          <w:szCs w:val="28"/>
        </w:rPr>
        <w:t xml:space="preserve"> </w:t>
      </w:r>
      <w:r w:rsidRPr="007C3069">
        <w:rPr>
          <w:b w:val="0"/>
          <w:sz w:val="28"/>
          <w:szCs w:val="28"/>
        </w:rPr>
        <w:t>(далі – Дані)</w:t>
      </w:r>
      <w:r w:rsidRPr="00457408">
        <w:rPr>
          <w:b w:val="0"/>
          <w:sz w:val="28"/>
          <w:szCs w:val="28"/>
        </w:rPr>
        <w:t xml:space="preserve"> що додається</w:t>
      </w:r>
      <w:r w:rsidRPr="007C3069">
        <w:rPr>
          <w:b w:val="0"/>
          <w:sz w:val="28"/>
          <w:szCs w:val="28"/>
        </w:rPr>
        <w:t>.</w:t>
      </w:r>
    </w:p>
    <w:p w:rsidR="00846182" w:rsidRPr="007C3069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7C3069">
        <w:rPr>
          <w:b w:val="0"/>
          <w:sz w:val="28"/>
          <w:szCs w:val="28"/>
        </w:rPr>
        <w:t xml:space="preserve">Електронна форма інформації осіб, що здійснюють </w:t>
      </w:r>
      <w:r w:rsidR="00B6136D" w:rsidRPr="00B6136D">
        <w:rPr>
          <w:b w:val="0"/>
          <w:sz w:val="28"/>
          <w:szCs w:val="28"/>
        </w:rPr>
        <w:t>професійними учасниками ринків капіталу та організованих товарних ринків</w:t>
      </w:r>
      <w:r w:rsidRPr="007C3069">
        <w:rPr>
          <w:b w:val="0"/>
          <w:sz w:val="28"/>
          <w:szCs w:val="28"/>
        </w:rPr>
        <w:t xml:space="preserve"> (далі – </w:t>
      </w:r>
      <w:r w:rsidR="00DD29FC" w:rsidRPr="00DD29FC">
        <w:rPr>
          <w:b w:val="0"/>
          <w:sz w:val="28"/>
          <w:szCs w:val="28"/>
        </w:rPr>
        <w:t>Професійні учасники</w:t>
      </w:r>
      <w:r w:rsidRPr="007C3069">
        <w:rPr>
          <w:b w:val="0"/>
          <w:sz w:val="28"/>
          <w:szCs w:val="28"/>
        </w:rPr>
        <w:t>) складається з файлу «</w:t>
      </w:r>
      <w:r w:rsidRPr="00B6136D">
        <w:rPr>
          <w:b w:val="0"/>
          <w:sz w:val="28"/>
          <w:szCs w:val="28"/>
        </w:rPr>
        <w:t>Report</w:t>
      </w:r>
      <w:r w:rsidRPr="007C3069">
        <w:rPr>
          <w:b w:val="0"/>
          <w:sz w:val="28"/>
          <w:szCs w:val="28"/>
        </w:rPr>
        <w:t>.</w:t>
      </w:r>
      <w:r w:rsidRPr="00B6136D">
        <w:rPr>
          <w:b w:val="0"/>
          <w:sz w:val="28"/>
          <w:szCs w:val="28"/>
        </w:rPr>
        <w:t>xml</w:t>
      </w:r>
      <w:r w:rsidRPr="007C3069">
        <w:rPr>
          <w:b w:val="0"/>
          <w:sz w:val="28"/>
          <w:szCs w:val="28"/>
        </w:rPr>
        <w:t xml:space="preserve">», який відповідає схемі: </w:t>
      </w:r>
    </w:p>
    <w:p w:rsidR="00846182" w:rsidRPr="007C3069" w:rsidRDefault="00846182" w:rsidP="00846182">
      <w:pPr>
        <w:rPr>
          <w:sz w:val="28"/>
          <w:szCs w:val="28"/>
        </w:rPr>
      </w:pPr>
      <w:r w:rsidRPr="00B96990">
        <w:rPr>
          <w:sz w:val="28"/>
          <w:szCs w:val="28"/>
        </w:rPr>
        <w:t xml:space="preserve">для </w:t>
      </w:r>
      <w:r w:rsidR="00B96990" w:rsidRPr="00B96990">
        <w:rPr>
          <w:sz w:val="28"/>
          <w:szCs w:val="28"/>
        </w:rPr>
        <w:t>звітних даних</w:t>
      </w:r>
      <w:r w:rsidRPr="007C3069">
        <w:rPr>
          <w:sz w:val="28"/>
          <w:szCs w:val="28"/>
        </w:rPr>
        <w:t xml:space="preserve"> </w:t>
      </w:r>
      <w:r w:rsidR="00DD29FC" w:rsidRPr="00DD29FC">
        <w:rPr>
          <w:sz w:val="28"/>
          <w:szCs w:val="28"/>
        </w:rPr>
        <w:t>Професійних учасників</w:t>
      </w:r>
      <w:r w:rsidRPr="00DD29FC">
        <w:rPr>
          <w:bCs/>
          <w:kern w:val="1"/>
          <w:sz w:val="28"/>
          <w:szCs w:val="28"/>
        </w:rPr>
        <w:t>:</w:t>
      </w:r>
    </w:p>
    <w:p w:rsidR="00CF61CC" w:rsidRDefault="00846182" w:rsidP="00B96990">
      <w:pPr>
        <w:ind w:firstLine="720"/>
        <w:rPr>
          <w:sz w:val="28"/>
          <w:szCs w:val="28"/>
        </w:rPr>
      </w:pPr>
      <w:r w:rsidRPr="007C3069">
        <w:rPr>
          <w:sz w:val="28"/>
          <w:szCs w:val="28"/>
        </w:rPr>
        <w:t>щоміся</w:t>
      </w:r>
      <w:r w:rsidR="00B96990">
        <w:rPr>
          <w:sz w:val="28"/>
          <w:szCs w:val="28"/>
        </w:rPr>
        <w:t>чні Дані – схема «Month</w:t>
      </w:r>
      <w:r w:rsidR="00B96990">
        <w:rPr>
          <w:sz w:val="28"/>
          <w:szCs w:val="28"/>
          <w:lang w:val="en-US"/>
        </w:rPr>
        <w:t>LIC</w:t>
      </w:r>
      <w:r w:rsidR="00B96990">
        <w:rPr>
          <w:sz w:val="28"/>
          <w:szCs w:val="28"/>
        </w:rPr>
        <w:t>.xsd»</w:t>
      </w:r>
      <w:r w:rsidR="00CF61CC">
        <w:rPr>
          <w:sz w:val="28"/>
          <w:szCs w:val="28"/>
        </w:rPr>
        <w:t>;</w:t>
      </w:r>
    </w:p>
    <w:p w:rsidR="00846182" w:rsidRDefault="00CF61CC" w:rsidP="00B96990">
      <w:pPr>
        <w:ind w:firstLine="720"/>
        <w:rPr>
          <w:sz w:val="28"/>
          <w:szCs w:val="28"/>
        </w:rPr>
      </w:pPr>
      <w:r w:rsidRPr="00CF61CC">
        <w:rPr>
          <w:sz w:val="28"/>
          <w:szCs w:val="28"/>
        </w:rPr>
        <w:t>нерегулярн</w:t>
      </w:r>
      <w:r>
        <w:rPr>
          <w:sz w:val="28"/>
          <w:szCs w:val="28"/>
        </w:rPr>
        <w:t>і Дані – схема «</w:t>
      </w:r>
      <w:r w:rsidRPr="001712E1">
        <w:rPr>
          <w:color w:val="000000" w:themeColor="text1"/>
          <w:sz w:val="28"/>
        </w:rPr>
        <w:t>Irreg</w:t>
      </w:r>
      <w:r>
        <w:rPr>
          <w:sz w:val="28"/>
          <w:szCs w:val="28"/>
          <w:lang w:val="en-US"/>
        </w:rPr>
        <w:t>LIC</w:t>
      </w:r>
      <w:r>
        <w:rPr>
          <w:sz w:val="28"/>
          <w:szCs w:val="28"/>
        </w:rPr>
        <w:t>.xsd»</w:t>
      </w:r>
      <w:r w:rsidR="00846182">
        <w:rPr>
          <w:sz w:val="28"/>
          <w:szCs w:val="28"/>
        </w:rPr>
        <w:t>.</w:t>
      </w:r>
    </w:p>
    <w:p w:rsidR="00846182" w:rsidRPr="00457408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457408">
        <w:rPr>
          <w:b w:val="0"/>
          <w:sz w:val="28"/>
          <w:szCs w:val="28"/>
        </w:rPr>
        <w:t xml:space="preserve">Дані складаються з використанням Системи довідників та класифікаторів Національної комісії з цінних паперів та фондового ринку, </w:t>
      </w:r>
      <w:r w:rsidRPr="00457408">
        <w:rPr>
          <w:b w:val="0"/>
          <w:sz w:val="28"/>
          <w:szCs w:val="28"/>
        </w:rPr>
        <w:lastRenderedPageBreak/>
        <w:t>затвердженої рішенням Комісії від 08.05.2012 року №646, зареєстрованої в Міністерстві юстиції України 25.05.2012 року за №831/21143 (із змінами і доповненнями).</w:t>
      </w:r>
    </w:p>
    <w:p w:rsidR="00B96990" w:rsidRPr="00B96990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457408">
        <w:rPr>
          <w:b w:val="0"/>
          <w:sz w:val="28"/>
          <w:szCs w:val="28"/>
        </w:rPr>
        <w:t>Цей наказ набуває чинність</w:t>
      </w:r>
      <w:r w:rsidR="00B96990">
        <w:rPr>
          <w:b w:val="0"/>
          <w:sz w:val="28"/>
          <w:szCs w:val="28"/>
        </w:rPr>
        <w:t xml:space="preserve"> у </w:t>
      </w:r>
      <w:r w:rsidR="00B96990" w:rsidRPr="00B96990">
        <w:rPr>
          <w:b w:val="0"/>
          <w:sz w:val="28"/>
          <w:szCs w:val="28"/>
        </w:rPr>
        <w:t xml:space="preserve">відповідності до п. 6 </w:t>
      </w:r>
      <w:r w:rsidR="00B96990" w:rsidRPr="00B96990">
        <w:rPr>
          <w:b w:val="0"/>
          <w:spacing w:val="-6"/>
          <w:sz w:val="28"/>
          <w:szCs w:val="28"/>
        </w:rPr>
        <w:t>Положення.</w:t>
      </w:r>
    </w:p>
    <w:p w:rsidR="00846182" w:rsidRPr="007C3069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7C3069">
        <w:rPr>
          <w:b w:val="0"/>
          <w:sz w:val="28"/>
          <w:szCs w:val="28"/>
        </w:rPr>
        <w:t>Департаменту інформаційних технологій</w:t>
      </w:r>
      <w:r w:rsidR="00A81EBB">
        <w:rPr>
          <w:b w:val="0"/>
          <w:sz w:val="28"/>
          <w:szCs w:val="28"/>
        </w:rPr>
        <w:t xml:space="preserve"> (А. Заїка)</w:t>
      </w:r>
      <w:r w:rsidRPr="007C3069">
        <w:rPr>
          <w:b w:val="0"/>
          <w:sz w:val="28"/>
          <w:szCs w:val="28"/>
        </w:rPr>
        <w:t xml:space="preserve"> забезпечити оприлюднення</w:t>
      </w:r>
      <w:r>
        <w:rPr>
          <w:b w:val="0"/>
          <w:sz w:val="28"/>
          <w:szCs w:val="28"/>
        </w:rPr>
        <w:t xml:space="preserve"> цього наказу на офіційному веб</w:t>
      </w:r>
      <w:r w:rsidRPr="007C3069">
        <w:rPr>
          <w:b w:val="0"/>
          <w:sz w:val="28"/>
          <w:szCs w:val="28"/>
        </w:rPr>
        <w:t>сайті Комісії.</w:t>
      </w:r>
    </w:p>
    <w:p w:rsidR="00846182" w:rsidRPr="007C3069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7C3069">
        <w:rPr>
          <w:b w:val="0"/>
          <w:sz w:val="28"/>
          <w:szCs w:val="28"/>
        </w:rPr>
        <w:t>Цей наказ є окремим документом нормативно-технічного характеру.</w:t>
      </w:r>
    </w:p>
    <w:p w:rsidR="00846182" w:rsidRPr="007C3069" w:rsidRDefault="00846182" w:rsidP="00846182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7C3069">
        <w:rPr>
          <w:b w:val="0"/>
          <w:sz w:val="28"/>
          <w:szCs w:val="28"/>
        </w:rPr>
        <w:t xml:space="preserve">Контроль за виконанням цього наказу </w:t>
      </w:r>
      <w:r w:rsidR="00A81EBB">
        <w:rPr>
          <w:b w:val="0"/>
          <w:sz w:val="28"/>
          <w:szCs w:val="28"/>
          <w:lang w:val="ru-RU"/>
        </w:rPr>
        <w:t>покласти на члена Ком</w:t>
      </w:r>
      <w:r w:rsidR="00A81EBB">
        <w:rPr>
          <w:b w:val="0"/>
          <w:sz w:val="28"/>
          <w:szCs w:val="28"/>
        </w:rPr>
        <w:t>ісії Ю. Бойко</w:t>
      </w:r>
      <w:r w:rsidRPr="007C3069">
        <w:rPr>
          <w:b w:val="0"/>
          <w:sz w:val="28"/>
          <w:szCs w:val="28"/>
        </w:rPr>
        <w:t>.</w:t>
      </w:r>
    </w:p>
    <w:p w:rsidR="00846182" w:rsidRPr="007C3069" w:rsidRDefault="00846182" w:rsidP="00846182">
      <w:pPr>
        <w:pStyle w:val="1"/>
        <w:numPr>
          <w:ilvl w:val="0"/>
          <w:numId w:val="0"/>
        </w:numPr>
        <w:tabs>
          <w:tab w:val="left" w:pos="1080"/>
        </w:tabs>
        <w:spacing w:before="0"/>
        <w:ind w:left="1287"/>
        <w:jc w:val="both"/>
        <w:rPr>
          <w:sz w:val="28"/>
          <w:szCs w:val="28"/>
        </w:rPr>
      </w:pPr>
    </w:p>
    <w:p w:rsidR="00846182" w:rsidRPr="00A81EBB" w:rsidRDefault="00846182" w:rsidP="00846182">
      <w:pPr>
        <w:spacing w:before="360"/>
        <w:ind w:firstLine="720"/>
        <w:rPr>
          <w:b/>
          <w:sz w:val="28"/>
          <w:szCs w:val="28"/>
          <w:lang w:val="ru-RU"/>
        </w:rPr>
      </w:pPr>
      <w:r w:rsidRPr="007C3069">
        <w:rPr>
          <w:b/>
          <w:sz w:val="28"/>
          <w:szCs w:val="28"/>
        </w:rPr>
        <w:t>Голова Комісії</w:t>
      </w:r>
      <w:r w:rsidRPr="007C3069"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ab/>
      </w:r>
      <w:r w:rsidRPr="007C30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</w:t>
      </w:r>
      <w:r w:rsidR="00A81EBB">
        <w:rPr>
          <w:b/>
          <w:sz w:val="28"/>
          <w:szCs w:val="28"/>
          <w:lang w:val="ru-RU"/>
        </w:rPr>
        <w:t>услан</w:t>
      </w:r>
      <w:r w:rsidRPr="007C306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</w:t>
      </w:r>
      <w:r w:rsidR="00A81EBB">
        <w:rPr>
          <w:b/>
          <w:sz w:val="28"/>
          <w:szCs w:val="28"/>
          <w:lang w:val="ru-RU"/>
        </w:rPr>
        <w:t>АГОМЕДОВ</w:t>
      </w:r>
    </w:p>
    <w:p w:rsidR="00846182" w:rsidRPr="007C3069" w:rsidRDefault="00846182" w:rsidP="00846182">
      <w:pPr>
        <w:spacing w:after="160" w:line="259" w:lineRule="auto"/>
        <w:rPr>
          <w:b/>
          <w:sz w:val="28"/>
          <w:szCs w:val="28"/>
        </w:rPr>
      </w:pPr>
    </w:p>
    <w:p w:rsidR="00846182" w:rsidRDefault="00846182" w:rsidP="00846182"/>
    <w:p w:rsidR="00846182" w:rsidRDefault="00846182" w:rsidP="00846182"/>
    <w:p w:rsidR="00846182" w:rsidRDefault="00846182" w:rsidP="00846182"/>
    <w:p w:rsidR="00846182" w:rsidRDefault="00846182" w:rsidP="00846182"/>
    <w:p w:rsidR="00846182" w:rsidRDefault="00846182" w:rsidP="00846182"/>
    <w:p w:rsidR="00846182" w:rsidRDefault="00846182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846182"/>
    <w:p w:rsidR="00B96990" w:rsidRDefault="00B96990" w:rsidP="00B96990">
      <w:pPr>
        <w:widowControl w:val="0"/>
        <w:autoSpaceDE w:val="0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ЗАТВЕРДЖЕНО </w:t>
      </w:r>
    </w:p>
    <w:p w:rsidR="00B96990" w:rsidRDefault="00B96990" w:rsidP="00B96990">
      <w:pPr>
        <w:widowControl w:val="0"/>
        <w:autoSpaceDE w:val="0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наказом Голови Комісії</w:t>
      </w:r>
    </w:p>
    <w:p w:rsidR="00B96990" w:rsidRPr="006D548B" w:rsidRDefault="00B96990" w:rsidP="00B96990">
      <w:pPr>
        <w:widowControl w:val="0"/>
        <w:autoSpaceDE w:val="0"/>
        <w:ind w:left="5760"/>
        <w:rPr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Pr="008E430D">
        <w:rPr>
          <w:color w:val="000000"/>
          <w:sz w:val="28"/>
          <w:szCs w:val="28"/>
        </w:rPr>
        <w:t xml:space="preserve"> </w:t>
      </w:r>
      <w:r w:rsidR="00900F1D">
        <w:rPr>
          <w:color w:val="000000"/>
          <w:sz w:val="28"/>
          <w:szCs w:val="28"/>
        </w:rPr>
        <w:t>12.12</w:t>
      </w:r>
      <w:r>
        <w:rPr>
          <w:color w:val="000000"/>
          <w:sz w:val="28"/>
          <w:szCs w:val="28"/>
        </w:rPr>
        <w:t>.20</w:t>
      </w:r>
      <w:r w:rsidRPr="008E430D">
        <w:rPr>
          <w:color w:val="000000"/>
          <w:sz w:val="28"/>
          <w:szCs w:val="28"/>
        </w:rPr>
        <w:t>2</w:t>
      </w:r>
      <w:r w:rsidRPr="00B969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№ </w:t>
      </w:r>
      <w:r w:rsidR="00900F1D" w:rsidRPr="006D548B">
        <w:rPr>
          <w:color w:val="000000"/>
          <w:sz w:val="28"/>
          <w:szCs w:val="28"/>
        </w:rPr>
        <w:t>123</w:t>
      </w:r>
    </w:p>
    <w:p w:rsidR="00B96990" w:rsidRPr="00AA748E" w:rsidRDefault="00B96990" w:rsidP="00B96990">
      <w:pPr>
        <w:pStyle w:val="Heading"/>
        <w:rPr>
          <w:sz w:val="24"/>
          <w:szCs w:val="24"/>
        </w:rPr>
      </w:pPr>
      <w:r w:rsidRPr="00AA748E">
        <w:rPr>
          <w:rFonts w:ascii="Times New Roman" w:hAnsi="Times New Roman" w:cs="Times New Roman"/>
          <w:sz w:val="24"/>
          <w:szCs w:val="24"/>
        </w:rPr>
        <w:t xml:space="preserve">Опис розділів та схем </w:t>
      </w:r>
      <w:r w:rsidRPr="00AA748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A748E">
        <w:rPr>
          <w:rFonts w:ascii="Times New Roman" w:hAnsi="Times New Roman" w:cs="Times New Roman"/>
          <w:sz w:val="24"/>
          <w:szCs w:val="24"/>
        </w:rPr>
        <w:t xml:space="preserve"> файлів електронної форми звітних даних довідки про розрахунок нормативу ліквідності активів</w:t>
      </w:r>
      <w:r w:rsidRPr="00AA7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748E" w:rsidRPr="00AA748E" w:rsidRDefault="00AA748E" w:rsidP="00AA748E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bookmarkStart w:id="0" w:name="_Toc428956062"/>
      <w:bookmarkStart w:id="1" w:name="_Ref445722693"/>
      <w:r w:rsidRPr="00AA748E">
        <w:rPr>
          <w:color w:val="000000" w:themeColor="text1"/>
          <w:sz w:val="24"/>
          <w:szCs w:val="24"/>
        </w:rPr>
        <w:t>1.</w:t>
      </w:r>
      <w:r w:rsidRPr="00AA748E">
        <w:rPr>
          <w:color w:val="000000" w:themeColor="text1"/>
          <w:sz w:val="24"/>
          <w:szCs w:val="24"/>
        </w:rPr>
        <w:tab/>
        <w:t>Загальн</w:t>
      </w:r>
      <w:bookmarkEnd w:id="0"/>
      <w:r w:rsidRPr="00AA748E">
        <w:rPr>
          <w:color w:val="000000" w:themeColor="text1"/>
          <w:sz w:val="24"/>
          <w:szCs w:val="24"/>
        </w:rPr>
        <w:t>а частина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Інформація подається у вигляді файлів в форматі </w:t>
      </w:r>
      <w:r w:rsidRPr="001712E1">
        <w:rPr>
          <w:rStyle w:val="11"/>
          <w:color w:val="000000" w:themeColor="text1"/>
          <w:lang w:eastAsia="uk-UA"/>
        </w:rPr>
        <w:t xml:space="preserve">XML </w:t>
      </w:r>
      <w:r w:rsidRPr="001712E1">
        <w:rPr>
          <w:bCs/>
          <w:color w:val="000000" w:themeColor="text1"/>
        </w:rPr>
        <w:t>–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(</w:t>
      </w:r>
      <w:r w:rsidRPr="001712E1">
        <w:rPr>
          <w:bCs/>
          <w:color w:val="000000" w:themeColor="text1"/>
          <w:lang w:val="en-US"/>
        </w:rPr>
        <w:t>eXtensibleMarkupLanguage</w:t>
      </w:r>
      <w:r w:rsidRPr="001712E1">
        <w:rPr>
          <w:bCs/>
          <w:color w:val="000000" w:themeColor="text1"/>
        </w:rPr>
        <w:t xml:space="preserve">, далі – </w:t>
      </w:r>
      <w:r w:rsidRPr="001712E1">
        <w:rPr>
          <w:b/>
          <w:bCs/>
          <w:color w:val="000000" w:themeColor="text1"/>
          <w:lang w:val="en-US"/>
        </w:rPr>
        <w:t>XML</w:t>
      </w:r>
      <w:r w:rsidRPr="001712E1">
        <w:rPr>
          <w:bCs/>
          <w:color w:val="000000" w:themeColor="text1"/>
        </w:rPr>
        <w:t xml:space="preserve">), розробленому міжнародним консорціумом </w:t>
      </w:r>
      <w:r w:rsidRPr="001712E1">
        <w:rPr>
          <w:bCs/>
          <w:color w:val="000000" w:themeColor="text1"/>
          <w:lang w:val="en-US"/>
        </w:rPr>
        <w:t>W</w:t>
      </w:r>
      <w:r w:rsidRPr="001712E1">
        <w:rPr>
          <w:bCs/>
          <w:color w:val="000000" w:themeColor="text1"/>
        </w:rPr>
        <w:t>3</w:t>
      </w:r>
      <w:r w:rsidRPr="001712E1">
        <w:rPr>
          <w:bCs/>
          <w:color w:val="000000" w:themeColor="text1"/>
          <w:lang w:val="en-US"/>
        </w:rPr>
        <w:t>C</w:t>
      </w:r>
      <w:r w:rsidRPr="001712E1">
        <w:rPr>
          <w:bCs/>
          <w:color w:val="000000" w:themeColor="text1"/>
        </w:rPr>
        <w:t xml:space="preserve"> (</w:t>
      </w:r>
      <w:hyperlink r:id="rId6" w:history="1">
        <w:r w:rsidRPr="001712E1">
          <w:rPr>
            <w:b/>
            <w:color w:val="000000" w:themeColor="text1"/>
          </w:rPr>
          <w:t>http://www.w3.org/TR/REC-xml</w:t>
        </w:r>
      </w:hyperlink>
      <w:r w:rsidRPr="001712E1">
        <w:rPr>
          <w:b/>
          <w:color w:val="000000" w:themeColor="text1"/>
        </w:rPr>
        <w:t>)</w:t>
      </w:r>
      <w:r w:rsidRPr="001712E1">
        <w:rPr>
          <w:color w:val="000000" w:themeColor="text1"/>
        </w:rPr>
        <w:t>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Файли подаються з іменем «</w:t>
      </w:r>
      <w:r w:rsidRPr="001712E1">
        <w:rPr>
          <w:b/>
          <w:color w:val="000000" w:themeColor="text1"/>
          <w:lang w:val="en-US"/>
        </w:rPr>
        <w:t>Report</w:t>
      </w:r>
      <w:r w:rsidRPr="001712E1">
        <w:rPr>
          <w:b/>
          <w:color w:val="000000" w:themeColor="text1"/>
        </w:rPr>
        <w:t>.</w:t>
      </w:r>
      <w:r w:rsidRPr="001712E1">
        <w:rPr>
          <w:b/>
          <w:color w:val="000000" w:themeColor="text1"/>
          <w:lang w:val="en-US"/>
        </w:rPr>
        <w:t>xml</w:t>
      </w:r>
      <w:r w:rsidRPr="001712E1">
        <w:rPr>
          <w:color w:val="000000" w:themeColor="text1"/>
        </w:rPr>
        <w:t>».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Інформація різних видів або за різні звітні періоди (дати) подається в окремих файлах.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У відповідності до специфікації </w:t>
      </w:r>
      <w:r w:rsidRPr="001712E1">
        <w:rPr>
          <w:rStyle w:val="11"/>
          <w:color w:val="000000" w:themeColor="text1"/>
          <w:lang w:eastAsia="uk-UA"/>
        </w:rPr>
        <w:t>XML</w:t>
      </w:r>
      <w:r w:rsidRPr="001712E1">
        <w:rPr>
          <w:color w:val="000000" w:themeColor="text1"/>
        </w:rPr>
        <w:t xml:space="preserve">, файли </w:t>
      </w:r>
      <w:r w:rsidRPr="001712E1">
        <w:rPr>
          <w:rStyle w:val="11"/>
          <w:color w:val="000000" w:themeColor="text1"/>
          <w:lang w:eastAsia="uk-UA"/>
        </w:rPr>
        <w:t>електронної форми</w:t>
      </w:r>
      <w:r w:rsidRPr="001712E1">
        <w:rPr>
          <w:color w:val="000000" w:themeColor="text1"/>
        </w:rPr>
        <w:t xml:space="preserve"> складаються зі структурних одиниць інформації, які поділяються на елементи, атрибути, інструкції обробки та коментарі.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На вміст файлів в залежності від виду даних покладаються певні правила та обмеження в частині допустимих елементів, атрибутів та їх значень. Дані правила і обмеження з урахуванням правил і обмежень специфікації </w:t>
      </w:r>
      <w:r w:rsidRPr="001712E1">
        <w:rPr>
          <w:rStyle w:val="11"/>
          <w:color w:val="000000" w:themeColor="text1"/>
          <w:lang w:eastAsia="uk-UA"/>
        </w:rPr>
        <w:t>XML,</w:t>
      </w:r>
      <w:r w:rsidRPr="001712E1">
        <w:rPr>
          <w:color w:val="000000" w:themeColor="text1"/>
        </w:rPr>
        <w:t xml:space="preserve"> складають </w:t>
      </w:r>
      <w:r w:rsidRPr="001712E1">
        <w:rPr>
          <w:rStyle w:val="11"/>
          <w:color w:val="000000" w:themeColor="text1"/>
          <w:lang w:eastAsia="uk-UA"/>
        </w:rPr>
        <w:t>специфікації електронних форм</w:t>
      </w:r>
      <w:r w:rsidRPr="001712E1">
        <w:rPr>
          <w:color w:val="000000" w:themeColor="text1"/>
        </w:rPr>
        <w:t xml:space="preserve"> файлів в залежності від виду даних.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bookmarkStart w:id="2" w:name="_Специфікація_Електронної_форми"/>
      <w:bookmarkEnd w:id="2"/>
      <w:r w:rsidRPr="001712E1">
        <w:rPr>
          <w:color w:val="000000" w:themeColor="text1"/>
        </w:rPr>
        <w:t xml:space="preserve">Структура та зміст даних кожної окремої специфікації відповідають певній окремій схемі, що виражається за допомогою схеми </w:t>
      </w:r>
      <w:r w:rsidRPr="001712E1">
        <w:rPr>
          <w:color w:val="000000" w:themeColor="text1"/>
          <w:lang w:val="en-US"/>
        </w:rPr>
        <w:t>XSD</w:t>
      </w:r>
      <w:r w:rsidRPr="001712E1">
        <w:rPr>
          <w:color w:val="000000" w:themeColor="text1"/>
        </w:rPr>
        <w:t xml:space="preserve"> – загальнопоширеного відкритого </w:t>
      </w:r>
      <w:r w:rsidRPr="001712E1">
        <w:rPr>
          <w:bCs/>
          <w:color w:val="000000" w:themeColor="text1"/>
        </w:rPr>
        <w:t xml:space="preserve">стандарту визначення вимог до структури та складу даних в форматі XML (далі – </w:t>
      </w:r>
      <w:r w:rsidRPr="001712E1">
        <w:rPr>
          <w:b/>
          <w:bCs/>
          <w:color w:val="000000" w:themeColor="text1"/>
          <w:lang w:val="en-US"/>
        </w:rPr>
        <w:t>XSD</w:t>
      </w:r>
      <w:r w:rsidRPr="001712E1">
        <w:rPr>
          <w:bCs/>
          <w:color w:val="000000" w:themeColor="text1"/>
        </w:rPr>
        <w:t xml:space="preserve">), розробленого міжнародним консорціумом </w:t>
      </w:r>
      <w:r w:rsidRPr="001712E1">
        <w:rPr>
          <w:bCs/>
          <w:color w:val="000000" w:themeColor="text1"/>
          <w:lang w:val="en-US"/>
        </w:rPr>
        <w:t>W</w:t>
      </w:r>
      <w:r w:rsidRPr="001712E1">
        <w:rPr>
          <w:bCs/>
          <w:color w:val="000000" w:themeColor="text1"/>
        </w:rPr>
        <w:t>3</w:t>
      </w:r>
      <w:r w:rsidRPr="001712E1">
        <w:rPr>
          <w:bCs/>
          <w:color w:val="000000" w:themeColor="text1"/>
          <w:lang w:val="en-US"/>
        </w:rPr>
        <w:t>C</w:t>
      </w:r>
      <w:r w:rsidRPr="001712E1">
        <w:rPr>
          <w:bCs/>
          <w:color w:val="000000" w:themeColor="text1"/>
        </w:rPr>
        <w:t xml:space="preserve"> (</w:t>
      </w:r>
      <w:hyperlink r:id="rId7" w:history="1">
        <w:r w:rsidRPr="001712E1">
          <w:rPr>
            <w:b/>
            <w:color w:val="000000" w:themeColor="text1"/>
          </w:rPr>
          <w:t>http://www.w3.org/2001/XMLSchema-instance</w:t>
        </w:r>
      </w:hyperlink>
      <w:r w:rsidRPr="001712E1">
        <w:rPr>
          <w:bCs/>
          <w:color w:val="000000" w:themeColor="text1"/>
        </w:rPr>
        <w:t>)</w:t>
      </w:r>
      <w:r w:rsidRPr="001712E1">
        <w:rPr>
          <w:color w:val="000000" w:themeColor="text1"/>
        </w:rPr>
        <w:t>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Дані містять у своєму складі ідентифікатор специфікації. Ідентифікатор зазначається за допомогою спеціального атрибуту «</w:t>
      </w:r>
      <w:r w:rsidRPr="001712E1">
        <w:rPr>
          <w:b/>
          <w:color w:val="000000" w:themeColor="text1"/>
          <w:lang w:val="en-US"/>
        </w:rPr>
        <w:t>xmlns</w:t>
      </w:r>
      <w:r w:rsidRPr="001712E1">
        <w:rPr>
          <w:color w:val="000000" w:themeColor="text1"/>
        </w:rPr>
        <w:t xml:space="preserve">» кореневого елементу у відповідності до специфікації </w:t>
      </w:r>
      <w:r w:rsidRPr="001712E1">
        <w:rPr>
          <w:color w:val="000000" w:themeColor="text1"/>
          <w:lang w:val="en-US"/>
        </w:rPr>
        <w:t>XML</w:t>
      </w:r>
      <w:r w:rsidRPr="001712E1">
        <w:rPr>
          <w:color w:val="000000" w:themeColor="text1"/>
        </w:rPr>
        <w:t xml:space="preserve">. Ідентифікатор використовується для ідентифікації відповідної схеми </w:t>
      </w:r>
      <w:r w:rsidRPr="001712E1">
        <w:rPr>
          <w:color w:val="000000" w:themeColor="text1"/>
          <w:lang w:val="en-US"/>
        </w:rPr>
        <w:t>XSD</w:t>
      </w:r>
      <w:r w:rsidRPr="001712E1">
        <w:rPr>
          <w:color w:val="000000" w:themeColor="text1"/>
        </w:rPr>
        <w:t xml:space="preserve"> та призначення даних.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Не допускається включення до складу даних текстового вмісту у вигляді окремих структурних одиниць, передбачених специфікацією </w:t>
      </w:r>
      <w:r w:rsidRPr="001712E1">
        <w:rPr>
          <w:color w:val="000000" w:themeColor="text1"/>
          <w:lang w:val="en-US"/>
        </w:rPr>
        <w:t>XML</w:t>
      </w:r>
      <w:r w:rsidRPr="001712E1">
        <w:rPr>
          <w:color w:val="000000" w:themeColor="text1"/>
        </w:rPr>
        <w:t>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Інструкції обробки та коментарі вважаються незначущою інформацією та ігноруються, крім інструкції обробки «</w:t>
      </w:r>
      <w:r w:rsidRPr="001712E1">
        <w:rPr>
          <w:b/>
          <w:color w:val="000000" w:themeColor="text1"/>
          <w:lang w:val="en-US"/>
        </w:rPr>
        <w:t>xml</w:t>
      </w:r>
      <w:r w:rsidRPr="001712E1">
        <w:rPr>
          <w:color w:val="000000" w:themeColor="text1"/>
        </w:rPr>
        <w:t xml:space="preserve">», яка визначає специфікацію </w:t>
      </w:r>
      <w:r w:rsidRPr="001712E1">
        <w:rPr>
          <w:color w:val="000000" w:themeColor="text1"/>
          <w:lang w:val="en-US"/>
        </w:rPr>
        <w:t>xml</w:t>
      </w:r>
      <w:r w:rsidRPr="001712E1">
        <w:rPr>
          <w:color w:val="000000" w:themeColor="text1"/>
        </w:rPr>
        <w:t xml:space="preserve"> та таблицю кодування символів, використаних для подання даних.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Обмеження на використання різних таблиць кодування символів та різних специфікацій XML при поданні даних не встановлюються. Проте всі використані у складі даних символи мають бути сумісними з таблицею кодування </w:t>
      </w:r>
      <w:r w:rsidRPr="001712E1">
        <w:rPr>
          <w:b/>
          <w:color w:val="000000" w:themeColor="text1"/>
          <w:lang w:val="en-US"/>
        </w:rPr>
        <w:t>windows</w:t>
      </w:r>
      <w:r w:rsidRPr="001712E1">
        <w:rPr>
          <w:b/>
          <w:color w:val="000000" w:themeColor="text1"/>
        </w:rPr>
        <w:t>-1251</w:t>
      </w:r>
      <w:r w:rsidRPr="001712E1">
        <w:rPr>
          <w:color w:val="000000" w:themeColor="text1"/>
        </w:rPr>
        <w:t xml:space="preserve">, а використана специфікація має бути сумісна зі специфікацією </w:t>
      </w:r>
      <w:r w:rsidRPr="001712E1">
        <w:rPr>
          <w:color w:val="000000" w:themeColor="text1"/>
          <w:lang w:val="en-US"/>
        </w:rPr>
        <w:t>XML</w:t>
      </w:r>
      <w:r w:rsidRPr="001712E1">
        <w:rPr>
          <w:b/>
          <w:color w:val="000000" w:themeColor="text1"/>
        </w:rPr>
        <w:t>1.0</w:t>
      </w:r>
      <w:r w:rsidRPr="001712E1">
        <w:rPr>
          <w:color w:val="000000" w:themeColor="text1"/>
        </w:rPr>
        <w:t>.</w:t>
      </w:r>
    </w:p>
    <w:p w:rsidR="00AA748E" w:rsidRPr="001712E1" w:rsidRDefault="00AA748E" w:rsidP="00AA748E">
      <w:pPr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Дані складаються зі структурних елементів наступного призначення і за наступними принципами:</w:t>
      </w:r>
    </w:p>
    <w:p w:rsidR="00AA748E" w:rsidRPr="001712E1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1712E1">
        <w:rPr>
          <w:color w:val="000000" w:themeColor="text1"/>
        </w:rPr>
        <w:t>кореневий елемент з іменем «</w:t>
      </w:r>
      <w:r w:rsidRPr="001712E1">
        <w:rPr>
          <w:b/>
          <w:color w:val="000000" w:themeColor="text1"/>
          <w:lang w:val="en-US"/>
        </w:rPr>
        <w:t>root</w:t>
      </w:r>
      <w:r w:rsidRPr="001712E1">
        <w:rPr>
          <w:color w:val="000000" w:themeColor="text1"/>
        </w:rPr>
        <w:t>» – перший та обов’язковий елемент форми, який містить загальні для всіх специфікацій реквізити та у складі якого подається вся інша змістовна інформація;</w:t>
      </w:r>
    </w:p>
    <w:p w:rsidR="00AA748E" w:rsidRPr="001712E1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1712E1">
        <w:rPr>
          <w:color w:val="000000" w:themeColor="text1"/>
        </w:rPr>
        <w:t>спеціалізовані елементи – контейнери окремих змістовних частин даних  (довідок)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:rsidR="00AA748E" w:rsidRPr="001712E1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1712E1">
        <w:rPr>
          <w:color w:val="000000" w:themeColor="text1"/>
        </w:rPr>
        <w:t>елементи з іменем  «</w:t>
      </w:r>
      <w:r w:rsidRPr="001712E1">
        <w:rPr>
          <w:b/>
          <w:color w:val="000000" w:themeColor="text1"/>
          <w:lang w:val="en-US"/>
        </w:rPr>
        <w:t>row</w:t>
      </w:r>
      <w:r w:rsidRPr="001712E1">
        <w:rPr>
          <w:color w:val="000000" w:themeColor="text1"/>
        </w:rPr>
        <w:t>» – інформаційні рядки, що подаються у складі контейнерів змістовної частини (довідки),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(довідки);</w:t>
      </w:r>
    </w:p>
    <w:p w:rsidR="00AA748E" w:rsidRPr="001712E1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1712E1">
        <w:rPr>
          <w:color w:val="000000" w:themeColor="text1"/>
        </w:rPr>
        <w:lastRenderedPageBreak/>
        <w:t>спеціалізований елемент з іменем «</w:t>
      </w:r>
      <w:r w:rsidRPr="001712E1">
        <w:rPr>
          <w:b/>
          <w:color w:val="000000" w:themeColor="text1"/>
          <w:lang w:val="en-US"/>
        </w:rPr>
        <w:t>extparts</w:t>
      </w:r>
      <w:r w:rsidRPr="001712E1">
        <w:rPr>
          <w:color w:val="000000" w:themeColor="text1"/>
        </w:rPr>
        <w:t>» – перелік зовнішніх документів, який містить реквізити для забезпечення можливості автоматичного завантаження з мережі Інтернет копій документів, які є у публічному доступі (далі – перелік зовнішніх документів).</w:t>
      </w:r>
    </w:p>
    <w:p w:rsidR="00AA748E" w:rsidRPr="001712E1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Кореневий елемент містить такі загальні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42"/>
        <w:gridCol w:w="6974"/>
      </w:tblGrid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1712E1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1712E1">
              <w:rPr>
                <w:b/>
                <w:color w:val="000000" w:themeColor="text1"/>
                <w:lang w:val="ru-RU"/>
              </w:rPr>
              <w:t>Атрибут</w:t>
            </w:r>
            <w:r w:rsidRPr="001712E1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2047E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712E1">
              <w:rPr>
                <w:b/>
                <w:color w:val="000000" w:themeColor="text1"/>
              </w:rPr>
              <w:t>Призначення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D_EDRPOU</w:t>
            </w:r>
          </w:p>
        </w:tc>
        <w:tc>
          <w:tcPr>
            <w:tcW w:w="3621" w:type="pct"/>
            <w:shd w:val="clear" w:color="auto" w:fill="auto"/>
          </w:tcPr>
          <w:p w:rsidR="00AA748E" w:rsidRPr="00CF6498" w:rsidRDefault="00CF6498" w:rsidP="00D82EF8">
            <w:pPr>
              <w:spacing w:after="0"/>
              <w:rPr>
                <w:color w:val="000000" w:themeColor="text1"/>
                <w:lang w:val="ru-RU"/>
              </w:rPr>
            </w:pPr>
            <w:r w:rsidRPr="00CF6498">
              <w:rPr>
                <w:color w:val="000000" w:themeColor="text1"/>
              </w:rPr>
              <w:t>Код за ЄДРПОУ професійного учасник</w:t>
            </w:r>
            <w:r>
              <w:rPr>
                <w:color w:val="000000" w:themeColor="text1"/>
                <w:lang w:val="ru-RU"/>
              </w:rPr>
              <w:t>а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D_NAME</w:t>
            </w:r>
          </w:p>
        </w:tc>
        <w:tc>
          <w:tcPr>
            <w:tcW w:w="3621" w:type="pct"/>
            <w:shd w:val="clear" w:color="auto" w:fill="auto"/>
          </w:tcPr>
          <w:p w:rsidR="00AA748E" w:rsidRPr="00CF6498" w:rsidRDefault="00CF6498" w:rsidP="00D82EF8">
            <w:pPr>
              <w:spacing w:after="0"/>
              <w:rPr>
                <w:color w:val="000000" w:themeColor="text1"/>
              </w:rPr>
            </w:pPr>
            <w:r w:rsidRPr="00CF6498">
              <w:rPr>
                <w:color w:val="000000" w:themeColor="text1"/>
              </w:rPr>
              <w:t>Найменування професійного учасника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REGDATE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</w:rPr>
            </w:pPr>
            <w:r w:rsidRPr="001712E1">
              <w:rPr>
                <w:color w:val="000000" w:themeColor="text1"/>
              </w:rPr>
              <w:t>Дата реєстрації суб’єктом подання електронного документа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REGNUM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</w:rPr>
            </w:pPr>
            <w:r w:rsidRPr="001712E1">
              <w:rPr>
                <w:color w:val="000000" w:themeColor="text1"/>
              </w:rPr>
              <w:t>Вихідний реєстраційний номер електронного документа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STD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</w:rPr>
            </w:pPr>
            <w:r w:rsidRPr="001712E1">
              <w:rPr>
                <w:color w:val="000000" w:themeColor="text1"/>
              </w:rPr>
              <w:t>Дата складання інформації:дата початку звітного періоду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FID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</w:rPr>
            </w:pPr>
            <w:r w:rsidRPr="001712E1">
              <w:rPr>
                <w:color w:val="000000" w:themeColor="text1"/>
              </w:rPr>
              <w:t>Дата складання інформації:дата закінчення звітного періоду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NREG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</w:rPr>
            </w:pPr>
            <w:r w:rsidRPr="001712E1">
              <w:rPr>
                <w:color w:val="000000" w:themeColor="text1"/>
              </w:rPr>
              <w:t>Ознака нерегулярних даних: «</w:t>
            </w:r>
            <w:r w:rsidRPr="001712E1">
              <w:rPr>
                <w:b/>
                <w:color w:val="000000" w:themeColor="text1"/>
                <w:lang w:val="en-US"/>
              </w:rPr>
              <w:t>True</w:t>
            </w:r>
            <w:r w:rsidRPr="001712E1">
              <w:rPr>
                <w:color w:val="000000" w:themeColor="text1"/>
              </w:rPr>
              <w:t xml:space="preserve">» </w:t>
            </w:r>
            <w:r w:rsidRPr="001712E1">
              <w:rPr>
                <w:color w:val="000000" w:themeColor="text1"/>
                <w:lang w:val="ru-RU"/>
              </w:rPr>
              <w:t xml:space="preserve">для </w:t>
            </w:r>
            <w:r w:rsidRPr="001712E1">
              <w:rPr>
                <w:color w:val="000000" w:themeColor="text1"/>
              </w:rPr>
              <w:t>нерегулярних даних; «</w:t>
            </w:r>
            <w:r w:rsidRPr="001712E1">
              <w:rPr>
                <w:b/>
                <w:color w:val="000000" w:themeColor="text1"/>
              </w:rPr>
              <w:t>False</w:t>
            </w:r>
            <w:r w:rsidRPr="001712E1">
              <w:rPr>
                <w:color w:val="000000" w:themeColor="text1"/>
              </w:rPr>
              <w:t>» для регулярних даних</w:t>
            </w:r>
          </w:p>
        </w:tc>
      </w:tr>
      <w:tr w:rsidR="00AA748E" w:rsidRPr="001712E1" w:rsidTr="00D82EF8">
        <w:tc>
          <w:tcPr>
            <w:tcW w:w="319" w:type="pct"/>
            <w:shd w:val="clear" w:color="auto" w:fill="auto"/>
          </w:tcPr>
          <w:p w:rsidR="00AA748E" w:rsidRPr="001712E1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712E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TTYPE</w:t>
            </w:r>
          </w:p>
        </w:tc>
        <w:tc>
          <w:tcPr>
            <w:tcW w:w="3621" w:type="pct"/>
            <w:shd w:val="clear" w:color="auto" w:fill="auto"/>
          </w:tcPr>
          <w:p w:rsidR="00AA748E" w:rsidRPr="001712E1" w:rsidRDefault="00AA748E" w:rsidP="00D82EF8">
            <w:pPr>
              <w:spacing w:after="0"/>
              <w:rPr>
                <w:color w:val="000000" w:themeColor="text1"/>
                <w:lang w:val="ru-RU"/>
              </w:rPr>
            </w:pPr>
            <w:r w:rsidRPr="001712E1">
              <w:rPr>
                <w:color w:val="000000" w:themeColor="text1"/>
              </w:rPr>
              <w:t xml:space="preserve">Код типу суб’єкта подання даних: </w:t>
            </w:r>
            <w:r w:rsidRPr="001712E1">
              <w:rPr>
                <w:b/>
                <w:color w:val="000000" w:themeColor="text1"/>
                <w:lang w:val="ru-RU"/>
              </w:rPr>
              <w:t>0</w:t>
            </w:r>
            <w:r w:rsidR="00CF6498">
              <w:rPr>
                <w:b/>
                <w:color w:val="000000" w:themeColor="text1"/>
              </w:rPr>
              <w:t>44</w:t>
            </w:r>
          </w:p>
        </w:tc>
      </w:tr>
    </w:tbl>
    <w:p w:rsidR="00AA748E" w:rsidRPr="00FB0AD3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</w:p>
    <w:p w:rsidR="00AA748E" w:rsidRPr="001712E1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>Атрибути елементів входять до складу елементів за наявності в них даних. Реквізит не включається до складу інформації у разі, якщо він не містить значення.</w:t>
      </w:r>
    </w:p>
    <w:p w:rsidR="00AA748E" w:rsidRPr="001712E1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1712E1">
        <w:rPr>
          <w:color w:val="000000" w:themeColor="text1"/>
        </w:rPr>
        <w:t xml:space="preserve">Типи даних застосовуються для формування інформації зі </w:t>
      </w:r>
      <w:r w:rsidRPr="001712E1">
        <w:rPr>
          <w:iCs/>
          <w:color w:val="000000" w:themeColor="text1"/>
        </w:rPr>
        <w:t>сприйнятним</w:t>
      </w:r>
      <w:r w:rsidRPr="001712E1">
        <w:rPr>
          <w:color w:val="000000" w:themeColor="text1"/>
        </w:rPr>
        <w:t xml:space="preserve"> змістом для людини.</w:t>
      </w:r>
    </w:p>
    <w:p w:rsidR="00AA748E" w:rsidRPr="001712E1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  <w:lang w:val="ru-RU"/>
        </w:rPr>
      </w:pPr>
      <w:r w:rsidRPr="001712E1">
        <w:rPr>
          <w:color w:val="000000" w:themeColor="text1"/>
        </w:rPr>
        <w:t>У всіх випадках, коли в якості значення реквізиту подається дата, окрім дати подається також складова часу, заповнена нульовими значеннями.</w:t>
      </w:r>
    </w:p>
    <w:p w:rsidR="00AA748E" w:rsidRPr="00C32802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bookmarkStart w:id="3" w:name="_Toc428956063"/>
      <w:r w:rsidRPr="001712E1">
        <w:rPr>
          <w:color w:val="000000" w:themeColor="text1"/>
        </w:rPr>
        <w:t>До елементу XML «</w:t>
      </w:r>
      <w:r w:rsidRPr="001712E1">
        <w:rPr>
          <w:b/>
          <w:color w:val="000000" w:themeColor="text1"/>
        </w:rPr>
        <w:t>extparts</w:t>
      </w:r>
      <w:r w:rsidRPr="001712E1">
        <w:rPr>
          <w:color w:val="000000" w:themeColor="text1"/>
        </w:rPr>
        <w:t xml:space="preserve">» щодо кожного документа, який є у публічному доступі і призначений для автоматичного завантаження його копії з мережі Інтернет, вкладається </w:t>
      </w:r>
      <w:r w:rsidRPr="00C32802">
        <w:rPr>
          <w:color w:val="000000" w:themeColor="text1"/>
        </w:rPr>
        <w:t>окремий інформаційний рядок у складі таких реквізитів: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42"/>
        <w:gridCol w:w="6974"/>
      </w:tblGrid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C32802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C32802">
              <w:rPr>
                <w:b/>
                <w:color w:val="000000" w:themeColor="text1"/>
                <w:lang w:val="ru-RU"/>
              </w:rPr>
              <w:t>Атрибут</w:t>
            </w:r>
            <w:r w:rsidRPr="00C32802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2047E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C32802">
              <w:rPr>
                <w:b/>
                <w:color w:val="000000" w:themeColor="text1"/>
              </w:rPr>
              <w:t>Призначення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NN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Номер документа в переліку за порядком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URL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Universal Resource Locator (URL-адреса)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FILENAME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Ім</w:t>
            </w:r>
            <w:r w:rsidRPr="00C32802">
              <w:rPr>
                <w:color w:val="000000" w:themeColor="text1"/>
                <w:lang w:val="en-US"/>
              </w:rPr>
              <w:t>’</w:t>
            </w:r>
            <w:r w:rsidRPr="00C32802">
              <w:rPr>
                <w:color w:val="000000" w:themeColor="text1"/>
              </w:rPr>
              <w:t>я файлу (включаючи розширення в імені файлу, яке має відповідати його типу/формату)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FILESIZE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Точний розмір файлу</w:t>
            </w:r>
            <w:r w:rsidRPr="00C32802">
              <w:rPr>
                <w:color w:val="000000" w:themeColor="text1"/>
                <w:lang w:val="ru-RU"/>
              </w:rPr>
              <w:t xml:space="preserve"> </w:t>
            </w:r>
            <w:r w:rsidRPr="00C32802">
              <w:rPr>
                <w:color w:val="000000" w:themeColor="text1"/>
              </w:rPr>
              <w:t>для забезпечення можливості автоматичного контролю точності копіювання вмісту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CRC32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Контрольна сума файлу для забезпечення можливості автоматичного контролю точності копіювання вмісту (ціле число в шістнадцятковому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</w:tr>
      <w:tr w:rsidR="00AA748E" w:rsidRPr="00C32802" w:rsidTr="00D82EF8">
        <w:tc>
          <w:tcPr>
            <w:tcW w:w="319" w:type="pct"/>
            <w:shd w:val="clear" w:color="auto" w:fill="auto"/>
          </w:tcPr>
          <w:p w:rsidR="00AA748E" w:rsidRPr="00C32802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C32802">
              <w:rPr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621" w:type="pct"/>
            <w:shd w:val="clear" w:color="auto" w:fill="auto"/>
          </w:tcPr>
          <w:p w:rsidR="00AA748E" w:rsidRPr="00C32802" w:rsidRDefault="00AA748E" w:rsidP="00D82EF8">
            <w:pPr>
              <w:spacing w:after="0"/>
              <w:rPr>
                <w:color w:val="000000" w:themeColor="text1"/>
              </w:rPr>
            </w:pPr>
            <w:r w:rsidRPr="00C32802">
              <w:rPr>
                <w:color w:val="000000" w:themeColor="text1"/>
              </w:rPr>
              <w:t>Примітки (опис документа)</w:t>
            </w:r>
          </w:p>
        </w:tc>
      </w:tr>
    </w:tbl>
    <w:bookmarkEnd w:id="3"/>
    <w:p w:rsidR="00AA748E" w:rsidRDefault="00AA748E" w:rsidP="00AA748E">
      <w:pPr>
        <w:tabs>
          <w:tab w:val="left" w:pos="900"/>
        </w:tabs>
        <w:spacing w:before="120"/>
        <w:rPr>
          <w:color w:val="000000" w:themeColor="text1"/>
        </w:rPr>
      </w:pPr>
      <w:r w:rsidRPr="001712E1">
        <w:rPr>
          <w:color w:val="000000" w:themeColor="text1"/>
        </w:rPr>
        <w:t>Загальна схема XSD контейнерів вмісту «</w:t>
      </w:r>
      <w:r w:rsidR="00AD68AF">
        <w:rPr>
          <w:b/>
          <w:color w:val="000000" w:themeColor="text1"/>
          <w:lang w:val="en-US"/>
        </w:rPr>
        <w:t>lic</w:t>
      </w:r>
      <w:r w:rsidRPr="001712E1">
        <w:rPr>
          <w:b/>
          <w:color w:val="000000" w:themeColor="text1"/>
        </w:rPr>
        <w:t>-components-pic.xsd</w:t>
      </w:r>
      <w:r w:rsidRPr="001712E1">
        <w:rPr>
          <w:color w:val="000000" w:themeColor="text1"/>
        </w:rPr>
        <w:t xml:space="preserve">», які можуть включатися до даних, наведена в Додатку </w:t>
      </w:r>
      <w:r w:rsidR="00AD68AF" w:rsidRPr="00AD68AF">
        <w:rPr>
          <w:color w:val="000000" w:themeColor="text1"/>
        </w:rPr>
        <w:t>3</w:t>
      </w:r>
      <w:r w:rsidRPr="001712E1">
        <w:rPr>
          <w:color w:val="000000" w:themeColor="text1"/>
        </w:rPr>
        <w:t>.</w:t>
      </w:r>
    </w:p>
    <w:p w:rsidR="00E740F5" w:rsidRPr="001712E1" w:rsidRDefault="00E740F5" w:rsidP="00E740F5">
      <w:pPr>
        <w:tabs>
          <w:tab w:val="left" w:pos="900"/>
        </w:tabs>
        <w:spacing w:before="120"/>
        <w:rPr>
          <w:color w:val="000000" w:themeColor="text1"/>
        </w:rPr>
      </w:pPr>
      <w:r w:rsidRPr="001712E1">
        <w:rPr>
          <w:color w:val="000000" w:themeColor="text1"/>
          <w:lang w:val="en-US"/>
        </w:rPr>
        <w:t>C</w:t>
      </w:r>
      <w:r w:rsidRPr="001712E1">
        <w:rPr>
          <w:color w:val="000000" w:themeColor="text1"/>
        </w:rPr>
        <w:t>хема XSD елементів Системи довідників та класифікаторів</w:t>
      </w:r>
      <w:r w:rsidR="00932AAE">
        <w:rPr>
          <w:color w:val="000000" w:themeColor="text1"/>
        </w:rPr>
        <w:t>,</w:t>
      </w:r>
      <w:r w:rsidRPr="001712E1">
        <w:rPr>
          <w:color w:val="000000" w:themeColor="text1"/>
        </w:rPr>
        <w:t xml:space="preserve"> які можуть включатися до даних, «</w:t>
      </w:r>
      <w:r w:rsidRPr="001712E1">
        <w:rPr>
          <w:b/>
          <w:color w:val="000000" w:themeColor="text1"/>
          <w:lang w:val="en-US"/>
        </w:rPr>
        <w:t>dovidnik</w:t>
      </w:r>
      <w:r w:rsidRPr="001712E1">
        <w:rPr>
          <w:b/>
          <w:color w:val="000000" w:themeColor="text1"/>
        </w:rPr>
        <w:t>-pic.xsd</w:t>
      </w:r>
      <w:r w:rsidRPr="001712E1">
        <w:rPr>
          <w:color w:val="000000" w:themeColor="text1"/>
        </w:rPr>
        <w:t xml:space="preserve">» </w:t>
      </w:r>
      <w:r>
        <w:rPr>
          <w:color w:val="000000" w:themeColor="text1"/>
        </w:rPr>
        <w:t>наведена в Додатку 4</w:t>
      </w:r>
      <w:r w:rsidRPr="001712E1">
        <w:rPr>
          <w:color w:val="000000" w:themeColor="text1"/>
        </w:rPr>
        <w:t>.</w:t>
      </w:r>
    </w:p>
    <w:p w:rsidR="00B96990" w:rsidRPr="00C32802" w:rsidRDefault="00B96990" w:rsidP="00B96990">
      <w:pPr>
        <w:pStyle w:val="2"/>
        <w:tabs>
          <w:tab w:val="left" w:pos="720"/>
        </w:tabs>
        <w:ind w:left="0" w:firstLine="0"/>
        <w:rPr>
          <w:sz w:val="24"/>
          <w:szCs w:val="24"/>
        </w:rPr>
      </w:pPr>
      <w:r w:rsidRPr="00C32802">
        <w:rPr>
          <w:sz w:val="24"/>
          <w:szCs w:val="24"/>
        </w:rPr>
        <w:t xml:space="preserve">Щомісячні </w:t>
      </w:r>
      <w:r w:rsidR="00C3318E">
        <w:rPr>
          <w:sz w:val="24"/>
          <w:szCs w:val="24"/>
        </w:rPr>
        <w:t>Д</w:t>
      </w:r>
      <w:r w:rsidRPr="00C32802">
        <w:rPr>
          <w:sz w:val="24"/>
          <w:szCs w:val="24"/>
        </w:rPr>
        <w:t xml:space="preserve">ані </w:t>
      </w:r>
      <w:bookmarkEnd w:id="1"/>
      <w:r w:rsidR="00C32802" w:rsidRPr="00C32802">
        <w:rPr>
          <w:sz w:val="24"/>
          <w:szCs w:val="24"/>
        </w:rPr>
        <w:t>професійних учасників</w:t>
      </w:r>
    </w:p>
    <w:p w:rsidR="00B96990" w:rsidRPr="00C32802" w:rsidRDefault="00B96990" w:rsidP="00B96990">
      <w:r w:rsidRPr="00C32802">
        <w:t>При поданні щомісячних даних ідентифікатор специфікації має значення:</w:t>
      </w:r>
    </w:p>
    <w:p w:rsidR="00B96990" w:rsidRDefault="00B96990" w:rsidP="00B96990">
      <w:pPr>
        <w:jc w:val="center"/>
      </w:pPr>
      <w:r w:rsidRPr="00C32802">
        <w:t>«</w:t>
      </w:r>
      <w:r w:rsidRPr="00C32802">
        <w:rPr>
          <w:rFonts w:ascii="Courier New" w:hAnsi="Courier New" w:cs="Courier New"/>
          <w:b/>
        </w:rPr>
        <w:t>http://nssmc.gov.ua/Schem/Month</w:t>
      </w:r>
      <w:r w:rsidR="00C32802">
        <w:rPr>
          <w:rFonts w:ascii="Courier New" w:hAnsi="Courier New" w:cs="Courier New"/>
          <w:b/>
          <w:lang w:val="en-US"/>
        </w:rPr>
        <w:t>LIC</w:t>
      </w:r>
      <w:r>
        <w:t>»</w:t>
      </w:r>
    </w:p>
    <w:p w:rsidR="00B96990" w:rsidRDefault="00B96990" w:rsidP="00B96990">
      <w:r>
        <w:t>Схема XSD даних «</w:t>
      </w:r>
      <w:r>
        <w:rPr>
          <w:rFonts w:ascii="Courier New" w:hAnsi="Courier New" w:cs="Courier New"/>
          <w:b/>
        </w:rPr>
        <w:t>Month</w:t>
      </w:r>
      <w:r w:rsidR="00C32802">
        <w:rPr>
          <w:rFonts w:ascii="Courier New" w:hAnsi="Courier New" w:cs="Courier New"/>
          <w:b/>
          <w:lang w:val="en-US"/>
        </w:rPr>
        <w:t>LIC</w:t>
      </w:r>
      <w:r>
        <w:rPr>
          <w:rFonts w:ascii="Courier New" w:hAnsi="Courier New" w:cs="Courier New"/>
          <w:b/>
        </w:rPr>
        <w:t>.xsd</w:t>
      </w:r>
      <w:r>
        <w:t>» наведена в Додатку 1.</w:t>
      </w:r>
    </w:p>
    <w:p w:rsidR="00B96990" w:rsidRDefault="00B96990" w:rsidP="00B96990">
      <w:pPr>
        <w:keepNext/>
        <w:rPr>
          <w:b/>
        </w:rPr>
      </w:pPr>
      <w:r>
        <w:lastRenderedPageBreak/>
        <w:t>До даних включаються такі елементи XML – контейнери вмісту: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B96990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Default="00B96990" w:rsidP="00D82EF8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B96990" w:rsidRDefault="00B96990" w:rsidP="00D82EF8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Default="00B96990" w:rsidP="00D82EF8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Елемент XML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Default="00B96990" w:rsidP="00FE4955">
            <w:pPr>
              <w:keepNext/>
              <w:spacing w:after="0"/>
              <w:jc w:val="center"/>
            </w:pPr>
            <w:r>
              <w:rPr>
                <w:b/>
              </w:rPr>
              <w:t>Призначення</w:t>
            </w:r>
          </w:p>
        </w:tc>
      </w:tr>
      <w:tr w:rsidR="00B96990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Default="00B96990" w:rsidP="002047EA">
            <w:pPr>
              <w:numPr>
                <w:ilvl w:val="0"/>
                <w:numId w:val="4"/>
              </w:numPr>
              <w:snapToGrid w:val="0"/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414AB5" w:rsidRDefault="00414AB5" w:rsidP="00414AB5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414AB5">
              <w:rPr>
                <w:rFonts w:ascii="Courier New" w:hAnsi="Courier New" w:cs="Courier New"/>
                <w:b/>
                <w:bCs/>
                <w:lang w:val="en-US"/>
              </w:rPr>
              <w:t>DTSR_LIC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Pr="00C32802" w:rsidRDefault="00C32802" w:rsidP="00D82EF8">
            <w:pPr>
              <w:spacing w:after="0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Д</w:t>
            </w:r>
            <w:r w:rsidRPr="003A66CB">
              <w:rPr>
                <w:szCs w:val="20"/>
                <w:lang w:eastAsia="uk-UA"/>
              </w:rPr>
              <w:t>овідка</w:t>
            </w:r>
            <w:r w:rsidRPr="00C32802">
              <w:rPr>
                <w:szCs w:val="20"/>
                <w:lang w:eastAsia="uk-UA"/>
              </w:rPr>
              <w:t xml:space="preserve"> про розрахунок нормативу ліквідності активів</w:t>
            </w:r>
          </w:p>
        </w:tc>
      </w:tr>
      <w:tr w:rsidR="00B96990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Default="00B96990" w:rsidP="002047EA">
            <w:pPr>
              <w:numPr>
                <w:ilvl w:val="0"/>
                <w:numId w:val="4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414AB5" w:rsidRDefault="00B96990" w:rsidP="00414AB5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414AB5">
              <w:rPr>
                <w:rFonts w:ascii="Courier New" w:hAnsi="Courier New" w:cs="Courier New"/>
                <w:b/>
                <w:bCs/>
                <w:lang w:val="en-US"/>
              </w:rPr>
              <w:t>DTS</w:t>
            </w:r>
            <w:r w:rsidR="00414AB5" w:rsidRPr="00414AB5">
              <w:rPr>
                <w:rFonts w:ascii="Courier New" w:hAnsi="Courier New" w:cs="Courier New"/>
                <w:b/>
                <w:bCs/>
                <w:lang w:val="en-US"/>
              </w:rPr>
              <w:t>CP_LIC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Default="00C32802" w:rsidP="00D82EF8">
            <w:pPr>
              <w:spacing w:after="0"/>
            </w:pPr>
            <w:r w:rsidRPr="00C32802">
              <w:rPr>
                <w:szCs w:val="20"/>
                <w:lang w:eastAsia="uk-UA"/>
              </w:rPr>
              <w:t>Перелік цінних паперів, включених для розрахунку нормативу ліквідності активів</w:t>
            </w:r>
          </w:p>
        </w:tc>
      </w:tr>
    </w:tbl>
    <w:p w:rsidR="00CF61CC" w:rsidRPr="00C32802" w:rsidRDefault="00CF61CC" w:rsidP="00CF61CC">
      <w:pPr>
        <w:pStyle w:val="2"/>
        <w:tabs>
          <w:tab w:val="left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Нерегулярні</w:t>
      </w:r>
      <w:r w:rsidRPr="00C3280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32802">
        <w:rPr>
          <w:sz w:val="24"/>
          <w:szCs w:val="24"/>
        </w:rPr>
        <w:t>ані професійних учасників</w:t>
      </w:r>
    </w:p>
    <w:p w:rsidR="00CF61CC" w:rsidRPr="00C32802" w:rsidRDefault="00CF61CC" w:rsidP="00CF61CC">
      <w:r w:rsidRPr="00C32802">
        <w:t>При поданні щомісячних даних ідентифікатор специфікації має значення:</w:t>
      </w:r>
    </w:p>
    <w:p w:rsidR="00CF61CC" w:rsidRDefault="00CF61CC" w:rsidP="00CF61CC">
      <w:pPr>
        <w:jc w:val="center"/>
      </w:pPr>
      <w:r w:rsidRPr="00C32802">
        <w:t>«</w:t>
      </w:r>
      <w:r w:rsidRPr="00C32802">
        <w:rPr>
          <w:rFonts w:ascii="Courier New" w:hAnsi="Courier New" w:cs="Courier New"/>
          <w:b/>
        </w:rPr>
        <w:t>http://nssmc.gov.ua/Schem/</w:t>
      </w:r>
      <w:r w:rsidRPr="00CF61CC">
        <w:rPr>
          <w:rFonts w:ascii="Courier New" w:hAnsi="Courier New" w:cs="Courier New"/>
          <w:b/>
        </w:rPr>
        <w:t>IrregLIC»</w:t>
      </w:r>
    </w:p>
    <w:p w:rsidR="00CF61CC" w:rsidRDefault="00CF61CC" w:rsidP="00CF61CC">
      <w:r>
        <w:t>Схема XSD даних «</w:t>
      </w:r>
      <w:r w:rsidRPr="00CF61CC">
        <w:rPr>
          <w:rFonts w:ascii="Courier New" w:hAnsi="Courier New" w:cs="Courier New"/>
          <w:b/>
        </w:rPr>
        <w:t>IrregLI</w:t>
      </w:r>
      <w:r>
        <w:rPr>
          <w:rFonts w:ascii="Courier New" w:hAnsi="Courier New" w:cs="Courier New"/>
          <w:b/>
          <w:lang w:val="en-US"/>
        </w:rPr>
        <w:t>C</w:t>
      </w:r>
      <w:r w:rsidR="00A3481A">
        <w:rPr>
          <w:rFonts w:ascii="Courier New" w:hAnsi="Courier New" w:cs="Courier New"/>
          <w:b/>
          <w:lang w:val="ru-RU"/>
        </w:rPr>
        <w:t>.</w:t>
      </w:r>
      <w:r>
        <w:rPr>
          <w:rFonts w:ascii="Courier New" w:hAnsi="Courier New" w:cs="Courier New"/>
          <w:b/>
        </w:rPr>
        <w:t>xsd</w:t>
      </w:r>
      <w:r>
        <w:t xml:space="preserve">» наведена в Додатку </w:t>
      </w:r>
      <w:r w:rsidR="00A50573">
        <w:t>2</w:t>
      </w:r>
      <w:r>
        <w:t>.</w:t>
      </w:r>
    </w:p>
    <w:p w:rsidR="00BF647C" w:rsidRDefault="00BF647C" w:rsidP="00BF647C">
      <w:pPr>
        <w:keepNext/>
        <w:rPr>
          <w:b/>
        </w:rPr>
      </w:pPr>
      <w:r>
        <w:t>До даних включаються такі елементи XML – контейнери вмісту: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BF647C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Default="00BF647C" w:rsidP="006D548B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BF647C" w:rsidRDefault="00BF647C" w:rsidP="006D548B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Default="00BF647C" w:rsidP="006D548B">
            <w:pPr>
              <w:keepNext/>
              <w:spacing w:after="0"/>
              <w:jc w:val="left"/>
              <w:rPr>
                <w:b/>
              </w:rPr>
            </w:pPr>
            <w:r>
              <w:rPr>
                <w:b/>
              </w:rPr>
              <w:t>Елемент XML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Default="00BF647C" w:rsidP="006D548B">
            <w:pPr>
              <w:keepNext/>
              <w:spacing w:after="0"/>
              <w:jc w:val="center"/>
            </w:pPr>
            <w:r>
              <w:rPr>
                <w:b/>
              </w:rPr>
              <w:t>Призначення</w:t>
            </w:r>
          </w:p>
        </w:tc>
      </w:tr>
      <w:tr w:rsidR="00BF647C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BF647C" w:rsidRDefault="00BF647C" w:rsidP="00BF647C">
            <w:pPr>
              <w:numPr>
                <w:ilvl w:val="0"/>
                <w:numId w:val="13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414AB5" w:rsidRDefault="00BF647C" w:rsidP="006D548B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414AB5">
              <w:rPr>
                <w:rFonts w:ascii="Courier New" w:hAnsi="Courier New" w:cs="Courier New"/>
                <w:b/>
                <w:bCs/>
                <w:lang w:val="en-US"/>
              </w:rPr>
              <w:t>DTSR_LIC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Pr="00C32802" w:rsidRDefault="00BF647C" w:rsidP="006D548B">
            <w:pPr>
              <w:spacing w:after="0"/>
              <w:rPr>
                <w:szCs w:val="20"/>
                <w:lang w:eastAsia="uk-UA"/>
              </w:rPr>
            </w:pPr>
            <w:r>
              <w:rPr>
                <w:szCs w:val="20"/>
                <w:lang w:eastAsia="uk-UA"/>
              </w:rPr>
              <w:t>Д</w:t>
            </w:r>
            <w:r w:rsidRPr="003A66CB">
              <w:rPr>
                <w:szCs w:val="20"/>
                <w:lang w:eastAsia="uk-UA"/>
              </w:rPr>
              <w:t>овідка</w:t>
            </w:r>
            <w:r w:rsidRPr="00C32802">
              <w:rPr>
                <w:szCs w:val="20"/>
                <w:lang w:eastAsia="uk-UA"/>
              </w:rPr>
              <w:t xml:space="preserve"> про розрахунок нормативу ліквідності активів</w:t>
            </w:r>
          </w:p>
        </w:tc>
      </w:tr>
      <w:tr w:rsidR="00BF647C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Default="00BF647C" w:rsidP="00BF647C">
            <w:pPr>
              <w:numPr>
                <w:ilvl w:val="0"/>
                <w:numId w:val="13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414AB5" w:rsidRDefault="00BF647C" w:rsidP="006D548B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414AB5">
              <w:rPr>
                <w:rFonts w:ascii="Courier New" w:hAnsi="Courier New" w:cs="Courier New"/>
                <w:b/>
                <w:bCs/>
                <w:lang w:val="en-US"/>
              </w:rPr>
              <w:t>DTSCP_LIC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Default="00BF647C" w:rsidP="006D548B">
            <w:pPr>
              <w:spacing w:after="0"/>
            </w:pPr>
            <w:r w:rsidRPr="00C32802">
              <w:rPr>
                <w:szCs w:val="20"/>
                <w:lang w:eastAsia="uk-UA"/>
              </w:rPr>
              <w:t>Перелік цінних паперів, включених для розрахунку нормативу ліквідності активів</w:t>
            </w:r>
          </w:p>
        </w:tc>
      </w:tr>
    </w:tbl>
    <w:p w:rsidR="00E549C8" w:rsidRPr="00414AB5" w:rsidRDefault="00E549C8" w:rsidP="00E549C8">
      <w:pPr>
        <w:pStyle w:val="2"/>
        <w:tabs>
          <w:tab w:val="left" w:pos="720"/>
        </w:tabs>
        <w:ind w:left="851"/>
        <w:rPr>
          <w:sz w:val="24"/>
          <w:szCs w:val="24"/>
        </w:rPr>
      </w:pPr>
      <w:r w:rsidRPr="00FE4955">
        <w:rPr>
          <w:sz w:val="24"/>
          <w:szCs w:val="24"/>
          <w:lang w:val="ru-RU"/>
        </w:rPr>
        <w:t>«</w:t>
      </w:r>
      <w:r w:rsidRPr="00FE4955">
        <w:rPr>
          <w:sz w:val="24"/>
          <w:szCs w:val="24"/>
          <w:lang w:val="en-US"/>
        </w:rPr>
        <w:t>DTSR</w:t>
      </w:r>
      <w:r w:rsidRPr="00FE4955">
        <w:rPr>
          <w:sz w:val="24"/>
          <w:szCs w:val="24"/>
          <w:lang w:val="ru-RU"/>
        </w:rPr>
        <w:t>_</w:t>
      </w:r>
      <w:r w:rsidRPr="00FE4955">
        <w:rPr>
          <w:sz w:val="24"/>
          <w:szCs w:val="24"/>
          <w:lang w:val="en-US"/>
        </w:rPr>
        <w:t>LIC</w:t>
      </w:r>
      <w:r w:rsidRPr="00FE4955">
        <w:rPr>
          <w:sz w:val="24"/>
          <w:szCs w:val="24"/>
          <w:lang w:val="ru-RU"/>
        </w:rPr>
        <w:t>»</w:t>
      </w:r>
      <w:r w:rsidRPr="00FE4955">
        <w:rPr>
          <w:sz w:val="24"/>
          <w:szCs w:val="24"/>
        </w:rPr>
        <w:t xml:space="preserve"> </w:t>
      </w:r>
      <w:r w:rsidR="00FE4955" w:rsidRPr="00FE4955">
        <w:rPr>
          <w:sz w:val="24"/>
          <w:szCs w:val="24"/>
          <w:lang w:eastAsia="uk-UA"/>
        </w:rPr>
        <w:t>Довідка про розрахунок нормативу ліквідності активів</w:t>
      </w:r>
      <w:r w:rsidR="00FE4955" w:rsidRPr="00FE4955">
        <w:rPr>
          <w:b w:val="0"/>
          <w:color w:val="000000"/>
          <w:sz w:val="24"/>
          <w:szCs w:val="24"/>
          <w:vertAlign w:val="superscript"/>
        </w:rPr>
        <w:t xml:space="preserve"> </w:t>
      </w:r>
      <w:r w:rsidRPr="00E549C8">
        <w:rPr>
          <w:b w:val="0"/>
          <w:color w:val="000000"/>
          <w:sz w:val="18"/>
          <w:szCs w:val="18"/>
          <w:vertAlign w:val="superscript"/>
        </w:rPr>
        <w:t>1</w:t>
      </w:r>
    </w:p>
    <w:p w:rsidR="00E549C8" w:rsidRPr="001B2EC9" w:rsidRDefault="00E549C8" w:rsidP="00E549C8">
      <w:pPr>
        <w:spacing w:after="0"/>
        <w:ind w:firstLine="567"/>
      </w:pPr>
      <w:r w:rsidRPr="00414AB5">
        <w:t xml:space="preserve">Інформація, </w:t>
      </w:r>
      <w:r w:rsidRPr="00414AB5">
        <w:rPr>
          <w:lang w:eastAsia="uk-UA"/>
        </w:rPr>
        <w:t>зазначена у</w:t>
      </w:r>
      <w:r w:rsidRPr="001B2EC9">
        <w:rPr>
          <w:lang w:eastAsia="uk-UA"/>
        </w:rPr>
        <w:t xml:space="preserve"> гривнях, </w:t>
      </w:r>
      <w:r w:rsidRPr="001B2EC9">
        <w:t xml:space="preserve"> </w:t>
      </w:r>
      <w:r w:rsidRPr="00403C64">
        <w:rPr>
          <w:rStyle w:val="rvts82"/>
        </w:rPr>
        <w:t xml:space="preserve">заповнюється </w:t>
      </w:r>
      <w:r w:rsidRPr="001B2EC9">
        <w:rPr>
          <w:lang w:eastAsia="uk-UA"/>
        </w:rPr>
        <w:t>з округленням до двох знаків після коми.</w:t>
      </w:r>
    </w:p>
    <w:p w:rsidR="00E549C8" w:rsidRPr="00ED15DC" w:rsidRDefault="00E549C8" w:rsidP="00E549C8">
      <w:pPr>
        <w:spacing w:after="0"/>
        <w:ind w:firstLine="567"/>
      </w:pPr>
      <w:r w:rsidRPr="00ED15DC">
        <w:t xml:space="preserve">Інформаційні рядки вкладаються до елементу </w:t>
      </w:r>
      <w:r w:rsidRPr="00ED15DC">
        <w:rPr>
          <w:lang w:val="en-US"/>
        </w:rPr>
        <w:t>XML</w:t>
      </w:r>
      <w:r w:rsidRPr="00ED15DC">
        <w:t xml:space="preserve"> «</w:t>
      </w:r>
      <w:r w:rsidRPr="00414AB5">
        <w:rPr>
          <w:rFonts w:ascii="Courier New" w:hAnsi="Courier New" w:cs="Courier New"/>
          <w:b/>
          <w:bCs/>
          <w:lang w:val="en-US"/>
        </w:rPr>
        <w:t>DTSR</w:t>
      </w:r>
      <w:r w:rsidRPr="00E549C8">
        <w:rPr>
          <w:rFonts w:ascii="Courier New" w:hAnsi="Courier New" w:cs="Courier New"/>
          <w:b/>
          <w:bCs/>
          <w:lang w:val="ru-RU"/>
        </w:rPr>
        <w:t>_</w:t>
      </w:r>
      <w:r w:rsidRPr="00414AB5">
        <w:rPr>
          <w:rFonts w:ascii="Courier New" w:hAnsi="Courier New" w:cs="Courier New"/>
          <w:b/>
          <w:bCs/>
          <w:lang w:val="en-US"/>
        </w:rPr>
        <w:t>LIC</w:t>
      </w:r>
      <w:r w:rsidRPr="00ED15DC">
        <w:t>» та містять реквізити: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800"/>
        <w:gridCol w:w="7366"/>
      </w:tblGrid>
      <w:tr w:rsidR="00E549C8" w:rsidRPr="007C1D5E" w:rsidTr="00A568B1">
        <w:trPr>
          <w:cantSplit/>
        </w:trPr>
        <w:tc>
          <w:tcPr>
            <w:tcW w:w="357" w:type="pct"/>
            <w:shd w:val="clear" w:color="auto" w:fill="auto"/>
          </w:tcPr>
          <w:p w:rsidR="00E549C8" w:rsidRPr="007C1D5E" w:rsidRDefault="00E549C8" w:rsidP="00D82EF8">
            <w:pPr>
              <w:spacing w:after="0"/>
              <w:rPr>
                <w:b/>
              </w:rPr>
            </w:pPr>
            <w:r w:rsidRPr="007C1D5E">
              <w:rPr>
                <w:b/>
              </w:rPr>
              <w:t>№ з/п</w:t>
            </w:r>
          </w:p>
        </w:tc>
        <w:tc>
          <w:tcPr>
            <w:tcW w:w="912" w:type="pct"/>
            <w:shd w:val="clear" w:color="auto" w:fill="auto"/>
          </w:tcPr>
          <w:p w:rsidR="00E549C8" w:rsidRPr="007C1D5E" w:rsidRDefault="00E549C8" w:rsidP="00D82EF8">
            <w:pPr>
              <w:spacing w:after="0"/>
              <w:rPr>
                <w:b/>
              </w:rPr>
            </w:pPr>
            <w:r w:rsidRPr="007C1D5E">
              <w:rPr>
                <w:b/>
                <w:lang w:val="ru-RU"/>
              </w:rPr>
              <w:t>Атрибут</w:t>
            </w:r>
            <w:r w:rsidRPr="007C1D5E">
              <w:rPr>
                <w:b/>
                <w:lang w:val="en-US"/>
              </w:rPr>
              <w:t>XML</w:t>
            </w:r>
          </w:p>
        </w:tc>
        <w:tc>
          <w:tcPr>
            <w:tcW w:w="3731" w:type="pct"/>
            <w:shd w:val="clear" w:color="auto" w:fill="auto"/>
          </w:tcPr>
          <w:p w:rsidR="00E549C8" w:rsidRPr="007C1D5E" w:rsidRDefault="00E549C8" w:rsidP="00FE4955">
            <w:pPr>
              <w:spacing w:after="0"/>
              <w:jc w:val="center"/>
              <w:rPr>
                <w:b/>
              </w:rPr>
            </w:pPr>
            <w:r w:rsidRPr="007C1D5E">
              <w:rPr>
                <w:b/>
              </w:rPr>
              <w:t>Призначення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FE4955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</w:rPr>
              <w:t>DATEROZ</w:t>
            </w:r>
          </w:p>
        </w:tc>
        <w:tc>
          <w:tcPr>
            <w:tcW w:w="3731" w:type="pct"/>
            <w:shd w:val="clear" w:color="auto" w:fill="auto"/>
          </w:tcPr>
          <w:p w:rsidR="00E549C8" w:rsidRPr="007610B4" w:rsidRDefault="00FE495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D836CE">
              <w:rPr>
                <w:lang w:eastAsia="uk-UA"/>
              </w:rPr>
              <w:t>Дата, на яку здійснено розрахунок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A568B1" w:rsidRDefault="00A568B1" w:rsidP="00D82EF8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A568B1">
              <w:rPr>
                <w:rFonts w:ascii="Courier New" w:hAnsi="Courier New" w:cs="Courier New"/>
                <w:b/>
              </w:rPr>
              <w:t>N_LIC</w:t>
            </w:r>
          </w:p>
        </w:tc>
        <w:tc>
          <w:tcPr>
            <w:tcW w:w="3731" w:type="pct"/>
            <w:shd w:val="clear" w:color="auto" w:fill="auto"/>
          </w:tcPr>
          <w:p w:rsidR="00E549C8" w:rsidRPr="007610B4" w:rsidRDefault="00FE4955" w:rsidP="00D836CE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D836CE">
              <w:rPr>
                <w:lang w:eastAsia="uk-UA"/>
              </w:rPr>
              <w:t>Норматив ліквідності активі</w:t>
            </w:r>
            <w:r w:rsidR="00D836CE">
              <w:rPr>
                <w:lang w:val="ru-RU" w:eastAsia="uk-UA"/>
              </w:rPr>
              <w:t>в</w:t>
            </w:r>
            <w:r w:rsidRPr="00D836CE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7610B4" w:rsidRDefault="00A568B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E_MONEY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FE4955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Грошові кошти, що включають кошти професійного учасника на поточних рахунках та депозити в банках (крім банків, у яких запроваджено тимчасову адміністрацію або проводиться процедура ліквідації),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7610B4" w:rsidRDefault="00BE79B0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OBL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_V</w:t>
            </w: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_RR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FE4955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Облігації внутрішньої державної позики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BE79B0" w:rsidRDefault="00BE79B0" w:rsidP="00D82EF8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OBL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_Z</w:t>
            </w: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_RR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Облігації зовнішньої державної позики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BE79B0" w:rsidRDefault="00BE79B0" w:rsidP="00D82EF8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ICP_RR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Іноземні цінні папери, які зараховані на рахунки в цінних паперах у Національному депозитарії України та допущені до обігу на території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7610B4" w:rsidRDefault="00BE79B0" w:rsidP="00BE79B0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I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SER</w:t>
            </w: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_RR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Інвестиційні сертифікати відкритих спеціалізованих інвестиційних фондів грошового ринку,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414AB5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7610B4" w:rsidRDefault="00BE79B0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E_SMASSTS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Зобов'язання, що включають загальну суму зобов'язань (довгострокових та поточних),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BE79B0" w:rsidRDefault="00BE79B0" w:rsidP="00BE79B0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BE79B0">
              <w:rPr>
                <w:rFonts w:ascii="Courier New" w:hAnsi="Courier New" w:cs="Courier New"/>
                <w:b/>
                <w:bCs/>
                <w:lang w:val="en-US"/>
              </w:rPr>
              <w:t> MIN_SK</w:t>
            </w:r>
          </w:p>
        </w:tc>
        <w:tc>
          <w:tcPr>
            <w:tcW w:w="3731" w:type="pct"/>
            <w:shd w:val="clear" w:color="auto" w:fill="auto"/>
          </w:tcPr>
          <w:p w:rsidR="00E549C8" w:rsidRPr="00D836CE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D836CE">
              <w:rPr>
                <w:lang w:eastAsia="uk-UA"/>
              </w:rPr>
              <w:t>Мінімальний розмір початкового капіталу, встановлений законодавством для відповідного виду професійної діяльності на ринках капіталу та організованих товарних ринках, що здійснюється професійним учасником, грн</w:t>
            </w:r>
          </w:p>
        </w:tc>
      </w:tr>
      <w:tr w:rsidR="00E549C8" w:rsidRPr="007C1D5E" w:rsidTr="00A568B1">
        <w:tc>
          <w:tcPr>
            <w:tcW w:w="357" w:type="pct"/>
            <w:shd w:val="clear" w:color="auto" w:fill="auto"/>
          </w:tcPr>
          <w:p w:rsidR="00E549C8" w:rsidRPr="008A70C7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10612F" w:rsidRDefault="00E549C8" w:rsidP="00D82EF8">
            <w:pPr>
              <w:spacing w:after="0"/>
              <w:rPr>
                <w:rFonts w:ascii="Courier New" w:hAnsi="Courier New" w:cs="Courier New"/>
                <w:b/>
                <w:bCs/>
                <w:lang w:val="ru-RU"/>
              </w:rPr>
            </w:pPr>
            <w:r w:rsidRPr="0010612F">
              <w:rPr>
                <w:rFonts w:ascii="Courier New" w:hAnsi="Courier New" w:cs="Courier New"/>
                <w:b/>
                <w:bCs/>
              </w:rPr>
              <w:t>PRIM</w:t>
            </w:r>
          </w:p>
        </w:tc>
        <w:tc>
          <w:tcPr>
            <w:tcW w:w="3731" w:type="pct"/>
            <w:shd w:val="clear" w:color="auto" w:fill="auto"/>
          </w:tcPr>
          <w:p w:rsidR="00E549C8" w:rsidRPr="00BB0914" w:rsidRDefault="00E549C8" w:rsidP="00D82EF8">
            <w:pPr>
              <w:spacing w:after="0"/>
              <w:ind w:left="-12"/>
              <w:rPr>
                <w:lang w:val="en-US" w:eastAsia="uk-UA"/>
              </w:rPr>
            </w:pPr>
            <w:r w:rsidRPr="00BB0914">
              <w:rPr>
                <w:lang w:eastAsia="uk-UA"/>
              </w:rPr>
              <w:t>Примітки</w:t>
            </w:r>
          </w:p>
        </w:tc>
      </w:tr>
    </w:tbl>
    <w:p w:rsidR="00E549C8" w:rsidRPr="00E549C8" w:rsidRDefault="00E549C8" w:rsidP="00E549C8">
      <w:pPr>
        <w:spacing w:after="0"/>
        <w:ind w:firstLine="240"/>
        <w:rPr>
          <w:sz w:val="20"/>
          <w:szCs w:val="20"/>
        </w:rPr>
      </w:pPr>
      <w:r w:rsidRPr="00E549C8">
        <w:rPr>
          <w:color w:val="000000"/>
          <w:sz w:val="20"/>
          <w:szCs w:val="20"/>
          <w:vertAlign w:val="superscript"/>
        </w:rPr>
        <w:t>1</w:t>
      </w:r>
      <w:r w:rsidRPr="00E549C8">
        <w:rPr>
          <w:color w:val="000000"/>
          <w:sz w:val="20"/>
          <w:szCs w:val="20"/>
        </w:rPr>
        <w:t xml:space="preserve"> У разі подання довідки за останній день звітного місяця дані таблиці 1 і таблиці 2 заповнюються за цей день і, якщо довідка подається інвестиційною фірмою, компанією з управління активами чи депозитарною установою, </w:t>
      </w:r>
      <w:r w:rsidRPr="00E549C8">
        <w:rPr>
          <w:color w:val="000000"/>
          <w:sz w:val="20"/>
          <w:szCs w:val="20"/>
        </w:rPr>
        <w:lastRenderedPageBreak/>
        <w:t>- за кожен день, в який розраховане значення нормативу ліквідності активів є меншим від встановленого НКЦПФР його нормативного значення.</w:t>
      </w:r>
    </w:p>
    <w:p w:rsidR="00E549C8" w:rsidRPr="00E549C8" w:rsidRDefault="00E549C8" w:rsidP="00E549C8">
      <w:pPr>
        <w:spacing w:after="0"/>
        <w:ind w:firstLine="240"/>
        <w:rPr>
          <w:sz w:val="20"/>
          <w:szCs w:val="20"/>
        </w:rPr>
      </w:pPr>
      <w:r w:rsidRPr="00E549C8">
        <w:rPr>
          <w:color w:val="000000"/>
          <w:sz w:val="20"/>
          <w:szCs w:val="20"/>
          <w:vertAlign w:val="superscript"/>
        </w:rPr>
        <w:t xml:space="preserve">2 </w:t>
      </w:r>
      <w:r w:rsidRPr="00E549C8">
        <w:rPr>
          <w:color w:val="000000"/>
          <w:sz w:val="20"/>
          <w:szCs w:val="20"/>
        </w:rPr>
        <w:t>Зазначається з округленням до чотирьох знаків після коми.</w:t>
      </w:r>
    </w:p>
    <w:p w:rsidR="00846182" w:rsidRPr="00FE4955" w:rsidRDefault="00846182" w:rsidP="00846182">
      <w:pPr>
        <w:pStyle w:val="2"/>
        <w:tabs>
          <w:tab w:val="left" w:pos="720"/>
        </w:tabs>
        <w:ind w:left="851"/>
        <w:rPr>
          <w:sz w:val="24"/>
          <w:szCs w:val="24"/>
        </w:rPr>
      </w:pPr>
      <w:r w:rsidRPr="00FE4955">
        <w:rPr>
          <w:sz w:val="24"/>
          <w:szCs w:val="24"/>
          <w:lang w:val="ru-RU"/>
        </w:rPr>
        <w:t>«</w:t>
      </w:r>
      <w:r w:rsidR="00414AB5" w:rsidRPr="00FE4955">
        <w:rPr>
          <w:sz w:val="24"/>
          <w:szCs w:val="24"/>
          <w:lang w:val="en-US"/>
        </w:rPr>
        <w:t>DTS</w:t>
      </w:r>
      <w:r w:rsidR="00E549C8" w:rsidRPr="00FE4955">
        <w:rPr>
          <w:sz w:val="24"/>
          <w:szCs w:val="24"/>
          <w:lang w:val="en-US"/>
        </w:rPr>
        <w:t>CP</w:t>
      </w:r>
      <w:r w:rsidR="00414AB5" w:rsidRPr="00FE4955">
        <w:rPr>
          <w:sz w:val="24"/>
          <w:szCs w:val="24"/>
          <w:lang w:val="ru-RU"/>
        </w:rPr>
        <w:t>_</w:t>
      </w:r>
      <w:r w:rsidR="00414AB5" w:rsidRPr="00FE4955">
        <w:rPr>
          <w:sz w:val="24"/>
          <w:szCs w:val="24"/>
          <w:lang w:val="en-US"/>
        </w:rPr>
        <w:t>LIC</w:t>
      </w:r>
      <w:r w:rsidRPr="00FE4955">
        <w:rPr>
          <w:sz w:val="24"/>
          <w:szCs w:val="24"/>
          <w:lang w:val="ru-RU"/>
        </w:rPr>
        <w:t>»</w:t>
      </w:r>
      <w:r w:rsidRPr="00FE4955">
        <w:rPr>
          <w:sz w:val="24"/>
          <w:szCs w:val="24"/>
        </w:rPr>
        <w:t xml:space="preserve"> </w:t>
      </w:r>
      <w:r w:rsidR="00E549C8" w:rsidRPr="00FE4955">
        <w:rPr>
          <w:color w:val="000000"/>
          <w:sz w:val="24"/>
          <w:szCs w:val="24"/>
          <w:lang w:val="ru-RU"/>
        </w:rPr>
        <w:t>Перелік цінних паперів, включених для розрахунку нормативу ліквідності активів</w:t>
      </w:r>
    </w:p>
    <w:p w:rsidR="00846182" w:rsidRPr="001B2EC9" w:rsidRDefault="00846182" w:rsidP="00846182">
      <w:pPr>
        <w:spacing w:after="0"/>
        <w:ind w:firstLine="567"/>
      </w:pPr>
      <w:r w:rsidRPr="00414AB5">
        <w:t xml:space="preserve">Інформація, </w:t>
      </w:r>
      <w:r w:rsidRPr="00414AB5">
        <w:rPr>
          <w:lang w:eastAsia="uk-UA"/>
        </w:rPr>
        <w:t>зазначена у</w:t>
      </w:r>
      <w:r w:rsidRPr="001B2EC9">
        <w:rPr>
          <w:lang w:eastAsia="uk-UA"/>
        </w:rPr>
        <w:t xml:space="preserve"> гривнях, </w:t>
      </w:r>
      <w:r w:rsidRPr="001B2EC9">
        <w:t xml:space="preserve"> </w:t>
      </w:r>
      <w:r w:rsidRPr="00403C64">
        <w:rPr>
          <w:rStyle w:val="rvts82"/>
        </w:rPr>
        <w:t xml:space="preserve">заповнюється </w:t>
      </w:r>
      <w:r w:rsidRPr="001B2EC9">
        <w:rPr>
          <w:lang w:eastAsia="uk-UA"/>
        </w:rPr>
        <w:t>з округленням до двох знаків після коми.</w:t>
      </w:r>
    </w:p>
    <w:p w:rsidR="00846182" w:rsidRPr="00ED15DC" w:rsidRDefault="00846182" w:rsidP="00846182">
      <w:pPr>
        <w:spacing w:after="0"/>
        <w:ind w:firstLine="567"/>
      </w:pPr>
      <w:r w:rsidRPr="00ED15DC">
        <w:t xml:space="preserve">Інформаційні рядки вкладаються до елементу </w:t>
      </w:r>
      <w:r w:rsidRPr="00ED15DC">
        <w:rPr>
          <w:lang w:val="en-US"/>
        </w:rPr>
        <w:t>XML</w:t>
      </w:r>
      <w:r w:rsidRPr="00ED15DC">
        <w:t xml:space="preserve"> «</w:t>
      </w:r>
      <w:r w:rsidR="00414AB5" w:rsidRPr="00414AB5">
        <w:rPr>
          <w:rFonts w:ascii="Courier New" w:hAnsi="Courier New" w:cs="Courier New"/>
          <w:b/>
          <w:bCs/>
          <w:lang w:val="en-US"/>
        </w:rPr>
        <w:t>DTSR</w:t>
      </w:r>
      <w:r w:rsidR="00414AB5" w:rsidRPr="00A81EBB">
        <w:rPr>
          <w:rFonts w:ascii="Courier New" w:hAnsi="Courier New" w:cs="Courier New"/>
          <w:b/>
          <w:bCs/>
          <w:lang w:val="ru-RU"/>
        </w:rPr>
        <w:t>_</w:t>
      </w:r>
      <w:r w:rsidR="00414AB5" w:rsidRPr="00414AB5">
        <w:rPr>
          <w:rFonts w:ascii="Courier New" w:hAnsi="Courier New" w:cs="Courier New"/>
          <w:b/>
          <w:bCs/>
          <w:lang w:val="en-US"/>
        </w:rPr>
        <w:t>LIC</w:t>
      </w:r>
      <w:r w:rsidRPr="00ED15DC">
        <w:t>» та містять реквізити: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698"/>
        <w:gridCol w:w="7560"/>
      </w:tblGrid>
      <w:tr w:rsidR="00A568B1" w:rsidRPr="007C1D5E" w:rsidTr="00A568B1">
        <w:trPr>
          <w:cantSplit/>
        </w:trPr>
        <w:tc>
          <w:tcPr>
            <w:tcW w:w="333" w:type="pct"/>
            <w:shd w:val="clear" w:color="auto" w:fill="auto"/>
          </w:tcPr>
          <w:p w:rsidR="00846182" w:rsidRPr="007C1D5E" w:rsidRDefault="00846182" w:rsidP="00D82EF8">
            <w:pPr>
              <w:spacing w:after="0"/>
              <w:rPr>
                <w:b/>
              </w:rPr>
            </w:pPr>
            <w:r w:rsidRPr="007C1D5E">
              <w:rPr>
                <w:b/>
              </w:rPr>
              <w:t>№ з/п</w:t>
            </w:r>
          </w:p>
        </w:tc>
        <w:tc>
          <w:tcPr>
            <w:tcW w:w="856" w:type="pct"/>
            <w:shd w:val="clear" w:color="auto" w:fill="auto"/>
          </w:tcPr>
          <w:p w:rsidR="00846182" w:rsidRPr="007C1D5E" w:rsidRDefault="00846182" w:rsidP="00D82EF8">
            <w:pPr>
              <w:spacing w:after="0"/>
              <w:rPr>
                <w:b/>
              </w:rPr>
            </w:pPr>
            <w:r w:rsidRPr="007C1D5E">
              <w:rPr>
                <w:b/>
                <w:lang w:val="ru-RU"/>
              </w:rPr>
              <w:t>Атрибут</w:t>
            </w:r>
            <w:r w:rsidRPr="007C1D5E">
              <w:rPr>
                <w:b/>
                <w:lang w:val="en-US"/>
              </w:rPr>
              <w:t>XML</w:t>
            </w:r>
          </w:p>
        </w:tc>
        <w:tc>
          <w:tcPr>
            <w:tcW w:w="3811" w:type="pct"/>
            <w:shd w:val="clear" w:color="auto" w:fill="auto"/>
          </w:tcPr>
          <w:p w:rsidR="00846182" w:rsidRPr="007C1D5E" w:rsidRDefault="00846182" w:rsidP="00FE4955">
            <w:pPr>
              <w:spacing w:after="0"/>
              <w:jc w:val="center"/>
              <w:rPr>
                <w:b/>
              </w:rPr>
            </w:pPr>
            <w:r w:rsidRPr="007C1D5E">
              <w:rPr>
                <w:b/>
              </w:rPr>
              <w:t>Призначення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49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8A7FF1" w:rsidP="00D82EF8">
            <w:pPr>
              <w:spacing w:after="0"/>
              <w:rPr>
                <w:bCs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DATEROZ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Дата, на яку здійснено розрахунок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5215A6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Cs w:val="20"/>
              </w:rPr>
              <w:t>ST_TYPE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Вид цінного папера</w:t>
            </w:r>
            <w:r w:rsidRPr="007610B4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EM</w:t>
            </w:r>
            <w:r>
              <w:rPr>
                <w:rFonts w:ascii="Courier New" w:hAnsi="Courier New" w:cs="Courier New"/>
                <w:b/>
                <w:color w:val="000000"/>
                <w:lang w:val="en-US"/>
              </w:rPr>
              <w:t>NAME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Найменування емітента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EMEDRPOU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Код за ЄДРПОУ емітента - резидента / ідентифікаційний код з торговельного, судового або банківського реєстру країни, де офіційно зареєстрований емітент - нерезидент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Cs w:val="20"/>
                <w:lang w:val="en-US"/>
              </w:rPr>
              <w:t>EM_EDRICI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Код за ЄДРІСІ (для </w:t>
            </w:r>
            <w:r w:rsidRPr="007610B4">
              <w:rPr>
                <w:bCs/>
                <w:color w:val="000000" w:themeColor="text1"/>
              </w:rPr>
              <w:t>інвестиційних сертифікатів відкритих спеціалізованих інвестиційних фондів грошового ринку</w:t>
            </w:r>
            <w:r w:rsidRPr="007610B4">
              <w:rPr>
                <w:color w:val="000000" w:themeColor="text1"/>
                <w:shd w:val="clear" w:color="auto" w:fill="FFFFFF"/>
              </w:rPr>
              <w:t>)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EM</w:t>
            </w:r>
            <w:r>
              <w:rPr>
                <w:rFonts w:ascii="Courier New" w:hAnsi="Courier New" w:cs="Courier New"/>
                <w:b/>
                <w:color w:val="000000"/>
              </w:rPr>
              <w:t>STATE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Країна реєстрації емітента</w:t>
            </w:r>
            <w:r w:rsidRPr="007610B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EM</w:t>
            </w:r>
            <w:r>
              <w:rPr>
                <w:rFonts w:ascii="Courier New" w:hAnsi="Courier New" w:cs="Courier New"/>
                <w:b/>
                <w:color w:val="000000"/>
                <w:lang w:val="en-US"/>
              </w:rPr>
              <w:t>LEI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Ідентифікаційний номер за міжнародним ідентифікатором юридичних осіб (код LEI) емітента (за наявності)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414AB5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ISIN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Міжнародний ідентифікаційний номер цінного папера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3C76AE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ALLKP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Кількість цінних паперів, штук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CPNOM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Номінальна вартість одного цінного папера, у валюті номіналу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3C76AE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CPCURR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Назва валюти</w:t>
            </w:r>
            <w:r w:rsidRPr="007610B4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lang w:val="en-US"/>
              </w:rPr>
              <w:t>CPVALUE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Загальна вартість цінних паперів, грн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7610B4" w:rsidRDefault="005215A6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Cs w:val="20"/>
              </w:rPr>
              <w:t>PEBALAKF</w:t>
            </w:r>
          </w:p>
        </w:tc>
        <w:tc>
          <w:tcPr>
            <w:tcW w:w="3811" w:type="pct"/>
            <w:shd w:val="clear" w:color="auto" w:fill="auto"/>
          </w:tcPr>
          <w:p w:rsidR="00846182" w:rsidRPr="007610B4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7610B4">
              <w:rPr>
                <w:color w:val="000000" w:themeColor="text1"/>
                <w:shd w:val="clear" w:color="auto" w:fill="FFFFFF"/>
              </w:rPr>
              <w:t>Частка у загальній вартості фінансових інструментів</w:t>
            </w:r>
            <w:r w:rsidRPr="007610B4">
              <w:rPr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4</w:t>
            </w:r>
            <w:r w:rsidRPr="007610B4">
              <w:rPr>
                <w:color w:val="000000" w:themeColor="text1"/>
                <w:shd w:val="clear" w:color="auto" w:fill="FFFFFF"/>
              </w:rPr>
              <w:t>, %</w:t>
            </w:r>
          </w:p>
        </w:tc>
      </w:tr>
      <w:tr w:rsidR="00A568B1" w:rsidRPr="007C1D5E" w:rsidTr="00A568B1">
        <w:tc>
          <w:tcPr>
            <w:tcW w:w="333" w:type="pct"/>
            <w:shd w:val="clear" w:color="auto" w:fill="auto"/>
          </w:tcPr>
          <w:p w:rsidR="00846182" w:rsidRPr="008A70C7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10612F" w:rsidRDefault="00846182" w:rsidP="00D82EF8">
            <w:pPr>
              <w:spacing w:after="0"/>
              <w:rPr>
                <w:rFonts w:ascii="Courier New" w:hAnsi="Courier New" w:cs="Courier New"/>
                <w:b/>
                <w:bCs/>
                <w:lang w:val="ru-RU"/>
              </w:rPr>
            </w:pPr>
            <w:r w:rsidRPr="0010612F">
              <w:rPr>
                <w:rFonts w:ascii="Courier New" w:hAnsi="Courier New" w:cs="Courier New"/>
                <w:b/>
                <w:bCs/>
              </w:rPr>
              <w:t>PRIM</w:t>
            </w:r>
          </w:p>
        </w:tc>
        <w:tc>
          <w:tcPr>
            <w:tcW w:w="3811" w:type="pct"/>
            <w:shd w:val="clear" w:color="auto" w:fill="auto"/>
          </w:tcPr>
          <w:p w:rsidR="00846182" w:rsidRPr="00BB0914" w:rsidRDefault="00846182" w:rsidP="00D82EF8">
            <w:pPr>
              <w:spacing w:after="0"/>
              <w:ind w:left="-12"/>
              <w:rPr>
                <w:lang w:val="en-US" w:eastAsia="uk-UA"/>
              </w:rPr>
            </w:pPr>
            <w:r w:rsidRPr="00BB0914">
              <w:rPr>
                <w:lang w:eastAsia="uk-UA"/>
              </w:rPr>
              <w:t>Примітки</w:t>
            </w:r>
          </w:p>
        </w:tc>
      </w:tr>
    </w:tbl>
    <w:p w:rsidR="00E549C8" w:rsidRPr="00E549C8" w:rsidRDefault="00E549C8" w:rsidP="00E549C8">
      <w:pPr>
        <w:pStyle w:val="tj"/>
        <w:spacing w:before="0" w:beforeAutospacing="0" w:after="0" w:afterAutospacing="0"/>
        <w:rPr>
          <w:color w:val="293A55"/>
          <w:sz w:val="20"/>
          <w:szCs w:val="20"/>
        </w:rPr>
      </w:pPr>
      <w:r>
        <w:rPr>
          <w:rFonts w:ascii="Arial" w:hAnsi="Arial" w:cs="Arial"/>
          <w:color w:val="293A55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293A55"/>
        </w:rPr>
        <w:t> </w:t>
      </w:r>
      <w:r w:rsidRPr="00E549C8">
        <w:rPr>
          <w:rStyle w:val="fs2"/>
          <w:color w:val="000000"/>
          <w:sz w:val="20"/>
          <w:szCs w:val="20"/>
        </w:rPr>
        <w:t>Заповнюється відповідно до</w:t>
      </w:r>
      <w:r w:rsidRPr="00E549C8">
        <w:rPr>
          <w:color w:val="293A55"/>
          <w:sz w:val="20"/>
          <w:szCs w:val="20"/>
        </w:rPr>
        <w:t> </w:t>
      </w:r>
      <w:r w:rsidRPr="00E549C8">
        <w:rPr>
          <w:rStyle w:val="fs2"/>
          <w:color w:val="000000"/>
          <w:sz w:val="20"/>
          <w:szCs w:val="20"/>
        </w:rPr>
        <w:t>Довідника 6 "Класифікація фінансових інструментів за підгрупами" Системи довідників та класифікаторів.</w:t>
      </w:r>
    </w:p>
    <w:p w:rsidR="00E549C8" w:rsidRPr="00E549C8" w:rsidRDefault="00E549C8" w:rsidP="00E549C8">
      <w:pPr>
        <w:pStyle w:val="tj"/>
        <w:spacing w:before="0" w:beforeAutospacing="0" w:after="0" w:afterAutospacing="0"/>
        <w:rPr>
          <w:color w:val="293A55"/>
          <w:sz w:val="20"/>
          <w:szCs w:val="20"/>
        </w:rPr>
      </w:pPr>
      <w:r w:rsidRPr="00E549C8">
        <w:rPr>
          <w:color w:val="293A55"/>
          <w:sz w:val="20"/>
          <w:szCs w:val="20"/>
          <w:vertAlign w:val="superscript"/>
        </w:rPr>
        <w:t>2 </w:t>
      </w:r>
      <w:r w:rsidRPr="00E549C8">
        <w:rPr>
          <w:sz w:val="20"/>
          <w:szCs w:val="20"/>
          <w:lang w:eastAsia="zh-CN"/>
        </w:rPr>
        <w:t>Заповнюється відповідно до Довідника 45 "Класифікація країн світу" Системи довідників та класифікаторів.</w:t>
      </w:r>
    </w:p>
    <w:p w:rsidR="00E549C8" w:rsidRPr="00E549C8" w:rsidRDefault="00E549C8" w:rsidP="00E549C8">
      <w:pPr>
        <w:pStyle w:val="tj"/>
        <w:spacing w:before="0" w:beforeAutospacing="0" w:after="0" w:afterAutospacing="0"/>
        <w:rPr>
          <w:sz w:val="20"/>
          <w:szCs w:val="20"/>
          <w:lang w:eastAsia="zh-CN"/>
        </w:rPr>
      </w:pPr>
      <w:r w:rsidRPr="00E549C8">
        <w:rPr>
          <w:color w:val="293A55"/>
          <w:sz w:val="20"/>
          <w:szCs w:val="20"/>
          <w:vertAlign w:val="superscript"/>
        </w:rPr>
        <w:t>3 </w:t>
      </w:r>
      <w:r w:rsidRPr="00E549C8">
        <w:rPr>
          <w:sz w:val="20"/>
          <w:szCs w:val="20"/>
          <w:lang w:eastAsia="zh-CN"/>
        </w:rPr>
        <w:t>Заповнюється відповідно до Довідника 46 "Перелік та коди валют" Системи довідників та класифікаторів.</w:t>
      </w:r>
    </w:p>
    <w:p w:rsidR="00E549C8" w:rsidRPr="00E549C8" w:rsidRDefault="00E549C8" w:rsidP="00E549C8">
      <w:pPr>
        <w:pStyle w:val="tj"/>
        <w:spacing w:before="0" w:beforeAutospacing="0" w:after="0" w:afterAutospacing="0"/>
        <w:rPr>
          <w:color w:val="000000"/>
          <w:sz w:val="20"/>
          <w:szCs w:val="20"/>
          <w:lang w:eastAsia="zh-CN"/>
        </w:rPr>
      </w:pPr>
      <w:r w:rsidRPr="00E549C8">
        <w:rPr>
          <w:color w:val="293A55"/>
          <w:sz w:val="20"/>
          <w:szCs w:val="20"/>
          <w:vertAlign w:val="superscript"/>
        </w:rPr>
        <w:t>4 </w:t>
      </w:r>
      <w:r w:rsidRPr="00E549C8">
        <w:rPr>
          <w:sz w:val="20"/>
          <w:szCs w:val="20"/>
          <w:lang w:eastAsia="zh-CN"/>
        </w:rPr>
        <w:t>Зазначається з округленням до чотирьох знаків після коми.</w:t>
      </w:r>
    </w:p>
    <w:p w:rsidR="00071EC2" w:rsidRDefault="00071EC2"/>
    <w:p w:rsidR="00BE79B0" w:rsidRDefault="00BE79B0"/>
    <w:p w:rsidR="00BE79B0" w:rsidRPr="006465BB" w:rsidRDefault="00BE79B0" w:rsidP="009537C8">
      <w:pPr>
        <w:pStyle w:val="3"/>
        <w:numPr>
          <w:ilvl w:val="0"/>
          <w:numId w:val="0"/>
        </w:numPr>
        <w:spacing w:before="0" w:after="0"/>
        <w:ind w:left="426"/>
      </w:pPr>
      <w:r w:rsidRPr="006465BB">
        <w:t>Директор департаменту</w:t>
      </w:r>
    </w:p>
    <w:p w:rsidR="00BE79B0" w:rsidRPr="000935F1" w:rsidRDefault="00BE79B0" w:rsidP="009537C8">
      <w:pPr>
        <w:pStyle w:val="12"/>
        <w:tabs>
          <w:tab w:val="left" w:pos="7655"/>
        </w:tabs>
        <w:ind w:left="426"/>
      </w:pPr>
      <w:r w:rsidRPr="000935F1">
        <w:rPr>
          <w:b/>
          <w:sz w:val="28"/>
          <w:szCs w:val="28"/>
        </w:rPr>
        <w:t>інформаційних технологій</w:t>
      </w:r>
      <w:r>
        <w:rPr>
          <w:b/>
          <w:sz w:val="28"/>
          <w:szCs w:val="28"/>
        </w:rPr>
        <w:tab/>
        <w:t>А. Заїка</w:t>
      </w:r>
    </w:p>
    <w:p w:rsidR="00BE79B0" w:rsidRDefault="00BE79B0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Default="00C3318E"/>
    <w:p w:rsidR="00C3318E" w:rsidRPr="00932AAE" w:rsidRDefault="00C3318E" w:rsidP="00156491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r w:rsidRPr="00932AAE">
        <w:rPr>
          <w:color w:val="000000" w:themeColor="text1"/>
          <w:sz w:val="24"/>
          <w:szCs w:val="24"/>
        </w:rPr>
        <w:lastRenderedPageBreak/>
        <w:t xml:space="preserve">Додаток </w:t>
      </w:r>
      <w:r w:rsidR="00A50573">
        <w:rPr>
          <w:color w:val="000000" w:themeColor="text1"/>
          <w:sz w:val="24"/>
          <w:szCs w:val="24"/>
        </w:rPr>
        <w:t>1</w:t>
      </w:r>
      <w:r w:rsidRPr="00932AAE">
        <w:rPr>
          <w:color w:val="000000" w:themeColor="text1"/>
          <w:sz w:val="24"/>
          <w:szCs w:val="24"/>
        </w:rPr>
        <w:t xml:space="preserve">. Схема </w:t>
      </w:r>
      <w:r w:rsidRPr="00932AAE">
        <w:rPr>
          <w:color w:val="000000" w:themeColor="text1"/>
          <w:sz w:val="24"/>
          <w:szCs w:val="24"/>
          <w:lang w:val="en-US"/>
        </w:rPr>
        <w:t>XSD</w:t>
      </w:r>
      <w:r w:rsidRPr="00932AAE">
        <w:rPr>
          <w:color w:val="000000" w:themeColor="text1"/>
          <w:sz w:val="24"/>
          <w:szCs w:val="24"/>
        </w:rPr>
        <w:t xml:space="preserve"> «MonthLIC.xsd» Щомісячні Дані.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C3318E" w:rsidRPr="001712E1" w:rsidTr="00E740F5">
        <w:tc>
          <w:tcPr>
            <w:tcW w:w="704" w:type="dxa"/>
            <w:shd w:val="clear" w:color="auto" w:fill="auto"/>
            <w:vAlign w:val="center"/>
          </w:tcPr>
          <w:p w:rsidR="00C3318E" w:rsidRPr="001712E1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№</w:t>
            </w:r>
          </w:p>
          <w:p w:rsidR="00C3318E" w:rsidRPr="001712E1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C3318E" w:rsidRPr="001712E1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C3318E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xmlns:z="http://nssmc.gov.ua/Schem/Month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A81E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C3318E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targetNamespace="http://nssmc.gov.ua/Schem/Month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A81E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&lt;xs:include schemaLocation="</w:t>
            </w:r>
            <w:r w:rsidR="00D82EF8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-components-pic.xsd"/&gt;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name="root"&gt;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&lt;xs:complexType&gt;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&lt;xs:sequence&gt;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15649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-container"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15649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6710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DTSCP_LIC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DTSCP_LIC</w:t>
            </w:r>
            <w:r w:rsidR="00156491">
              <w:rPr>
                <w:rFonts w:ascii="Courier New" w:hAnsi="Courier New" w:cs="Courier New"/>
                <w:color w:val="000000" w:themeColor="text1"/>
                <w:sz w:val="18"/>
              </w:rPr>
              <w:t>-container"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="00156491"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ref="z:extparts" minOccurs="0" maxOccurs="1"/&gt;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&lt;/xs:sequence&gt;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&lt;/xs:complexType&gt;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 name="extparts-key"&gt;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xpath="@NN"/&gt;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xpath="*/*"/&gt;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&lt;/xs:keyref&gt;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&lt;/xs:element&gt;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C3318E" w:rsidRPr="001712E1" w:rsidTr="00E740F5">
        <w:tc>
          <w:tcPr>
            <w:tcW w:w="704" w:type="dxa"/>
            <w:shd w:val="clear" w:color="auto" w:fill="auto"/>
          </w:tcPr>
          <w:p w:rsidR="00C3318E" w:rsidRPr="001712E1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1712E1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A50573" w:rsidRPr="00932AAE" w:rsidRDefault="00A50573" w:rsidP="00A50573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r w:rsidRPr="00932AAE">
        <w:rPr>
          <w:color w:val="000000" w:themeColor="text1"/>
          <w:sz w:val="24"/>
          <w:szCs w:val="24"/>
        </w:rPr>
        <w:t xml:space="preserve">Додаток </w:t>
      </w:r>
      <w:r>
        <w:rPr>
          <w:color w:val="000000" w:themeColor="text1"/>
          <w:sz w:val="24"/>
          <w:szCs w:val="24"/>
        </w:rPr>
        <w:t>2</w:t>
      </w:r>
      <w:r w:rsidRPr="00932AAE">
        <w:rPr>
          <w:color w:val="000000" w:themeColor="text1"/>
          <w:sz w:val="24"/>
          <w:szCs w:val="24"/>
        </w:rPr>
        <w:t xml:space="preserve">. Схема </w:t>
      </w:r>
      <w:r w:rsidRPr="00A50573">
        <w:rPr>
          <w:color w:val="000000" w:themeColor="text1"/>
          <w:sz w:val="24"/>
          <w:szCs w:val="24"/>
        </w:rPr>
        <w:t>XSD</w:t>
      </w:r>
      <w:r w:rsidRPr="00932AAE">
        <w:rPr>
          <w:color w:val="000000" w:themeColor="text1"/>
          <w:sz w:val="24"/>
          <w:szCs w:val="24"/>
        </w:rPr>
        <w:t xml:space="preserve"> «</w:t>
      </w:r>
      <w:r w:rsidRPr="00A50573">
        <w:rPr>
          <w:color w:val="000000" w:themeColor="text1"/>
          <w:sz w:val="24"/>
          <w:szCs w:val="24"/>
        </w:rPr>
        <w:t>Irreg</w:t>
      </w:r>
      <w:r w:rsidRPr="00932AAE">
        <w:rPr>
          <w:color w:val="000000" w:themeColor="text1"/>
          <w:sz w:val="24"/>
          <w:szCs w:val="24"/>
        </w:rPr>
        <w:t xml:space="preserve">LIC.xsd» </w:t>
      </w:r>
      <w:r w:rsidR="00B840A6">
        <w:rPr>
          <w:color w:val="000000" w:themeColor="text1"/>
          <w:sz w:val="24"/>
          <w:szCs w:val="24"/>
        </w:rPr>
        <w:t>Нерегулярні</w:t>
      </w:r>
      <w:r w:rsidRPr="00932AAE">
        <w:rPr>
          <w:color w:val="000000" w:themeColor="text1"/>
          <w:sz w:val="24"/>
          <w:szCs w:val="24"/>
        </w:rPr>
        <w:t xml:space="preserve"> Дані.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A50573" w:rsidRPr="001712E1" w:rsidTr="006D548B">
        <w:tc>
          <w:tcPr>
            <w:tcW w:w="704" w:type="dxa"/>
            <w:shd w:val="clear" w:color="auto" w:fill="auto"/>
            <w:vAlign w:val="center"/>
          </w:tcPr>
          <w:p w:rsidR="00A50573" w:rsidRPr="001712E1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№</w:t>
            </w:r>
          </w:p>
          <w:p w:rsidR="00A50573" w:rsidRPr="001712E1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A50573" w:rsidRPr="001712E1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xmlns:z="http://nssmc.gov.ua/Schem/</w:t>
            </w:r>
            <w:r w:rsidR="00B840A6" w:rsidRPr="00B840A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IrregLIC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A81E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targetNamespace="http://nssmc.gov.ua/Schem/</w:t>
            </w:r>
            <w:r w:rsidR="00B840A6" w:rsidRPr="00B840A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IrregLIC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A81E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&lt;xs:include schemaLocation="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-components-pic.xsd"/&gt;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name="root"&gt;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&lt;xs:complexType&gt;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&lt;xs:sequence&gt;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-container"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DTSCP_LIC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DTSCP_LIC</w:t>
            </w:r>
            <w:r>
              <w:rPr>
                <w:rFonts w:ascii="Courier New" w:hAnsi="Courier New" w:cs="Courier New"/>
                <w:color w:val="000000" w:themeColor="text1"/>
                <w:sz w:val="18"/>
              </w:rPr>
              <w:t>-container"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ref="z:extparts" minOccurs="0" maxOccurs="1"/&gt;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&lt;/xs:sequence&gt;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&lt;/xs:complexType&gt;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 name="extparts-key"&gt;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xpath="@NN"/&gt;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xpath="*/*"/&gt;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&lt;/xs:keyref&gt;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&lt;/xs:element&gt;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A50573" w:rsidRPr="001712E1" w:rsidTr="006D548B">
        <w:tc>
          <w:tcPr>
            <w:tcW w:w="704" w:type="dxa"/>
            <w:shd w:val="clear" w:color="auto" w:fill="auto"/>
          </w:tcPr>
          <w:p w:rsidR="00A50573" w:rsidRPr="001712E1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1712E1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A50573" w:rsidRDefault="00A50573"/>
    <w:p w:rsidR="00D82EF8" w:rsidRPr="00932AAE" w:rsidRDefault="00D82EF8" w:rsidP="00D82EF8">
      <w:pPr>
        <w:pStyle w:val="3"/>
        <w:numPr>
          <w:ilvl w:val="0"/>
          <w:numId w:val="0"/>
        </w:numPr>
        <w:jc w:val="left"/>
        <w:rPr>
          <w:color w:val="000000" w:themeColor="text1"/>
          <w:sz w:val="24"/>
          <w:szCs w:val="24"/>
        </w:rPr>
      </w:pPr>
      <w:r w:rsidRPr="00932AAE">
        <w:rPr>
          <w:color w:val="000000" w:themeColor="text1"/>
          <w:sz w:val="24"/>
          <w:szCs w:val="24"/>
        </w:rPr>
        <w:lastRenderedPageBreak/>
        <w:t xml:space="preserve">Додаток 3. Схема </w:t>
      </w:r>
      <w:r w:rsidRPr="00932AAE">
        <w:rPr>
          <w:color w:val="000000" w:themeColor="text1"/>
          <w:sz w:val="24"/>
          <w:szCs w:val="24"/>
          <w:lang w:val="en-US"/>
        </w:rPr>
        <w:t>XSD</w:t>
      </w:r>
      <w:r w:rsidRPr="00932AAE">
        <w:rPr>
          <w:color w:val="000000" w:themeColor="text1"/>
          <w:sz w:val="24"/>
          <w:szCs w:val="24"/>
        </w:rPr>
        <w:t>«</w:t>
      </w:r>
      <w:r w:rsidRPr="00932AAE">
        <w:rPr>
          <w:color w:val="000000" w:themeColor="text1"/>
          <w:sz w:val="24"/>
          <w:szCs w:val="24"/>
          <w:lang w:val="en-US"/>
        </w:rPr>
        <w:t>lic</w:t>
      </w:r>
      <w:r w:rsidRPr="00932AAE">
        <w:rPr>
          <w:color w:val="000000" w:themeColor="text1"/>
          <w:sz w:val="24"/>
          <w:szCs w:val="24"/>
        </w:rPr>
        <w:t>-components-pic.xsd» Загальна схема контейнерів вмісту, які можуть включатися до даних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D82EF8" w:rsidRPr="001712E1" w:rsidTr="00E740F5">
        <w:tc>
          <w:tcPr>
            <w:tcW w:w="704" w:type="dxa"/>
            <w:shd w:val="clear" w:color="auto" w:fill="auto"/>
            <w:vAlign w:val="center"/>
          </w:tcPr>
          <w:p w:rsidR="00D82EF8" w:rsidRPr="001712E1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№</w:t>
            </w:r>
          </w:p>
          <w:p w:rsidR="00D82EF8" w:rsidRPr="001712E1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D82EF8" w:rsidRPr="001712E1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E740F5" w:rsidRPr="001712E1" w:rsidTr="00E740F5">
        <w:tc>
          <w:tcPr>
            <w:tcW w:w="704" w:type="dxa"/>
            <w:shd w:val="clear" w:color="auto" w:fill="auto"/>
          </w:tcPr>
          <w:p w:rsidR="00E740F5" w:rsidRPr="001712E1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1712E1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xmlns:dc_syst="http://nssmc.gov.ua/xmlns/dovidnik-pic"</w:t>
            </w:r>
          </w:p>
        </w:tc>
      </w:tr>
      <w:tr w:rsidR="00E740F5" w:rsidRPr="001712E1" w:rsidTr="00E740F5">
        <w:tc>
          <w:tcPr>
            <w:tcW w:w="704" w:type="dxa"/>
            <w:shd w:val="clear" w:color="auto" w:fill="auto"/>
          </w:tcPr>
          <w:p w:rsidR="00E740F5" w:rsidRPr="00A81E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1712E1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E740F5" w:rsidRPr="001712E1" w:rsidTr="00E740F5">
        <w:tc>
          <w:tcPr>
            <w:tcW w:w="704" w:type="dxa"/>
            <w:shd w:val="clear" w:color="auto" w:fill="auto"/>
          </w:tcPr>
          <w:p w:rsidR="00E740F5" w:rsidRPr="00932AAE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1712E1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&lt;xs:import</w:t>
            </w:r>
          </w:p>
        </w:tc>
      </w:tr>
      <w:tr w:rsidR="00E740F5" w:rsidRPr="001712E1" w:rsidTr="00E740F5">
        <w:tc>
          <w:tcPr>
            <w:tcW w:w="704" w:type="dxa"/>
            <w:shd w:val="clear" w:color="auto" w:fill="auto"/>
          </w:tcPr>
          <w:p w:rsidR="00E740F5" w:rsidRPr="001712E1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1712E1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schemaLocation="dovidnik-pic.xsd"</w:t>
            </w:r>
          </w:p>
        </w:tc>
      </w:tr>
      <w:tr w:rsidR="00E740F5" w:rsidRPr="001712E1" w:rsidTr="00E740F5">
        <w:tc>
          <w:tcPr>
            <w:tcW w:w="704" w:type="dxa"/>
            <w:shd w:val="clear" w:color="auto" w:fill="auto"/>
          </w:tcPr>
          <w:p w:rsidR="00E740F5" w:rsidRPr="001712E1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1712E1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namespace="http://nssmc.gov.ua/xmlns/dovidnik-pic"/&gt;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name="TypeText"&gt;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value="[&amp;#x20;-&amp;#x7E;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&amp;#x0410;&amp;#x0411;&amp;#x0412;&amp;#x0413;&amp;#x0414;&amp;#x0415;&amp;#x0416;&amp;#x0417;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&amp;#x0418;&amp;#x0419;&amp;#x041A;&amp;#x041B;&amp;#x041C;&amp;#x041D;&amp;#x041E;&amp;#x041F;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&amp;#x0420;&amp;#x0421;&amp;#x0422;&amp;#x0423;&amp;#x0424;&amp;#x0425;&amp;#x0426;&amp;#x0427;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&amp;#x0428;&amp;#x0429;&amp;#x042A;&amp;#x042B;&amp;#x042C;&amp;#x042D;&amp;#x042E;&amp;#x042F;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&amp;#x0430;&amp;#x0431;&amp;#x0432;&amp;#x0433;&amp;#x0434;&amp;#x0435;&amp;#x0436;&amp;#x0437;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&amp;#x0438;&amp;#x0439;&amp;#x043A;&amp;#x043B;&amp;#x043C;&amp;#x043D;&amp;#x043E;&amp;#x043F;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&amp;#x0440;&amp;#x0441;&amp;#x0442;&amp;#x0443;&amp;#x0444;&amp;#x0445;&amp;#x0446;&amp;#x0447;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&amp;#x0448;&amp;#x0449;&amp;#x044A;&amp;#x044B;&amp;#x044C;&amp;#x044D;&amp;#x044E;&amp;#x044F;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&amp;#x0402;&amp;#x0403;&amp;#x201A;&amp;#x0453;&amp;#x201E;&amp;#x2026;&amp;#x2020;&amp;#x2021;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&amp;#x20AC;&amp;#x2030;&amp;#x0409;&amp;#x2039;&amp;#x040A;&amp;#x040C;&amp;#x040B;&amp;#x040F;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&amp;#x0452;&amp;#x2018;&amp;#x2019;&amp;#x201C;&amp;#x201D;&amp;#x2022;&amp;#x2013;&amp;#x2014;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&amp;#x2122;&amp;#x0459;&amp;#x203A;&amp;#x045A;&amp;#x045C;&amp;#x045B;&amp;#x045F;&amp;#x00A0;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&amp;#x040E;&amp;#x045E;&amp;#x0408;&amp;#x00A4;&amp;#x0490;&amp;#x00A6;&amp;#x00A7;&amp;#x0401;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&amp;#x00A9;&amp;#x0404;&amp;#x00AB;&amp;#x00AC;&amp;#x00AD;&amp;#x00AE;&amp;#x0407;&amp;#x00B0;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&amp;#x00B1;&amp;#x0406;&amp;#x0456;&amp;#x0491;&amp;#x00B5;&amp;#x00B6;&amp;#x00B7;&amp;#x0451;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&amp;#x2116;&amp;#x0454;&amp;#x00BB;&amp;#x0458;&amp;#x0405;&amp;#x0455;&amp;#x0457;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&amp;#x09;&amp;#x0A;&amp;#x0D;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]+"/&gt;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name="URL_Type"&gt;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base="xs:anyURI"&gt;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&lt;xs:minLength value="3"/&gt;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value="255"/&gt;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name="CRC32_Type"&gt;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base="xs:hexBinary"&gt;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&lt;xs:length value="4"/&gt;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AF314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AF314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AF314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name="DocNumber_Type"&gt;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value="50"/&gt;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name="EDRPOU"&gt;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value="12"/&gt;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D8129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name="money"&gt;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D8129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base="xs:decimal"&gt;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D8129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&lt;xs:fractionDigits value="2"/&gt;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D8129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D8129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D1035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D1035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name="Type10"&gt;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D1035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D1035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D1035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D1035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value="10"/&gt;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D1035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D1035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D1035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D1035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&lt;xs:simpleType name="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nominal</w:t>
            </w:r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&lt;xs:restriction base="xs:decimal"&gt;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</w:t>
            </w:r>
            <w:r w:rsidRPr="001A0BD6">
              <w:rPr>
                <w:rFonts w:ascii="Courier New" w:hAnsi="Courier New" w:cs="Courier New"/>
                <w:sz w:val="18"/>
                <w:szCs w:val="18"/>
              </w:rPr>
              <w:t>&lt;xs:minInclusive value="0"/&gt;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&lt;xs:fractionDigits value="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Default="00932AAE" w:rsidP="00932AAE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7C7FB3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7C7FB3" w:rsidRDefault="00932AA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name="Type254"&gt;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value="254"/&gt;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name="dateTimeZero"&gt;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base="xs:dateTime"&gt;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value=".{10}(T00:00:00)?"/&gt;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name="dateCompatible"&gt;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&lt;xs:union memberTypes="xs:date dateTimeZero"/&gt;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7C7FB3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7C7FB3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7C7FB3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name="ISIN_Type"&gt;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value="[A-Z]{2}[0-9A-Z]{9}[0-9]"/&gt;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name="LEI"&gt;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value="[0-9A-Z]{18}[0-9]{2}"/&gt;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4F160F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F160F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CE7DB8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CE7DB8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&lt;xs:attributeGroup name="root-attributes"&gt;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name="D_EDRPOU" type="EDRPOU"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name="D_NAME" type="Type254"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name="REGDATE" type="dateCompatible"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name="REGNUM" type="DocNumber_Type"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name="STD" type="dateCompatible"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name="FID" type="dateCompatible"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name="NREG" type="xs:string"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name="TTYPE" type="xs:string"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&lt;/xs:attributeGroup&gt;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name="extparts-row"&gt;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name="NN" type="xs:positiveInteger"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name="URL" type="URL_Type"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name="FILENAME" type="URL_Type"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name="FILESIZE" type="xs:positiveInteger"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name="CRC32" type="CRC32_Type"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name="OPYS" type="TypeText"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name="extparts-container"&gt;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type="extparts-row"/&gt;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="00AF314F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347287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DATEROZ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347287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xs:date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347287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34728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N_LIC</w:t>
            </w:r>
            <w:r w:rsidR="0034728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347287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47287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type="xs:double"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E_MONEY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money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OBL_V_RR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OBL_Z_RR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ICP_RR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ISER_RR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E_SMASSTS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D81298" w:rsidRDefault="00D82EF8" w:rsidP="00D812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AF314F" w:rsidRP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MIN_SK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type="money</w:t>
            </w:r>
            <w:r w:rsidR="00D8129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D81298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name="PRIM" type="TypeText"/&gt;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="00461016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</w:t>
            </w:r>
            <w:r w:rsidR="00461016" w:rsidRPr="00156491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4" w:name="_Hlk51929370"/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bookmarkEnd w:id="4"/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="00461016" w:rsidRPr="0046101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DTSCP_LIC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347287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34728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DATEROZ</w:t>
            </w:r>
            <w:r w:rsidR="00347287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 w:rsidR="00347287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type="xs:date" use="required"/&gt;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1712E1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1D1035" w:rsidRDefault="00932AAE" w:rsidP="00C8468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ST_TYPE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 type="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dc_syst:Dovidnik_6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932AAE" w:rsidRPr="001712E1" w:rsidTr="00E740F5">
        <w:tc>
          <w:tcPr>
            <w:tcW w:w="704" w:type="dxa"/>
            <w:shd w:val="clear" w:color="auto" w:fill="auto"/>
          </w:tcPr>
          <w:p w:rsidR="00932AAE" w:rsidRPr="001712E1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1712E1" w:rsidRDefault="00932AAE" w:rsidP="001D103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&lt;xs:attribute name="</w:t>
            </w:r>
            <w:r w:rsidRPr="001D103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EMNAME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r>
              <w:rPr>
                <w:rFonts w:ascii="Courier New" w:hAnsi="Courier New" w:cs="Courier New"/>
                <w:sz w:val="18"/>
                <w:szCs w:val="18"/>
              </w:rPr>
              <w:t>type="Type254"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4F160F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EMEDRPOU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4F160F" w:rsidRPr="009D027C">
              <w:rPr>
                <w:rFonts w:ascii="Courier New" w:hAnsi="Courier New" w:cs="Courier New"/>
                <w:sz w:val="18"/>
                <w:szCs w:val="18"/>
              </w:rPr>
              <w:t>EDRPOU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483E11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483E11" w:rsidRDefault="00D82EF8" w:rsidP="00483E1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EM_EDRICI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483E11" w:rsidRP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Type10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483E1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EMSTATE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type="dc_syst:Dovidnik_</w:t>
            </w:r>
            <w:r w:rsidR="00483E11" w:rsidRP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4F160F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</w:t>
            </w:r>
            <w:r w:rsidRPr="004F160F">
              <w:rPr>
                <w:rFonts w:ascii="Courier New" w:hAnsi="Courier New" w:cs="Courier New"/>
                <w:sz w:val="18"/>
                <w:szCs w:val="18"/>
              </w:rPr>
              <w:t>attribute name="</w:t>
            </w:r>
            <w:r w:rsidR="00461016" w:rsidRPr="004F160F">
              <w:rPr>
                <w:rFonts w:ascii="Courier New" w:hAnsi="Courier New" w:cs="Courier New"/>
                <w:sz w:val="18"/>
                <w:szCs w:val="18"/>
              </w:rPr>
              <w:t>EMLEI</w:t>
            </w:r>
            <w:r w:rsidR="004F160F">
              <w:rPr>
                <w:rFonts w:ascii="Courier New" w:hAnsi="Courier New" w:cs="Courier New"/>
                <w:sz w:val="18"/>
                <w:szCs w:val="18"/>
              </w:rPr>
              <w:t>" type="LEI</w:t>
            </w:r>
            <w:r w:rsidRPr="004F160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4F160F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ISIN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4F160F" w:rsidRP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ISIN_Type</w:t>
            </w:r>
            <w:r w:rsidR="004F160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AE3DE2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AE3DE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ALLKP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AE3DE2" w:rsidRP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xs:nonNegativeInteger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AE3DE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CPNOM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AE3DE2" w:rsidRP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nominal</w:t>
            </w:r>
            <w:r w:rsid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="00AE3DE2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C8468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CPCURR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bookmarkStart w:id="5" w:name="_GoBack"/>
            <w:bookmarkEnd w:id="5"/>
            <w:r w:rsidR="00483E1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dc_syst:Dovidnik_46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AE3DE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CPVALUE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AE3DE2"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money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CE7DB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</w:t>
            </w:r>
            <w:r w:rsidR="00461016" w:rsidRPr="00CE7DB8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PEBALAKF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type="</w:t>
            </w:r>
            <w:r w:rsidR="00CE7DB8">
              <w:rPr>
                <w:rFonts w:ascii="Courier New" w:hAnsi="Courier New" w:cs="Courier New"/>
                <w:sz w:val="18"/>
                <w:szCs w:val="18"/>
              </w:rPr>
              <w:t>xs:double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name="PRIM" type="TypeText"/&gt;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6" w:name="_Hlk51928781"/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bookmarkEnd w:id="6"/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="00461016" w:rsidRPr="0046101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DTSCP_LIC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</w:t>
            </w:r>
            <w:r w:rsidR="00461016" w:rsidRPr="0046101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DTSCP_LIC</w:t>
            </w: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-row"/&gt;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7" w:name="_Hlk51929427"/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bookmarkEnd w:id="7"/>
      <w:tr w:rsidR="00D82EF8" w:rsidRPr="001712E1" w:rsidTr="00E740F5">
        <w:tc>
          <w:tcPr>
            <w:tcW w:w="704" w:type="dxa"/>
            <w:shd w:val="clear" w:color="auto" w:fill="auto"/>
          </w:tcPr>
          <w:p w:rsidR="00D82EF8" w:rsidRPr="001712E1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1712E1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712E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E740F5" w:rsidRDefault="00E740F5" w:rsidP="00932AAE">
      <w:pPr>
        <w:pStyle w:val="3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932AAE">
        <w:rPr>
          <w:color w:val="000000" w:themeColor="text1"/>
          <w:sz w:val="24"/>
          <w:szCs w:val="24"/>
        </w:rPr>
        <w:t xml:space="preserve">Додаток 4. Схема </w:t>
      </w:r>
      <w:r w:rsidRPr="00932AAE">
        <w:rPr>
          <w:color w:val="000000" w:themeColor="text1"/>
          <w:sz w:val="24"/>
          <w:szCs w:val="24"/>
          <w:lang w:val="en-US"/>
        </w:rPr>
        <w:t>XSD</w:t>
      </w:r>
      <w:r w:rsidR="00932AAE" w:rsidRPr="00932AAE">
        <w:rPr>
          <w:color w:val="000000" w:themeColor="text1"/>
          <w:sz w:val="24"/>
          <w:szCs w:val="24"/>
        </w:rPr>
        <w:t xml:space="preserve"> </w:t>
      </w:r>
      <w:r w:rsidRPr="00932AAE">
        <w:rPr>
          <w:color w:val="000000" w:themeColor="text1"/>
          <w:sz w:val="24"/>
          <w:szCs w:val="24"/>
        </w:rPr>
        <w:t>«</w:t>
      </w:r>
      <w:r w:rsidR="00932AAE" w:rsidRPr="00932AAE">
        <w:rPr>
          <w:color w:val="000000" w:themeColor="text1"/>
          <w:sz w:val="24"/>
          <w:szCs w:val="24"/>
          <w:lang w:val="en-US"/>
        </w:rPr>
        <w:t>dovidnik</w:t>
      </w:r>
      <w:r w:rsidR="00932AAE" w:rsidRPr="00932AAE">
        <w:rPr>
          <w:color w:val="000000" w:themeColor="text1"/>
          <w:sz w:val="24"/>
          <w:szCs w:val="24"/>
        </w:rPr>
        <w:t>-pic.xsd</w:t>
      </w:r>
      <w:r w:rsidRPr="00932AAE">
        <w:rPr>
          <w:color w:val="000000" w:themeColor="text1"/>
          <w:sz w:val="24"/>
          <w:szCs w:val="24"/>
        </w:rPr>
        <w:t xml:space="preserve">» </w:t>
      </w:r>
      <w:r w:rsidR="00932AAE" w:rsidRPr="00932AAE">
        <w:rPr>
          <w:color w:val="000000" w:themeColor="text1"/>
          <w:sz w:val="24"/>
          <w:szCs w:val="24"/>
        </w:rPr>
        <w:t>Системи довідників та класифікаторів</w:t>
      </w:r>
      <w:r w:rsidR="00932AAE">
        <w:rPr>
          <w:color w:val="000000" w:themeColor="text1"/>
          <w:sz w:val="24"/>
          <w:szCs w:val="24"/>
        </w:rPr>
        <w:t>,</w:t>
      </w:r>
      <w:r w:rsidR="00932AAE" w:rsidRPr="00932AAE">
        <w:rPr>
          <w:color w:val="000000" w:themeColor="text1"/>
          <w:sz w:val="24"/>
          <w:szCs w:val="24"/>
        </w:rPr>
        <w:t xml:space="preserve"> які можуть включатися до даних</w:t>
      </w:r>
      <w:r w:rsidR="00932AAE">
        <w:rPr>
          <w:color w:val="000000" w:themeColor="text1"/>
          <w:sz w:val="24"/>
          <w:szCs w:val="24"/>
        </w:rPr>
        <w:t>.</w:t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703"/>
        <w:gridCol w:w="9049"/>
      </w:tblGrid>
      <w:tr w:rsidR="00FA4598" w:rsidRPr="00426841" w:rsidTr="00CF61CC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8" w:rsidRPr="001712E1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№</w:t>
            </w:r>
          </w:p>
          <w:p w:rsidR="00FA4598" w:rsidRPr="001712E1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8" w:rsidRPr="001712E1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1712E1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FA4598" w:rsidRPr="00426841" w:rsidTr="00FA459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598" w:rsidRPr="00426841" w:rsidRDefault="00FA4598" w:rsidP="00FA4598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598" w:rsidRPr="00426841" w:rsidRDefault="00FA4598" w:rsidP="00FA45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targetNamespace="http://nssmc.gov.ua/xmlns/dovidnik-pic"&gt;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&lt;!--6. Довідник «Класифікація фінансових та нефінансових інструментів за підгрупами»--&gt;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name="Dovidnik_6"&gt;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value="0211"/&gt;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value="0221"/&gt;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value="0271"/&gt;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value="0611"/&gt;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value="0621"/&gt;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value="0711"/&gt;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value="0851"/&gt;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&lt;!--45. Довідник «Класифікація країн світу»--&gt;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name="Dovidnik_45"&gt;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186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256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326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value="818"/&gt;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value="894"/&gt;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&lt;!--46.Довідник «Перелік та коди валют»--&gt;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name="Dovidnik_46"&gt;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396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466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value="818"/&gt;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value="826"/&gt;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value="894"/&gt;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value="901"/&gt;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536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value="972"/&gt;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value="973"/&gt;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value="978"/&gt;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value="981"/&gt;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value="985"/&gt;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value="986"/&gt;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value="990"/&gt;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value="994"/&gt;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value="997"/&gt;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value="999"/&gt;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426841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6D548B" w:rsidRPr="00426841" w:rsidTr="006D548B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8B" w:rsidRPr="00426841" w:rsidRDefault="006D548B" w:rsidP="006D548B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8B" w:rsidRPr="00426841" w:rsidRDefault="006D548B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548B" w:rsidRDefault="00426841" w:rsidP="006D548B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426841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</w:t>
            </w:r>
            <w:r w:rsidR="006D548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548B" w:rsidRDefault="006D548B" w:rsidP="006D548B">
            <w:pPr>
              <w:spacing w:after="0"/>
              <w:rPr>
                <w:rFonts w:ascii="Courier New" w:hAnsi="Courier New" w:cs="Courier New"/>
                <w:color w:val="A9B7C6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D548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426841" w:rsidRDefault="00426841" w:rsidP="00426841"/>
    <w:p w:rsidR="00EC205D" w:rsidRDefault="00EC205D" w:rsidP="00426841"/>
    <w:sectPr w:rsidR="00EC205D" w:rsidSect="00A81EB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72BE73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86F04996"/>
    <w:name w:val="WW8Num19"/>
    <w:lvl w:ilvl="0">
      <w:start w:val="1"/>
      <w:numFmt w:val="decimal"/>
      <w:lvlText w:val="Додаток %1."/>
      <w:lvlJc w:val="left"/>
      <w:pPr>
        <w:tabs>
          <w:tab w:val="num" w:pos="4601"/>
        </w:tabs>
        <w:ind w:left="5321" w:hanging="360"/>
      </w:pPr>
      <w:rPr>
        <w:sz w:val="28"/>
        <w:szCs w:val="28"/>
      </w:rPr>
    </w:lvl>
  </w:abstractNum>
  <w:abstractNum w:abstractNumId="2" w15:restartNumberingAfterBreak="0">
    <w:nsid w:val="0000001A"/>
    <w:multiLevelType w:val="singleLevel"/>
    <w:tmpl w:val="57EC847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singleLevel"/>
    <w:tmpl w:val="00000026"/>
    <w:name w:val="WW8Num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32"/>
    <w:multiLevelType w:val="multilevel"/>
    <w:tmpl w:val="00000032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2978"/>
        </w:tabs>
        <w:ind w:left="2978" w:hanging="851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A7861E6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6E18"/>
    <w:multiLevelType w:val="multilevel"/>
    <w:tmpl w:val="FFFFFFFF"/>
    <w:lvl w:ilvl="0">
      <w:start w:val="1"/>
      <w:numFmt w:val="decimal"/>
      <w:lvlText w:val="%1."/>
      <w:lvlJc w:val="left"/>
      <w:pPr>
        <w:ind w:left="4320" w:firstLine="8280"/>
      </w:pPr>
      <w:rPr>
        <w:rFonts w:ascii="Times New Roman" w:eastAsia="Times New Roman" w:hAnsi="Times New Roman" w:cs="Times New Roman"/>
        <w:b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7163751"/>
    <w:multiLevelType w:val="hybridMultilevel"/>
    <w:tmpl w:val="FBD85498"/>
    <w:lvl w:ilvl="0" w:tplc="C694AA66">
      <w:start w:val="1"/>
      <w:numFmt w:val="decimal"/>
      <w:pStyle w:val="a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8F867D6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96245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B5C6F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F05CA8"/>
    <w:multiLevelType w:val="singleLevel"/>
    <w:tmpl w:val="72B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" w15:restartNumberingAfterBreak="0">
    <w:nsid w:val="77C45FAF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82"/>
    <w:rsid w:val="00071EC2"/>
    <w:rsid w:val="00097E2E"/>
    <w:rsid w:val="0011467D"/>
    <w:rsid w:val="00156491"/>
    <w:rsid w:val="00181FB7"/>
    <w:rsid w:val="001D1035"/>
    <w:rsid w:val="002047EA"/>
    <w:rsid w:val="002B2676"/>
    <w:rsid w:val="00347287"/>
    <w:rsid w:val="003C76AE"/>
    <w:rsid w:val="00414AB5"/>
    <w:rsid w:val="00426841"/>
    <w:rsid w:val="00461016"/>
    <w:rsid w:val="00483E11"/>
    <w:rsid w:val="00490575"/>
    <w:rsid w:val="004F160F"/>
    <w:rsid w:val="005215A6"/>
    <w:rsid w:val="005924BA"/>
    <w:rsid w:val="005B78D0"/>
    <w:rsid w:val="006D548B"/>
    <w:rsid w:val="007610B4"/>
    <w:rsid w:val="007C7FB3"/>
    <w:rsid w:val="00846182"/>
    <w:rsid w:val="00870708"/>
    <w:rsid w:val="008A7FF1"/>
    <w:rsid w:val="00900F1D"/>
    <w:rsid w:val="00932AAE"/>
    <w:rsid w:val="009537C8"/>
    <w:rsid w:val="00A3481A"/>
    <w:rsid w:val="00A50573"/>
    <w:rsid w:val="00A568B1"/>
    <w:rsid w:val="00A81EBB"/>
    <w:rsid w:val="00AA748E"/>
    <w:rsid w:val="00AD68AF"/>
    <w:rsid w:val="00AE3DE2"/>
    <w:rsid w:val="00AF314F"/>
    <w:rsid w:val="00B6136D"/>
    <w:rsid w:val="00B840A6"/>
    <w:rsid w:val="00B96990"/>
    <w:rsid w:val="00BE14EE"/>
    <w:rsid w:val="00BE79B0"/>
    <w:rsid w:val="00BF647C"/>
    <w:rsid w:val="00C32802"/>
    <w:rsid w:val="00C3318E"/>
    <w:rsid w:val="00C84682"/>
    <w:rsid w:val="00CE7DB8"/>
    <w:rsid w:val="00CF61CC"/>
    <w:rsid w:val="00CF6498"/>
    <w:rsid w:val="00D6710B"/>
    <w:rsid w:val="00D81298"/>
    <w:rsid w:val="00D82EF8"/>
    <w:rsid w:val="00D836CE"/>
    <w:rsid w:val="00DD29FC"/>
    <w:rsid w:val="00E549C8"/>
    <w:rsid w:val="00E740F5"/>
    <w:rsid w:val="00EC205D"/>
    <w:rsid w:val="00EC4511"/>
    <w:rsid w:val="00FA4598"/>
    <w:rsid w:val="00FB0AD3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1AD6-2762-423F-A934-A8DFA28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6182"/>
    <w:pPr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846182"/>
    <w:pPr>
      <w:keepNext/>
      <w:keepLines/>
      <w:numPr>
        <w:numId w:val="1"/>
      </w:numPr>
      <w:spacing w:before="240"/>
      <w:jc w:val="left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0"/>
    <w:next w:val="a0"/>
    <w:link w:val="20"/>
    <w:qFormat/>
    <w:rsid w:val="00846182"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846182"/>
    <w:pPr>
      <w:keepNext/>
      <w:keepLines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846182"/>
    <w:pPr>
      <w:keepNext/>
      <w:keepLines/>
      <w:numPr>
        <w:ilvl w:val="3"/>
        <w:numId w:val="1"/>
      </w:numPr>
      <w:spacing w:before="240" w:after="1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846182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qFormat/>
    <w:rsid w:val="0084618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8461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84618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84618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6182"/>
    <w:rPr>
      <w:rFonts w:ascii="Times New Roman" w:eastAsia="Times New Roman" w:hAnsi="Times New Roman" w:cs="Times New Roman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846182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84618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84618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46182"/>
    <w:rPr>
      <w:rFonts w:ascii="Cambria" w:eastAsia="Times New Roman" w:hAnsi="Cambria" w:cs="Cambria"/>
      <w:color w:val="243F60"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846182"/>
    <w:rPr>
      <w:rFonts w:ascii="Cambria" w:eastAsia="Times New Roman" w:hAnsi="Cambria" w:cs="Cambria"/>
      <w:i/>
      <w:iCs/>
      <w:color w:val="243F60"/>
      <w:sz w:val="24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846182"/>
    <w:rPr>
      <w:rFonts w:ascii="Cambria" w:eastAsia="Times New Roman" w:hAnsi="Cambria" w:cs="Cambria"/>
      <w:i/>
      <w:iCs/>
      <w:color w:val="404040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846182"/>
    <w:rPr>
      <w:rFonts w:ascii="Cambria" w:eastAsia="Times New Roman" w:hAnsi="Cambria" w:cs="Cambria"/>
      <w:color w:val="404040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846182"/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character" w:customStyle="1" w:styleId="rvts82">
    <w:name w:val="rvts82"/>
    <w:basedOn w:val="a1"/>
    <w:rsid w:val="00846182"/>
  </w:style>
  <w:style w:type="paragraph" w:styleId="a4">
    <w:name w:val="List Paragraph"/>
    <w:basedOn w:val="a0"/>
    <w:uiPriority w:val="34"/>
    <w:qFormat/>
    <w:rsid w:val="00846182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B96990"/>
    <w:rPr>
      <w:rFonts w:cs="Times New Roman"/>
      <w:color w:val="0000FF"/>
      <w:u w:val="single"/>
    </w:rPr>
  </w:style>
  <w:style w:type="character" w:customStyle="1" w:styleId="11">
    <w:name w:val="Слабке посилання1"/>
    <w:rsid w:val="00B96990"/>
    <w:rPr>
      <w:rFonts w:cs="Times New Roman"/>
      <w:color w:val="002060"/>
      <w:u w:val="none"/>
      <w:lang w:val="uk-UA"/>
    </w:rPr>
  </w:style>
  <w:style w:type="paragraph" w:customStyle="1" w:styleId="Heading">
    <w:name w:val="Heading"/>
    <w:basedOn w:val="a0"/>
    <w:next w:val="a6"/>
    <w:rsid w:val="00B9699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6">
    <w:name w:val="Body Text"/>
    <w:basedOn w:val="a0"/>
    <w:link w:val="a7"/>
    <w:uiPriority w:val="99"/>
    <w:semiHidden/>
    <w:unhideWhenUsed/>
    <w:rsid w:val="00B96990"/>
    <w:pPr>
      <w:spacing w:after="120"/>
    </w:pPr>
  </w:style>
  <w:style w:type="character" w:customStyle="1" w:styleId="a7">
    <w:name w:val="Основний текст Знак"/>
    <w:basedOn w:val="a1"/>
    <w:link w:val="a6"/>
    <w:uiPriority w:val="99"/>
    <w:semiHidden/>
    <w:rsid w:val="00B969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j">
    <w:name w:val="tj"/>
    <w:basedOn w:val="a0"/>
    <w:rsid w:val="00E549C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character" w:customStyle="1" w:styleId="fs2">
    <w:name w:val="fs2"/>
    <w:basedOn w:val="a1"/>
    <w:rsid w:val="00E549C8"/>
  </w:style>
  <w:style w:type="paragraph" w:customStyle="1" w:styleId="12">
    <w:name w:val="Звичайний1"/>
    <w:rsid w:val="00BE79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">
    <w:name w:val="Додаток"/>
    <w:basedOn w:val="1"/>
    <w:link w:val="a8"/>
    <w:qFormat/>
    <w:rsid w:val="00C3318E"/>
    <w:pPr>
      <w:numPr>
        <w:numId w:val="9"/>
      </w:numPr>
      <w:tabs>
        <w:tab w:val="left" w:pos="1843"/>
      </w:tabs>
      <w:suppressAutoHyphens w:val="0"/>
    </w:pPr>
    <w:rPr>
      <w:kern w:val="36"/>
      <w:lang w:eastAsia="uk-UA"/>
    </w:rPr>
  </w:style>
  <w:style w:type="character" w:customStyle="1" w:styleId="a8">
    <w:name w:val="Додаток Знак"/>
    <w:link w:val="a"/>
    <w:rsid w:val="00C3318E"/>
    <w:rPr>
      <w:rFonts w:ascii="Times New Roman" w:eastAsia="Times New Roman" w:hAnsi="Times New Roman" w:cs="Times New Roman"/>
      <w:b/>
      <w:bCs/>
      <w:kern w:val="36"/>
      <w:sz w:val="36"/>
      <w:szCs w:val="36"/>
      <w:lang w:eastAsia="uk-UA"/>
    </w:rPr>
  </w:style>
  <w:style w:type="paragraph" w:customStyle="1" w:styleId="a9">
    <w:name w:val="Знак Знак"/>
    <w:basedOn w:val="a0"/>
    <w:rsid w:val="00D82EF8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0"/>
    <w:link w:val="ab"/>
    <w:uiPriority w:val="99"/>
    <w:unhideWhenUsed/>
    <w:rsid w:val="00D82EF8"/>
    <w:pPr>
      <w:tabs>
        <w:tab w:val="center" w:pos="4819"/>
        <w:tab w:val="right" w:pos="9639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1"/>
    <w:link w:val="aa"/>
    <w:uiPriority w:val="99"/>
    <w:rsid w:val="00D82EF8"/>
  </w:style>
  <w:style w:type="paragraph" w:styleId="ac">
    <w:name w:val="footer"/>
    <w:basedOn w:val="a0"/>
    <w:link w:val="ad"/>
    <w:uiPriority w:val="99"/>
    <w:unhideWhenUsed/>
    <w:rsid w:val="00D82EF8"/>
    <w:pPr>
      <w:tabs>
        <w:tab w:val="center" w:pos="4819"/>
        <w:tab w:val="right" w:pos="9639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ій колонтитул Знак"/>
    <w:basedOn w:val="a1"/>
    <w:link w:val="ac"/>
    <w:uiPriority w:val="99"/>
    <w:rsid w:val="00D82EF8"/>
  </w:style>
  <w:style w:type="character" w:customStyle="1" w:styleId="HTML1">
    <w:name w:val="Друкарська машинка HTML1"/>
    <w:rsid w:val="00D82EF8"/>
    <w:rPr>
      <w:sz w:val="20"/>
    </w:rPr>
  </w:style>
  <w:style w:type="paragraph" w:styleId="ae">
    <w:name w:val="Normal (Web)"/>
    <w:basedOn w:val="a0"/>
    <w:rsid w:val="00D82EF8"/>
    <w:pPr>
      <w:suppressAutoHyphens w:val="0"/>
      <w:spacing w:before="100" w:beforeAutospacing="1" w:after="100" w:afterAutospacing="1"/>
    </w:pPr>
    <w:rPr>
      <w:sz w:val="22"/>
      <w:lang w:eastAsia="uk-UA"/>
    </w:rPr>
  </w:style>
  <w:style w:type="character" w:customStyle="1" w:styleId="HTML2">
    <w:name w:val="Друкарська машинка HTML2"/>
    <w:rsid w:val="00D82EF8"/>
    <w:rPr>
      <w:sz w:val="20"/>
    </w:rPr>
  </w:style>
  <w:style w:type="character" w:customStyle="1" w:styleId="af">
    <w:name w:val="Текст у виносці Знак"/>
    <w:basedOn w:val="a1"/>
    <w:link w:val="af0"/>
    <w:uiPriority w:val="99"/>
    <w:semiHidden/>
    <w:rsid w:val="00D82EF8"/>
    <w:rPr>
      <w:rFonts w:ascii="Segoe UI" w:hAnsi="Segoe UI" w:cs="Segoe UI"/>
      <w:sz w:val="18"/>
      <w:szCs w:val="18"/>
    </w:rPr>
  </w:style>
  <w:style w:type="paragraph" w:styleId="af0">
    <w:name w:val="Balloon Text"/>
    <w:basedOn w:val="a0"/>
    <w:link w:val="af"/>
    <w:uiPriority w:val="99"/>
    <w:semiHidden/>
    <w:unhideWhenUsed/>
    <w:rsid w:val="00D82EF8"/>
    <w:pPr>
      <w:suppressAutoHyphens w:val="0"/>
      <w:spacing w:after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TML">
    <w:name w:val="Стандартний HTML Знак"/>
    <w:basedOn w:val="a1"/>
    <w:link w:val="HTML0"/>
    <w:uiPriority w:val="99"/>
    <w:rsid w:val="00D82EF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0"/>
    <w:link w:val="HTML"/>
    <w:uiPriority w:val="99"/>
    <w:unhideWhenUsed/>
    <w:rsid w:val="00D8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f1">
    <w:name w:val="Текст примітки Знак"/>
    <w:basedOn w:val="a1"/>
    <w:link w:val="af2"/>
    <w:uiPriority w:val="99"/>
    <w:rsid w:val="00D82EF8"/>
    <w:rPr>
      <w:rFonts w:ascii="Times New Roman" w:hAnsi="Times New Roman" w:cs="Times New Roman"/>
      <w:sz w:val="20"/>
      <w:szCs w:val="20"/>
    </w:rPr>
  </w:style>
  <w:style w:type="paragraph" w:styleId="af2">
    <w:name w:val="annotation text"/>
    <w:basedOn w:val="a0"/>
    <w:link w:val="af1"/>
    <w:uiPriority w:val="99"/>
    <w:unhideWhenUsed/>
    <w:rsid w:val="00D82EF8"/>
    <w:pPr>
      <w:suppressAutoHyphens w:val="0"/>
      <w:spacing w:after="0"/>
      <w:jc w:val="left"/>
    </w:pPr>
    <w:rPr>
      <w:rFonts w:eastAsiaTheme="minorHAnsi"/>
      <w:sz w:val="20"/>
      <w:szCs w:val="20"/>
      <w:lang w:eastAsia="en-US"/>
    </w:rPr>
  </w:style>
  <w:style w:type="character" w:customStyle="1" w:styleId="13">
    <w:name w:val="Текст примітки Знак1"/>
    <w:basedOn w:val="a1"/>
    <w:uiPriority w:val="99"/>
    <w:semiHidden/>
    <w:rsid w:val="00D82E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3">
    <w:name w:val="footnote reference"/>
    <w:uiPriority w:val="99"/>
    <w:unhideWhenUsed/>
    <w:rsid w:val="00D82EF8"/>
    <w:rPr>
      <w:vertAlign w:val="superscript"/>
    </w:rPr>
  </w:style>
  <w:style w:type="character" w:customStyle="1" w:styleId="rvts37">
    <w:name w:val="rvts37"/>
    <w:basedOn w:val="a1"/>
    <w:rsid w:val="00D82EF8"/>
  </w:style>
  <w:style w:type="paragraph" w:customStyle="1" w:styleId="rvps14">
    <w:name w:val="rvps14"/>
    <w:basedOn w:val="a0"/>
    <w:rsid w:val="00D82EF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paragraph" w:customStyle="1" w:styleId="rvps2">
    <w:name w:val="rvps2"/>
    <w:basedOn w:val="a0"/>
    <w:rsid w:val="00D82EF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character" w:styleId="af4">
    <w:name w:val="Emphasis"/>
    <w:basedOn w:val="a1"/>
    <w:uiPriority w:val="20"/>
    <w:qFormat/>
    <w:rsid w:val="00D82EF8"/>
    <w:rPr>
      <w:i/>
      <w:iCs/>
    </w:rPr>
  </w:style>
  <w:style w:type="character" w:styleId="af5">
    <w:name w:val="FollowedHyperlink"/>
    <w:basedOn w:val="a1"/>
    <w:uiPriority w:val="99"/>
    <w:semiHidden/>
    <w:unhideWhenUsed/>
    <w:rsid w:val="00426841"/>
    <w:rPr>
      <w:color w:val="954F72"/>
      <w:u w:val="single"/>
    </w:rPr>
  </w:style>
  <w:style w:type="paragraph" w:customStyle="1" w:styleId="msonormal0">
    <w:name w:val="msonormal"/>
    <w:basedOn w:val="a0"/>
    <w:rsid w:val="00426841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paragraph" w:customStyle="1" w:styleId="xl65">
    <w:name w:val="xl65"/>
    <w:basedOn w:val="a0"/>
    <w:rsid w:val="00426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  <w:lang w:eastAsia="uk-UA"/>
    </w:rPr>
  </w:style>
  <w:style w:type="paragraph" w:customStyle="1" w:styleId="xl66">
    <w:name w:val="xl66"/>
    <w:basedOn w:val="a0"/>
    <w:rsid w:val="00426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Courier New" w:hAnsi="Courier New" w:cs="Courier New"/>
      <w:sz w:val="18"/>
      <w:szCs w:val="18"/>
      <w:lang w:eastAsia="uk-UA"/>
    </w:rPr>
  </w:style>
  <w:style w:type="paragraph" w:customStyle="1" w:styleId="xl67">
    <w:name w:val="xl67"/>
    <w:basedOn w:val="a0"/>
    <w:rsid w:val="00426841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68">
    <w:name w:val="xl68"/>
    <w:basedOn w:val="a0"/>
    <w:rsid w:val="00426841"/>
    <w:pPr>
      <w:suppressAutoHyphens w:val="0"/>
      <w:spacing w:before="100" w:beforeAutospacing="1" w:after="100" w:afterAutospacing="1"/>
      <w:jc w:val="lef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3.org/2001/XMLSchema-ins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/TR/1998/REC-xml-199802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18</Pages>
  <Words>31514</Words>
  <Characters>17964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2022-11-17T13:56:00Z</cp:lastPrinted>
  <dcterms:created xsi:type="dcterms:W3CDTF">2022-11-17T09:40:00Z</dcterms:created>
  <dcterms:modified xsi:type="dcterms:W3CDTF">2022-12-30T10:31:00Z</dcterms:modified>
</cp:coreProperties>
</file>