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0E" w:rsidRPr="00364AF7" w:rsidRDefault="00FD190E" w:rsidP="00364AF7">
      <w:pPr>
        <w:widowControl w:val="0"/>
        <w:ind w:left="4820"/>
        <w:jc w:val="right"/>
        <w:rPr>
          <w:lang w:val="ru-RU"/>
        </w:rPr>
      </w:pPr>
      <w:r w:rsidRPr="00364AF7">
        <w:t xml:space="preserve">Додаток </w:t>
      </w:r>
      <w:r w:rsidRPr="00364AF7">
        <w:rPr>
          <w:lang w:val="ru-RU"/>
        </w:rPr>
        <w:t>6</w:t>
      </w:r>
    </w:p>
    <w:p w:rsidR="00FD190E" w:rsidRPr="00364AF7" w:rsidRDefault="00FD190E" w:rsidP="00364AF7">
      <w:pPr>
        <w:widowControl w:val="0"/>
        <w:ind w:left="4820"/>
        <w:jc w:val="both"/>
      </w:pPr>
      <w:r w:rsidRPr="00364AF7">
        <w:t>до розпорядження Голови Національної комісії з цінних паперів та фондового ринку</w:t>
      </w:r>
    </w:p>
    <w:p w:rsidR="00AE15B1" w:rsidRPr="00532144" w:rsidRDefault="003A197C" w:rsidP="00364AF7">
      <w:pPr>
        <w:ind w:left="4820"/>
        <w:jc w:val="both"/>
        <w:rPr>
          <w:b/>
          <w:sz w:val="28"/>
          <w:szCs w:val="28"/>
        </w:rPr>
      </w:pPr>
      <w:r>
        <w:t>від 25.03.2025 № 22/20/1911/С04</w:t>
      </w:r>
    </w:p>
    <w:p w:rsidR="00AE15B1" w:rsidRPr="00132AB2" w:rsidRDefault="00AE15B1" w:rsidP="00AE15B1">
      <w:pPr>
        <w:jc w:val="both"/>
        <w:rPr>
          <w:b/>
          <w:sz w:val="28"/>
          <w:szCs w:val="28"/>
        </w:rPr>
      </w:pPr>
    </w:p>
    <w:p w:rsidR="007D3836" w:rsidRPr="00813503" w:rsidRDefault="007D3836" w:rsidP="007D3836">
      <w:pPr>
        <w:jc w:val="center"/>
        <w:rPr>
          <w:b/>
          <w:sz w:val="28"/>
          <w:szCs w:val="28"/>
        </w:rPr>
      </w:pPr>
      <w:r w:rsidRPr="00813503">
        <w:rPr>
          <w:b/>
          <w:sz w:val="28"/>
          <w:szCs w:val="28"/>
        </w:rPr>
        <w:t>ІНФОРМАЦІЙНА КАРТКА</w:t>
      </w:r>
    </w:p>
    <w:p w:rsidR="007D3836" w:rsidRDefault="007D3836" w:rsidP="007D3836">
      <w:pPr>
        <w:jc w:val="center"/>
        <w:rPr>
          <w:b/>
          <w:sz w:val="28"/>
          <w:szCs w:val="28"/>
        </w:rPr>
      </w:pPr>
      <w:r w:rsidRPr="00813503">
        <w:rPr>
          <w:b/>
          <w:sz w:val="28"/>
          <w:szCs w:val="28"/>
        </w:rPr>
        <w:t>адміністративної послуги</w:t>
      </w:r>
    </w:p>
    <w:p w:rsidR="007D3836" w:rsidRPr="00813503" w:rsidRDefault="007D3836" w:rsidP="007D3836">
      <w:pPr>
        <w:jc w:val="center"/>
        <w:rPr>
          <w:b/>
          <w:sz w:val="28"/>
          <w:szCs w:val="28"/>
        </w:rPr>
      </w:pPr>
    </w:p>
    <w:p w:rsidR="00E75851" w:rsidRPr="007A7424" w:rsidRDefault="00663BA2" w:rsidP="007D3836">
      <w:pPr>
        <w:jc w:val="center"/>
        <w:rPr>
          <w:b/>
          <w:sz w:val="28"/>
          <w:szCs w:val="28"/>
        </w:rPr>
      </w:pPr>
      <w:r w:rsidRPr="007A7424">
        <w:rPr>
          <w:b/>
          <w:sz w:val="28"/>
          <w:szCs w:val="28"/>
        </w:rPr>
        <w:t>«</w:t>
      </w:r>
      <w:r w:rsidR="00132AB2" w:rsidRPr="00132AB2">
        <w:rPr>
          <w:b/>
          <w:color w:val="000000"/>
          <w:sz w:val="28"/>
          <w:szCs w:val="28"/>
        </w:rPr>
        <w:t>Заміна свідоцтва про реєстрацію об’єднання професійних учасників ринків капіталу (за видами професійної діяльності – діяльність з управління активами, діяльність з управління майном для фінансування об’єктів будівництва та/або здійснення операцій з нерухомістю, діяльність з адміністрування недержавних пенсійних фондів)</w:t>
      </w:r>
      <w:r w:rsidR="007A7424" w:rsidRPr="007A7424">
        <w:rPr>
          <w:b/>
          <w:sz w:val="28"/>
          <w:szCs w:val="28"/>
        </w:rPr>
        <w:t>»</w:t>
      </w:r>
    </w:p>
    <w:p w:rsidR="008E62B7" w:rsidRPr="007A7424" w:rsidRDefault="008E62B7" w:rsidP="0036708C">
      <w:pPr>
        <w:jc w:val="both"/>
        <w:rPr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170"/>
        <w:gridCol w:w="6718"/>
      </w:tblGrid>
      <w:tr w:rsidR="004A569F" w:rsidRPr="00523932" w:rsidTr="00B44579">
        <w:trPr>
          <w:trHeight w:val="4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9F" w:rsidRPr="00523932" w:rsidRDefault="004A569F" w:rsidP="004A569F">
            <w:pPr>
              <w:jc w:val="center"/>
            </w:pPr>
            <w:r w:rsidRPr="00523932">
              <w:rPr>
                <w:b/>
              </w:rPr>
              <w:t>Інформація про суб’єкта надання адміністративної послуги</w:t>
            </w:r>
          </w:p>
        </w:tc>
      </w:tr>
      <w:tr w:rsidR="004A569F" w:rsidRPr="00523932" w:rsidTr="00B44579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9F" w:rsidRPr="00523932" w:rsidRDefault="004A569F" w:rsidP="002A3218">
            <w:pPr>
              <w:jc w:val="both"/>
            </w:pPr>
            <w:r w:rsidRPr="00523932">
              <w:t>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9F" w:rsidRPr="00523932" w:rsidRDefault="004A569F" w:rsidP="002A3218">
            <w:pPr>
              <w:jc w:val="both"/>
            </w:pPr>
            <w:r w:rsidRPr="00523932">
              <w:t>Найменування суб’єкта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9F" w:rsidRPr="00523932" w:rsidRDefault="004A569F" w:rsidP="002A3218">
            <w:pPr>
              <w:ind w:left="34"/>
              <w:jc w:val="both"/>
              <w:rPr>
                <w:shd w:val="clear" w:color="auto" w:fill="FFFFFF"/>
                <w:lang w:eastAsia="ru-RU"/>
              </w:rPr>
            </w:pPr>
            <w:r w:rsidRPr="00523932">
              <w:rPr>
                <w:shd w:val="clear" w:color="auto" w:fill="FFFFFF"/>
                <w:lang w:eastAsia="ru-RU"/>
              </w:rPr>
              <w:t>Національна комісія з цінних паперів та фондового ринку</w:t>
            </w:r>
          </w:p>
        </w:tc>
      </w:tr>
      <w:tr w:rsidR="004A569F" w:rsidRPr="00523932" w:rsidTr="00B44579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9F" w:rsidRPr="00523932" w:rsidRDefault="004A569F" w:rsidP="002A3218">
            <w:pPr>
              <w:jc w:val="both"/>
            </w:pPr>
            <w:r w:rsidRPr="00523932">
              <w:t>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9F" w:rsidRPr="00523932" w:rsidRDefault="004A569F" w:rsidP="002A3218">
            <w:pPr>
              <w:jc w:val="both"/>
            </w:pPr>
            <w:r w:rsidRPr="00523932">
              <w:t>Місцезнаходження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9F" w:rsidRPr="00523932" w:rsidRDefault="004A569F" w:rsidP="002A3218">
            <w:pPr>
              <w:ind w:left="34"/>
              <w:jc w:val="both"/>
              <w:rPr>
                <w:shd w:val="clear" w:color="auto" w:fill="FFFFFF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01010, м"/>
              </w:smartTagPr>
              <w:r w:rsidRPr="00523932">
                <w:t>01010, м</w:t>
              </w:r>
            </w:smartTag>
            <w:r w:rsidRPr="00523932">
              <w:t xml:space="preserve">. Київ, вул. </w:t>
            </w:r>
            <w:r w:rsidR="00F31884">
              <w:t>Князів Острозьких</w:t>
            </w:r>
            <w:r w:rsidRPr="00523932">
              <w:t xml:space="preserve">, 8, </w:t>
            </w:r>
            <w:proofErr w:type="spellStart"/>
            <w:r w:rsidRPr="00523932">
              <w:t>корп</w:t>
            </w:r>
            <w:proofErr w:type="spellEnd"/>
            <w:r w:rsidRPr="00523932">
              <w:t>. 30</w:t>
            </w:r>
          </w:p>
        </w:tc>
      </w:tr>
      <w:tr w:rsidR="004A569F" w:rsidRPr="00523932" w:rsidTr="00B44579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9F" w:rsidRPr="00523932" w:rsidRDefault="004A569F" w:rsidP="002A3218">
            <w:pPr>
              <w:jc w:val="both"/>
            </w:pPr>
            <w:r w:rsidRPr="00523932">
              <w:t>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9F" w:rsidRPr="00523932" w:rsidRDefault="004A569F" w:rsidP="002A3218">
            <w:pPr>
              <w:jc w:val="both"/>
            </w:pPr>
            <w:r w:rsidRPr="00523932">
              <w:t xml:space="preserve">Режим роботи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9F" w:rsidRPr="00523932" w:rsidRDefault="004A569F" w:rsidP="002A3218">
            <w:pPr>
              <w:jc w:val="both"/>
            </w:pPr>
            <w:r w:rsidRPr="00523932">
              <w:t xml:space="preserve">Понеділок – четвер з 9:00 до 18:00; </w:t>
            </w:r>
          </w:p>
          <w:p w:rsidR="004A569F" w:rsidRPr="00523932" w:rsidRDefault="004A569F" w:rsidP="002A3218">
            <w:pPr>
              <w:jc w:val="both"/>
            </w:pPr>
            <w:r w:rsidRPr="00523932">
              <w:t>п’ятниця з 9:00 до 16:45;</w:t>
            </w:r>
          </w:p>
          <w:p w:rsidR="004A569F" w:rsidRPr="00523932" w:rsidRDefault="004A569F" w:rsidP="002A3218">
            <w:pPr>
              <w:jc w:val="both"/>
            </w:pPr>
            <w:r w:rsidRPr="00523932">
              <w:t>обідня перерва з 13:00 до 13:45 </w:t>
            </w:r>
          </w:p>
        </w:tc>
      </w:tr>
      <w:tr w:rsidR="00FD190E" w:rsidRPr="00523932" w:rsidTr="00B44579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0E" w:rsidRPr="00523932" w:rsidRDefault="00FD190E" w:rsidP="00FD190E">
            <w:pPr>
              <w:jc w:val="both"/>
            </w:pPr>
            <w:r w:rsidRPr="00523932">
              <w:t>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0E" w:rsidRPr="00523932" w:rsidRDefault="00FD190E" w:rsidP="00FD190E">
            <w:pPr>
              <w:jc w:val="both"/>
            </w:pPr>
            <w:r w:rsidRPr="00523932">
              <w:t xml:space="preserve">Телефон/факс (довідки), адреса електронної пошти та </w:t>
            </w:r>
            <w:proofErr w:type="spellStart"/>
            <w:r>
              <w:rPr>
                <w:rStyle w:val="spelle"/>
              </w:rPr>
              <w:t>веб</w:t>
            </w:r>
            <w:r w:rsidRPr="00523932">
              <w:rPr>
                <w:rStyle w:val="spelle"/>
              </w:rPr>
              <w:t>сайт</w:t>
            </w:r>
            <w:proofErr w:type="spellEnd"/>
            <w:r w:rsidRPr="00523932">
              <w:t xml:space="preserve">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0E" w:rsidRDefault="00FD190E" w:rsidP="00FD190E">
            <w:pPr>
              <w:contextualSpacing/>
              <w:jc w:val="both"/>
            </w:pPr>
            <w:r>
              <w:t xml:space="preserve">Телефон: (044) </w:t>
            </w:r>
            <w:r w:rsidRPr="005C7FC7">
              <w:t>280-85-95</w:t>
            </w:r>
          </w:p>
          <w:p w:rsidR="00FD190E" w:rsidRDefault="00FD190E" w:rsidP="00FD190E">
            <w:pPr>
              <w:contextualSpacing/>
              <w:jc w:val="both"/>
            </w:pPr>
            <w:proofErr w:type="spellStart"/>
            <w:r>
              <w:t>Вебсайт</w:t>
            </w:r>
            <w:proofErr w:type="spellEnd"/>
            <w:r>
              <w:t xml:space="preserve">: </w:t>
            </w:r>
            <w:hyperlink r:id="rId7" w:history="1">
              <w:r>
                <w:rPr>
                  <w:rStyle w:val="a3"/>
                </w:rPr>
                <w:t>https://www.nssmc.gov.ua/</w:t>
              </w:r>
            </w:hyperlink>
          </w:p>
          <w:p w:rsidR="00FD190E" w:rsidRPr="00523932" w:rsidRDefault="00FD190E" w:rsidP="00FD190E">
            <w:pPr>
              <w:jc w:val="both"/>
            </w:pPr>
            <w:r>
              <w:t xml:space="preserve">Засоби комплексної інформаційної системи (КІС) </w:t>
            </w:r>
            <w:hyperlink r:id="rId8" w:history="1">
              <w:r>
                <w:rPr>
                  <w:rStyle w:val="a3"/>
                </w:rPr>
                <w:t>https://services.nssmc.gov.ua</w:t>
              </w:r>
            </w:hyperlink>
          </w:p>
        </w:tc>
      </w:tr>
      <w:tr w:rsidR="004A569F" w:rsidRPr="00523932" w:rsidTr="00B44579">
        <w:trPr>
          <w:trHeight w:val="4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9F" w:rsidRPr="00523932" w:rsidRDefault="004A569F" w:rsidP="004A569F">
            <w:pPr>
              <w:jc w:val="center"/>
              <w:rPr>
                <w:b/>
              </w:rPr>
            </w:pPr>
            <w:r w:rsidRPr="00523932">
              <w:rPr>
                <w:b/>
                <w:shd w:val="clear" w:color="auto" w:fill="FFFFFF"/>
              </w:rPr>
              <w:t>Нормативні акти, якими регламентується надання адміністративної послуги</w:t>
            </w:r>
          </w:p>
        </w:tc>
      </w:tr>
      <w:tr w:rsidR="004A569F" w:rsidRPr="00523932" w:rsidTr="00B44579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9F" w:rsidRPr="00523932" w:rsidRDefault="004A569F" w:rsidP="002A3218">
            <w:pPr>
              <w:jc w:val="both"/>
            </w:pPr>
            <w:r w:rsidRPr="00523932">
              <w:t>5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9F" w:rsidRPr="00523932" w:rsidRDefault="004A569F" w:rsidP="002A3218">
            <w:pPr>
              <w:jc w:val="both"/>
            </w:pPr>
            <w:r w:rsidRPr="00523932">
              <w:t>Закони України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9F" w:rsidRDefault="009619E2" w:rsidP="002A3218">
            <w:pPr>
              <w:jc w:val="both"/>
            </w:pPr>
            <w:hyperlink r:id="rId9" w:tgtFrame="_blank" w:history="1">
              <w:r w:rsidR="00132AB2" w:rsidRPr="00523932">
                <w:rPr>
                  <w:rStyle w:val="a3"/>
                  <w:color w:val="auto"/>
                  <w:u w:val="none"/>
                </w:rPr>
                <w:t>Закон України «</w:t>
              </w:r>
              <w:r w:rsidR="00132AB2" w:rsidRPr="00076FEB">
                <w:rPr>
                  <w:rStyle w:val="a3"/>
                  <w:color w:val="auto"/>
                  <w:u w:val="none"/>
                </w:rPr>
                <w:t>Про ринки капіталу та організовані товарні ринки</w:t>
              </w:r>
              <w:r w:rsidR="00132AB2" w:rsidRPr="00523932">
                <w:rPr>
                  <w:rStyle w:val="a3"/>
                  <w:color w:val="auto"/>
                  <w:u w:val="none"/>
                </w:rPr>
                <w:t>»</w:t>
              </w:r>
            </w:hyperlink>
            <w:r w:rsidR="00095519">
              <w:t>;</w:t>
            </w:r>
          </w:p>
          <w:p w:rsidR="00095519" w:rsidRPr="00523932" w:rsidRDefault="00095519" w:rsidP="002A3218">
            <w:pPr>
              <w:jc w:val="both"/>
            </w:pPr>
            <w:r>
              <w:t>Закон України «Про адміністративну процедуру».</w:t>
            </w:r>
          </w:p>
        </w:tc>
      </w:tr>
      <w:tr w:rsidR="004A569F" w:rsidRPr="00523932" w:rsidTr="00B44579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9F" w:rsidRPr="00523932" w:rsidRDefault="004A569F" w:rsidP="002A3218">
            <w:pPr>
              <w:jc w:val="both"/>
            </w:pPr>
            <w:r w:rsidRPr="00523932">
              <w:t>6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9F" w:rsidRPr="00523932" w:rsidRDefault="004A569F" w:rsidP="002A3218">
            <w:pPr>
              <w:jc w:val="both"/>
            </w:pPr>
            <w:r w:rsidRPr="00523932">
              <w:rPr>
                <w:shd w:val="clear" w:color="auto" w:fill="FFFFFF"/>
              </w:rPr>
              <w:t>Акти Кабінету Міністрів України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9F" w:rsidRPr="00523932" w:rsidRDefault="004A569F" w:rsidP="002A3218">
            <w:pPr>
              <w:jc w:val="both"/>
            </w:pPr>
            <w:r>
              <w:t>-</w:t>
            </w:r>
          </w:p>
        </w:tc>
      </w:tr>
      <w:tr w:rsidR="004A569F" w:rsidRPr="00523932" w:rsidTr="00B44579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9F" w:rsidRPr="00523932" w:rsidRDefault="004A569F" w:rsidP="002A3218">
            <w:pPr>
              <w:jc w:val="both"/>
            </w:pPr>
            <w:r w:rsidRPr="00523932">
              <w:t>7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9F" w:rsidRPr="00523932" w:rsidRDefault="004A569F" w:rsidP="002A3218">
            <w:pPr>
              <w:jc w:val="both"/>
              <w:rPr>
                <w:shd w:val="clear" w:color="auto" w:fill="FFFFFF"/>
              </w:rPr>
            </w:pPr>
            <w:r w:rsidRPr="00523932">
              <w:rPr>
                <w:shd w:val="clear" w:color="auto" w:fill="FFFFFF"/>
              </w:rPr>
              <w:t>Нормативні документи НКЦПФР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9F" w:rsidRPr="00523932" w:rsidRDefault="004747F9" w:rsidP="002A3218">
            <w:pPr>
              <w:jc w:val="both"/>
            </w:pPr>
            <w:r w:rsidRPr="0018272A">
              <w:t xml:space="preserve">Положення про об’єднання професійних учасників </w:t>
            </w:r>
            <w:r>
              <w:t>ринків капіталу</w:t>
            </w:r>
            <w:r w:rsidRPr="0018272A">
              <w:t>, затверджене рішенням Національної комісії з цінних паперів та фондового ринку від 27.12.2012 року №</w:t>
            </w:r>
            <w:r>
              <w:t xml:space="preserve"> </w:t>
            </w:r>
            <w:r w:rsidRPr="0018272A">
              <w:t>1925, зареєстроване в Міністерстві юстиції України 25 січня 2013 року за №</w:t>
            </w:r>
            <w:r>
              <w:t xml:space="preserve"> </w:t>
            </w:r>
            <w:r w:rsidRPr="0018272A">
              <w:t>182/22714 (зі</w:t>
            </w:r>
            <w:r>
              <w:rPr>
                <w:sz w:val="28"/>
                <w:szCs w:val="28"/>
              </w:rPr>
              <w:t xml:space="preserve"> </w:t>
            </w:r>
            <w:r w:rsidRPr="00845D77">
              <w:t>змінами)</w:t>
            </w:r>
            <w:r>
              <w:t>.</w:t>
            </w:r>
          </w:p>
        </w:tc>
      </w:tr>
      <w:tr w:rsidR="004A569F" w:rsidRPr="00523932" w:rsidTr="00B44579">
        <w:trPr>
          <w:trHeight w:val="4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9F" w:rsidRPr="00523932" w:rsidRDefault="004A569F" w:rsidP="004A569F">
            <w:pPr>
              <w:jc w:val="center"/>
            </w:pPr>
            <w:r w:rsidRPr="00523932">
              <w:rPr>
                <w:b/>
              </w:rPr>
              <w:t>Умови отримання адміністративної послуги</w:t>
            </w:r>
          </w:p>
        </w:tc>
      </w:tr>
      <w:tr w:rsidR="004A569F" w:rsidRPr="00523932" w:rsidTr="00B44579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9F" w:rsidRPr="00523932" w:rsidRDefault="004A569F" w:rsidP="002A3218">
            <w:pPr>
              <w:jc w:val="both"/>
            </w:pPr>
            <w:r w:rsidRPr="00523932">
              <w:t>8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9F" w:rsidRPr="00523932" w:rsidRDefault="004A569F" w:rsidP="002A3218">
            <w:pPr>
              <w:jc w:val="both"/>
            </w:pPr>
            <w:r w:rsidRPr="00523932">
              <w:t>Перелік документів, необхідних для отримання адміністративної послуги, вимоги до них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9F" w:rsidRDefault="004A569F" w:rsidP="002A3218">
            <w:pPr>
              <w:jc w:val="both"/>
              <w:rPr>
                <w:rStyle w:val="rvts0"/>
              </w:rPr>
            </w:pPr>
            <w:r w:rsidRPr="001F5CED">
              <w:t xml:space="preserve">У разі зміни найменування та/або місцезнаходження </w:t>
            </w:r>
            <w:r w:rsidRPr="00437B92">
              <w:rPr>
                <w:rStyle w:val="rvts0"/>
              </w:rPr>
              <w:t xml:space="preserve">об’єднання професійних учасників </w:t>
            </w:r>
            <w:r w:rsidR="00132AB2">
              <w:rPr>
                <w:rStyle w:val="rvts0"/>
              </w:rPr>
              <w:t xml:space="preserve">ринків капіталу </w:t>
            </w:r>
            <w:r w:rsidRPr="00437B92">
              <w:rPr>
                <w:rStyle w:val="rvts0"/>
              </w:rPr>
              <w:t xml:space="preserve">(далі </w:t>
            </w:r>
            <w:r>
              <w:rPr>
                <w:rStyle w:val="rvts0"/>
              </w:rPr>
              <w:t>–</w:t>
            </w:r>
            <w:r w:rsidRPr="00437B92">
              <w:rPr>
                <w:rStyle w:val="rvts0"/>
              </w:rPr>
              <w:t xml:space="preserve"> ОПУ</w:t>
            </w:r>
            <w:r w:rsidRPr="00561E63">
              <w:rPr>
                <w:rStyle w:val="rvts0"/>
              </w:rPr>
              <w:t>)</w:t>
            </w:r>
            <w:r w:rsidRPr="001F5CED">
              <w:t xml:space="preserve"> </w:t>
            </w:r>
            <w:r>
              <w:rPr>
                <w:rStyle w:val="rvts0"/>
              </w:rPr>
              <w:t>протягом п’яти робочих днів з дати державної реєстрації змін до відомостей про юридичну особу, що містяться в Єдиному державному реєстрі юридичних осіб, фізичних осіб - підприємців та громадських формувань, подає до НКЦПФР такі документи:</w:t>
            </w:r>
            <w:bookmarkStart w:id="0" w:name="n590"/>
            <w:bookmarkEnd w:id="0"/>
          </w:p>
          <w:p w:rsidR="004A569F" w:rsidRDefault="009619E2" w:rsidP="002A3218">
            <w:pPr>
              <w:jc w:val="both"/>
              <w:rPr>
                <w:color w:val="000000"/>
              </w:rPr>
            </w:pPr>
            <w:hyperlink r:id="rId10" w:anchor="n426" w:history="1">
              <w:r w:rsidR="004A569F" w:rsidRPr="001F5CED">
                <w:rPr>
                  <w:rStyle w:val="a3"/>
                  <w:color w:val="000000"/>
                  <w:u w:val="none"/>
                </w:rPr>
                <w:t xml:space="preserve">заяву про заміну свідоцтва про реєстрацію об’єднання професійних учасників </w:t>
              </w:r>
              <w:r w:rsidR="0045329A">
                <w:rPr>
                  <w:rStyle w:val="a3"/>
                  <w:color w:val="000000"/>
                  <w:u w:val="none"/>
                </w:rPr>
                <w:t>ринків</w:t>
              </w:r>
            </w:hyperlink>
            <w:r w:rsidR="0045329A">
              <w:rPr>
                <w:color w:val="000000"/>
              </w:rPr>
              <w:t xml:space="preserve"> капіталу</w:t>
            </w:r>
            <w:r w:rsidR="004A569F">
              <w:rPr>
                <w:color w:val="000000"/>
              </w:rPr>
              <w:t>;</w:t>
            </w:r>
            <w:r w:rsidR="004A569F" w:rsidRPr="001F5CED">
              <w:rPr>
                <w:color w:val="000000"/>
              </w:rPr>
              <w:t xml:space="preserve"> </w:t>
            </w:r>
            <w:bookmarkStart w:id="1" w:name="n591"/>
            <w:bookmarkEnd w:id="1"/>
          </w:p>
          <w:p w:rsidR="00AE15B1" w:rsidRPr="00523932" w:rsidRDefault="004A569F" w:rsidP="000E2C09">
            <w:pPr>
              <w:jc w:val="both"/>
            </w:pPr>
            <w:r w:rsidRPr="001F5CED">
              <w:rPr>
                <w:color w:val="000000"/>
              </w:rPr>
              <w:t>оригінал свідоцтва про реєстрацію ОПУ.</w:t>
            </w:r>
          </w:p>
        </w:tc>
      </w:tr>
      <w:tr w:rsidR="004A569F" w:rsidRPr="00523932" w:rsidTr="00B44579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9F" w:rsidRPr="00523932" w:rsidRDefault="004A569F" w:rsidP="002A3218">
            <w:pPr>
              <w:jc w:val="both"/>
            </w:pPr>
            <w:r w:rsidRPr="00523932">
              <w:t>9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9F" w:rsidRPr="00523932" w:rsidRDefault="004A569F" w:rsidP="002A3218">
            <w:pPr>
              <w:jc w:val="both"/>
            </w:pPr>
            <w:r w:rsidRPr="00523932">
              <w:t xml:space="preserve">Платність (безоплатність) надання </w:t>
            </w:r>
            <w:r w:rsidRPr="00523932">
              <w:lastRenderedPageBreak/>
              <w:t>адміністративної послуги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9F" w:rsidRPr="00523932" w:rsidRDefault="004A569F" w:rsidP="002A3218">
            <w:pPr>
              <w:jc w:val="both"/>
            </w:pPr>
            <w:r>
              <w:lastRenderedPageBreak/>
              <w:t>Безоплатно.</w:t>
            </w:r>
          </w:p>
        </w:tc>
      </w:tr>
      <w:tr w:rsidR="004A569F" w:rsidRPr="00523932" w:rsidTr="00B44579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9F" w:rsidRPr="00523932" w:rsidRDefault="004A569F" w:rsidP="002A3218">
            <w:pPr>
              <w:jc w:val="both"/>
            </w:pPr>
            <w:r w:rsidRPr="00523932">
              <w:t>10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9F" w:rsidRPr="00523932" w:rsidRDefault="004A569F" w:rsidP="002A3218">
            <w:pPr>
              <w:jc w:val="both"/>
            </w:pPr>
            <w:r w:rsidRPr="00523932">
              <w:t>Порядок та спосіб подання документів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9F" w:rsidRPr="00523932" w:rsidRDefault="004A569F" w:rsidP="00337328">
            <w:pPr>
              <w:pStyle w:val="rvps2"/>
              <w:jc w:val="both"/>
            </w:pPr>
            <w:r w:rsidRPr="000E7139">
              <w:t>Документи, необхідні для надання адміністративної послуги, надсилаються поштою (надаються) до НКЦПФР.</w:t>
            </w:r>
          </w:p>
        </w:tc>
      </w:tr>
      <w:tr w:rsidR="004A569F" w:rsidRPr="00523932" w:rsidTr="00B44579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9F" w:rsidRPr="00523932" w:rsidRDefault="004A569F" w:rsidP="002A3218">
            <w:pPr>
              <w:jc w:val="both"/>
            </w:pPr>
            <w:r w:rsidRPr="00523932">
              <w:t>11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9F" w:rsidRPr="00523932" w:rsidRDefault="004A569F" w:rsidP="002A3218">
            <w:pPr>
              <w:jc w:val="both"/>
            </w:pPr>
            <w:r w:rsidRPr="00523932">
              <w:t>Строк надання адміністративної послуги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9F" w:rsidRPr="00523932" w:rsidRDefault="004A569F" w:rsidP="008F324F">
            <w:pPr>
              <w:spacing w:before="240" w:beforeAutospacing="1" w:after="100" w:afterAutospacing="1"/>
              <w:jc w:val="both"/>
              <w:rPr>
                <w:rStyle w:val="rvts0"/>
              </w:rPr>
            </w:pPr>
            <w:r w:rsidRPr="00437B92">
              <w:rPr>
                <w:rStyle w:val="rvts0"/>
              </w:rPr>
              <w:t>За наслідками розгляду заяви та документів НКЦПФР протягом 30 днів від дня її одержання</w:t>
            </w:r>
            <w:r>
              <w:rPr>
                <w:rStyle w:val="rvts0"/>
              </w:rPr>
              <w:t xml:space="preserve"> приймає </w:t>
            </w:r>
            <w:r w:rsidR="008F324F">
              <w:rPr>
                <w:rStyle w:val="rvts0"/>
              </w:rPr>
              <w:t>постанову</w:t>
            </w:r>
            <w:r>
              <w:rPr>
                <w:rStyle w:val="rvts0"/>
              </w:rPr>
              <w:t xml:space="preserve"> про заміну свідоцтва про реєстрацію об</w:t>
            </w:r>
            <w:r w:rsidRPr="00B53E43">
              <w:rPr>
                <w:rStyle w:val="rvts0"/>
              </w:rPr>
              <w:t>’</w:t>
            </w:r>
            <w:r>
              <w:rPr>
                <w:rStyle w:val="rvts0"/>
              </w:rPr>
              <w:t xml:space="preserve">єднання професійних учасників </w:t>
            </w:r>
            <w:r w:rsidR="00132AB2">
              <w:rPr>
                <w:rStyle w:val="rvts0"/>
              </w:rPr>
              <w:t>ринків капіталу</w:t>
            </w:r>
            <w:r>
              <w:rPr>
                <w:rStyle w:val="rvts0"/>
              </w:rPr>
              <w:t>.</w:t>
            </w:r>
          </w:p>
        </w:tc>
      </w:tr>
      <w:tr w:rsidR="004A569F" w:rsidRPr="00523932" w:rsidTr="00B44579">
        <w:trPr>
          <w:trHeight w:val="6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9F" w:rsidRPr="00523932" w:rsidRDefault="004A569F" w:rsidP="002A3218">
            <w:pPr>
              <w:jc w:val="both"/>
            </w:pPr>
            <w:r w:rsidRPr="00523932">
              <w:t>12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9F" w:rsidRPr="00523932" w:rsidRDefault="004A569F" w:rsidP="002A3218">
            <w:pPr>
              <w:jc w:val="both"/>
            </w:pPr>
            <w:r w:rsidRPr="00523932">
              <w:t>Результат надання адміністративної послуги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9F" w:rsidRPr="00132AB2" w:rsidRDefault="004A569F" w:rsidP="00132AB2">
            <w:pPr>
              <w:jc w:val="both"/>
            </w:pPr>
            <w:r w:rsidRPr="0018272A">
              <w:t xml:space="preserve">Свідоцтво про реєстрацію об’єднання професійних учасників </w:t>
            </w:r>
            <w:r w:rsidR="00132AB2">
              <w:t>ринків капіталу</w:t>
            </w:r>
            <w:r>
              <w:t>.</w:t>
            </w:r>
          </w:p>
        </w:tc>
      </w:tr>
      <w:tr w:rsidR="004A569F" w:rsidRPr="00523932" w:rsidTr="00B44579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9F" w:rsidRPr="00523932" w:rsidRDefault="004A569F" w:rsidP="002A3218">
            <w:pPr>
              <w:jc w:val="both"/>
            </w:pPr>
            <w:r w:rsidRPr="00523932">
              <w:t>13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9F" w:rsidRPr="00523932" w:rsidRDefault="004A569F" w:rsidP="002A3218">
            <w:pPr>
              <w:jc w:val="both"/>
            </w:pPr>
            <w:r w:rsidRPr="00523932">
              <w:t>Способи отримання відповіді (результату)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9F" w:rsidRDefault="004A569F" w:rsidP="00716D61">
            <w:pPr>
              <w:jc w:val="both"/>
              <w:rPr>
                <w:rStyle w:val="rvts0"/>
              </w:rPr>
            </w:pPr>
            <w:r w:rsidRPr="00437B92">
              <w:rPr>
                <w:rStyle w:val="rvts0"/>
              </w:rPr>
              <w:t xml:space="preserve">Після прийняття </w:t>
            </w:r>
            <w:r w:rsidR="00716D61">
              <w:rPr>
                <w:rStyle w:val="rvts0"/>
              </w:rPr>
              <w:t>постанови</w:t>
            </w:r>
            <w:r w:rsidRPr="00437B92">
              <w:rPr>
                <w:rStyle w:val="rvts0"/>
              </w:rPr>
              <w:t xml:space="preserve"> НКЦПФР видає заявник</w:t>
            </w:r>
            <w:r>
              <w:rPr>
                <w:rStyle w:val="rvts0"/>
              </w:rPr>
              <w:t>у нове свідоцтво про реєстрацію</w:t>
            </w:r>
            <w:r w:rsidRPr="00561E63">
              <w:rPr>
                <w:rStyle w:val="rvts0"/>
                <w:lang w:val="ru-RU"/>
              </w:rPr>
              <w:t xml:space="preserve"> </w:t>
            </w:r>
            <w:r>
              <w:rPr>
                <w:rStyle w:val="rvts0"/>
              </w:rPr>
              <w:t>ОПУ</w:t>
            </w:r>
            <w:r w:rsidRPr="00437B92">
              <w:rPr>
                <w:rStyle w:val="rvts0"/>
              </w:rPr>
              <w:t xml:space="preserve"> із змінами відповідно до документів заявника та анулює попереднє свідоцтво. Нове свідоцтво про реєстрацію ОПУ отримує керівник виконавчого органу ОПУ або представник заявника за виданою заявником довіреністю з пред’явленням документа, що посвідчує особу.</w:t>
            </w:r>
          </w:p>
          <w:p w:rsidR="00F44055" w:rsidRPr="00523932" w:rsidRDefault="00F44055" w:rsidP="00390E97">
            <w:pPr>
              <w:jc w:val="both"/>
            </w:pPr>
            <w:r>
              <w:rPr>
                <w:color w:val="000000"/>
              </w:rPr>
              <w:t xml:space="preserve">Надсилання повідомлення про прийняття постанови </w:t>
            </w:r>
            <w:r w:rsidR="00390E97">
              <w:rPr>
                <w:color w:val="000000"/>
              </w:rPr>
              <w:t xml:space="preserve">про </w:t>
            </w:r>
            <w:r>
              <w:rPr>
                <w:rStyle w:val="rvts0"/>
              </w:rPr>
              <w:t>заміну свідоцтва ОПУ)</w:t>
            </w:r>
            <w:r w:rsidRPr="0018272A">
              <w:rPr>
                <w:rStyle w:val="rvts0"/>
              </w:rPr>
              <w:t xml:space="preserve"> заявнику протягом </w:t>
            </w:r>
            <w:r>
              <w:rPr>
                <w:rStyle w:val="rvts0"/>
              </w:rPr>
              <w:t>3</w:t>
            </w:r>
            <w:r w:rsidRPr="0018272A">
              <w:rPr>
                <w:rStyle w:val="rvts0"/>
              </w:rPr>
              <w:t xml:space="preserve"> робочих днів з дат</w:t>
            </w:r>
            <w:r>
              <w:rPr>
                <w:rStyle w:val="rvts0"/>
              </w:rPr>
              <w:t>и прийняття відповідної постанови</w:t>
            </w:r>
            <w:r w:rsidRPr="0018272A">
              <w:rPr>
                <w:rStyle w:val="rvts0"/>
              </w:rPr>
              <w:t>.</w:t>
            </w:r>
          </w:p>
        </w:tc>
      </w:tr>
    </w:tbl>
    <w:p w:rsidR="004A569F" w:rsidRDefault="004A569F" w:rsidP="0036708C">
      <w:pPr>
        <w:jc w:val="both"/>
        <w:rPr>
          <w:b/>
        </w:rPr>
      </w:pPr>
    </w:p>
    <w:p w:rsidR="00FD190E" w:rsidRDefault="00FD190E" w:rsidP="00FD190E">
      <w:pPr>
        <w:jc w:val="both"/>
      </w:pPr>
      <w:r>
        <w:t xml:space="preserve">Примітки: </w:t>
      </w:r>
    </w:p>
    <w:p w:rsidR="00FD190E" w:rsidRDefault="00FD190E" w:rsidP="00FD190E">
      <w:pPr>
        <w:jc w:val="both"/>
      </w:pPr>
      <w:r>
        <w:t>Права та обов’язки заявника визначені в статті 28 Закону України «Про адміністративну процедуру».</w:t>
      </w:r>
    </w:p>
    <w:p w:rsidR="00FD190E" w:rsidRDefault="00FD190E" w:rsidP="00FD190E">
      <w:pPr>
        <w:jc w:val="both"/>
      </w:pPr>
      <w:r>
        <w:t>За письмовим запитом заявник має можливість ознайомитися з матеріалами справи в порядку та у строки, встановлені статтею 51 Закону України «Про адміністративну процедуру».</w:t>
      </w:r>
    </w:p>
    <w:p w:rsidR="00FD190E" w:rsidRDefault="00FD190E" w:rsidP="00FD190E">
      <w:pPr>
        <w:jc w:val="both"/>
      </w:pPr>
      <w:r>
        <w:t xml:space="preserve">На будь-якому етапі адміністративного провадження до моменту прийняття адміністративного акту, заявником можуть бути подані до НКЦПФР пояснення та/або зауваження у справі у спосіб, визначений статтею 54 Закону України «Про адміністративну процедуру». </w:t>
      </w:r>
    </w:p>
    <w:p w:rsidR="00FD190E" w:rsidRDefault="00FD190E" w:rsidP="00FD190E">
      <w:pPr>
        <w:pStyle w:val="a5"/>
        <w:spacing w:before="0" w:beforeAutospacing="0" w:after="0" w:afterAutospacing="0"/>
        <w:jc w:val="both"/>
      </w:pPr>
      <w:r>
        <w:t>Результати надання адміністративної послуги можуть бути оскаржені до суду в порядку, встановленому законом</w:t>
      </w:r>
    </w:p>
    <w:p w:rsidR="00FD190E" w:rsidRDefault="00FD190E" w:rsidP="00FD190E">
      <w:pPr>
        <w:pStyle w:val="a5"/>
        <w:spacing w:before="0" w:beforeAutospacing="0" w:after="0" w:afterAutospacing="0"/>
        <w:jc w:val="both"/>
      </w:pPr>
    </w:p>
    <w:p w:rsidR="00FD190E" w:rsidRDefault="00FD190E" w:rsidP="00FD190E">
      <w:pPr>
        <w:pStyle w:val="a5"/>
        <w:spacing w:before="0" w:beforeAutospacing="0" w:after="0" w:afterAutospacing="0"/>
        <w:jc w:val="both"/>
      </w:pPr>
    </w:p>
    <w:p w:rsidR="00132AB2" w:rsidRPr="00FD190E" w:rsidRDefault="00132AB2" w:rsidP="00B44579">
      <w:pPr>
        <w:jc w:val="both"/>
        <w:rPr>
          <w:sz w:val="28"/>
          <w:szCs w:val="28"/>
        </w:rPr>
      </w:pPr>
      <w:bookmarkStart w:id="2" w:name="_GoBack"/>
      <w:bookmarkEnd w:id="2"/>
    </w:p>
    <w:sectPr w:rsidR="00132AB2" w:rsidRPr="00FD190E" w:rsidSect="005F20A2">
      <w:headerReference w:type="default" r:id="rId11"/>
      <w:pgSz w:w="11906" w:h="16838" w:code="9"/>
      <w:pgMar w:top="851" w:right="851" w:bottom="851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9E2" w:rsidRDefault="009619E2" w:rsidP="007A7424">
      <w:r>
        <w:separator/>
      </w:r>
    </w:p>
  </w:endnote>
  <w:endnote w:type="continuationSeparator" w:id="0">
    <w:p w:rsidR="009619E2" w:rsidRDefault="009619E2" w:rsidP="007A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9E2" w:rsidRDefault="009619E2" w:rsidP="007A7424">
      <w:r>
        <w:separator/>
      </w:r>
    </w:p>
  </w:footnote>
  <w:footnote w:type="continuationSeparator" w:id="0">
    <w:p w:rsidR="009619E2" w:rsidRDefault="009619E2" w:rsidP="007A7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424" w:rsidRDefault="007A742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71921">
      <w:rPr>
        <w:noProof/>
      </w:rPr>
      <w:t>2</w:t>
    </w:r>
    <w:r>
      <w:fldChar w:fldCharType="end"/>
    </w:r>
  </w:p>
  <w:p w:rsidR="007A7424" w:rsidRDefault="007A74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27EF4"/>
    <w:multiLevelType w:val="hybridMultilevel"/>
    <w:tmpl w:val="C32846B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57"/>
    <w:rsid w:val="00004AAA"/>
    <w:rsid w:val="00010732"/>
    <w:rsid w:val="000349E5"/>
    <w:rsid w:val="00055FF4"/>
    <w:rsid w:val="00060C12"/>
    <w:rsid w:val="00087A75"/>
    <w:rsid w:val="00091720"/>
    <w:rsid w:val="000927D1"/>
    <w:rsid w:val="00095519"/>
    <w:rsid w:val="000D6ABF"/>
    <w:rsid w:val="000E2C09"/>
    <w:rsid w:val="000F2D4A"/>
    <w:rsid w:val="000F44C0"/>
    <w:rsid w:val="00132756"/>
    <w:rsid w:val="00132AB2"/>
    <w:rsid w:val="00151E8A"/>
    <w:rsid w:val="00155B4A"/>
    <w:rsid w:val="0018272A"/>
    <w:rsid w:val="0019038B"/>
    <w:rsid w:val="00196E4F"/>
    <w:rsid w:val="001B4B0F"/>
    <w:rsid w:val="001D04BE"/>
    <w:rsid w:val="001D3544"/>
    <w:rsid w:val="00203B1A"/>
    <w:rsid w:val="00225A2D"/>
    <w:rsid w:val="0022603C"/>
    <w:rsid w:val="00240EBB"/>
    <w:rsid w:val="00266B3E"/>
    <w:rsid w:val="00267A2D"/>
    <w:rsid w:val="002A3218"/>
    <w:rsid w:val="002F6736"/>
    <w:rsid w:val="003230DA"/>
    <w:rsid w:val="00337328"/>
    <w:rsid w:val="00353DEC"/>
    <w:rsid w:val="00364AF7"/>
    <w:rsid w:val="0036708C"/>
    <w:rsid w:val="00377E0A"/>
    <w:rsid w:val="00390E97"/>
    <w:rsid w:val="003A197C"/>
    <w:rsid w:val="003A3CC7"/>
    <w:rsid w:val="003B665F"/>
    <w:rsid w:val="00443089"/>
    <w:rsid w:val="0045329A"/>
    <w:rsid w:val="00473DA2"/>
    <w:rsid w:val="004747F9"/>
    <w:rsid w:val="00480AB5"/>
    <w:rsid w:val="00487DB1"/>
    <w:rsid w:val="004924E6"/>
    <w:rsid w:val="004A569F"/>
    <w:rsid w:val="00504102"/>
    <w:rsid w:val="00523932"/>
    <w:rsid w:val="0052545E"/>
    <w:rsid w:val="00546400"/>
    <w:rsid w:val="00566EC9"/>
    <w:rsid w:val="0057147C"/>
    <w:rsid w:val="00586273"/>
    <w:rsid w:val="005934D1"/>
    <w:rsid w:val="005970EA"/>
    <w:rsid w:val="005D2130"/>
    <w:rsid w:val="005F20A2"/>
    <w:rsid w:val="0060034D"/>
    <w:rsid w:val="00635B9C"/>
    <w:rsid w:val="00655A0C"/>
    <w:rsid w:val="00657905"/>
    <w:rsid w:val="006601DA"/>
    <w:rsid w:val="00663BA2"/>
    <w:rsid w:val="0066688F"/>
    <w:rsid w:val="006B2119"/>
    <w:rsid w:val="006E2209"/>
    <w:rsid w:val="00710AD6"/>
    <w:rsid w:val="00716D61"/>
    <w:rsid w:val="007372C0"/>
    <w:rsid w:val="00743FC3"/>
    <w:rsid w:val="0076731E"/>
    <w:rsid w:val="0078159B"/>
    <w:rsid w:val="00784293"/>
    <w:rsid w:val="00795B03"/>
    <w:rsid w:val="007A4557"/>
    <w:rsid w:val="007A7424"/>
    <w:rsid w:val="007B005D"/>
    <w:rsid w:val="007B7746"/>
    <w:rsid w:val="007C0963"/>
    <w:rsid w:val="007C26B5"/>
    <w:rsid w:val="007D3836"/>
    <w:rsid w:val="00826E4C"/>
    <w:rsid w:val="0084446E"/>
    <w:rsid w:val="00845D77"/>
    <w:rsid w:val="00846BBE"/>
    <w:rsid w:val="00851B40"/>
    <w:rsid w:val="0085232C"/>
    <w:rsid w:val="008628BD"/>
    <w:rsid w:val="00871921"/>
    <w:rsid w:val="008827C5"/>
    <w:rsid w:val="008A5623"/>
    <w:rsid w:val="008B0BB0"/>
    <w:rsid w:val="008B30A9"/>
    <w:rsid w:val="008C4AF5"/>
    <w:rsid w:val="008D438B"/>
    <w:rsid w:val="008E62B7"/>
    <w:rsid w:val="008F324F"/>
    <w:rsid w:val="00904367"/>
    <w:rsid w:val="0092187D"/>
    <w:rsid w:val="009250DA"/>
    <w:rsid w:val="009619E2"/>
    <w:rsid w:val="00967ADA"/>
    <w:rsid w:val="00984F77"/>
    <w:rsid w:val="00986DB8"/>
    <w:rsid w:val="00991BD2"/>
    <w:rsid w:val="009A0A45"/>
    <w:rsid w:val="009D6BF0"/>
    <w:rsid w:val="009F060B"/>
    <w:rsid w:val="00A573EA"/>
    <w:rsid w:val="00A652E8"/>
    <w:rsid w:val="00AA78B5"/>
    <w:rsid w:val="00AC469E"/>
    <w:rsid w:val="00AC61B9"/>
    <w:rsid w:val="00AE15B1"/>
    <w:rsid w:val="00AE6078"/>
    <w:rsid w:val="00AE7062"/>
    <w:rsid w:val="00B14FA2"/>
    <w:rsid w:val="00B43FB9"/>
    <w:rsid w:val="00B44579"/>
    <w:rsid w:val="00B86AD7"/>
    <w:rsid w:val="00BC7E02"/>
    <w:rsid w:val="00BE2D80"/>
    <w:rsid w:val="00C024D3"/>
    <w:rsid w:val="00C25216"/>
    <w:rsid w:val="00C3136C"/>
    <w:rsid w:val="00C3715C"/>
    <w:rsid w:val="00CE3FBE"/>
    <w:rsid w:val="00CE5B92"/>
    <w:rsid w:val="00CF6027"/>
    <w:rsid w:val="00D13617"/>
    <w:rsid w:val="00D237D7"/>
    <w:rsid w:val="00DC2310"/>
    <w:rsid w:val="00DC2CA9"/>
    <w:rsid w:val="00DE2995"/>
    <w:rsid w:val="00DF3B0F"/>
    <w:rsid w:val="00DF7D78"/>
    <w:rsid w:val="00E151F5"/>
    <w:rsid w:val="00E22024"/>
    <w:rsid w:val="00E35DD9"/>
    <w:rsid w:val="00E63310"/>
    <w:rsid w:val="00E646D2"/>
    <w:rsid w:val="00E722BA"/>
    <w:rsid w:val="00E75851"/>
    <w:rsid w:val="00E94AF5"/>
    <w:rsid w:val="00E9522E"/>
    <w:rsid w:val="00EA3D20"/>
    <w:rsid w:val="00ED7566"/>
    <w:rsid w:val="00EE62D7"/>
    <w:rsid w:val="00F11E99"/>
    <w:rsid w:val="00F25DA3"/>
    <w:rsid w:val="00F31884"/>
    <w:rsid w:val="00F44055"/>
    <w:rsid w:val="00F635CE"/>
    <w:rsid w:val="00F74CE5"/>
    <w:rsid w:val="00F92F9A"/>
    <w:rsid w:val="00FA2BE0"/>
    <w:rsid w:val="00FD190E"/>
    <w:rsid w:val="00F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8A63D-CDAF-4943-93D6-BE7C2C00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5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7A4557"/>
  </w:style>
  <w:style w:type="character" w:styleId="a3">
    <w:name w:val="Hyperlink"/>
    <w:rsid w:val="007A4557"/>
    <w:rPr>
      <w:color w:val="0000FF"/>
      <w:u w:val="single"/>
    </w:rPr>
  </w:style>
  <w:style w:type="table" w:styleId="a4">
    <w:name w:val="Table Grid"/>
    <w:basedOn w:val="a1"/>
    <w:rsid w:val="007A4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7A4557"/>
    <w:pPr>
      <w:spacing w:before="100" w:beforeAutospacing="1" w:after="100" w:afterAutospacing="1"/>
    </w:pPr>
  </w:style>
  <w:style w:type="paragraph" w:styleId="a6">
    <w:name w:val="footer"/>
    <w:basedOn w:val="a"/>
    <w:rsid w:val="007A4557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784293"/>
  </w:style>
  <w:style w:type="paragraph" w:styleId="HTML">
    <w:name w:val="HTML Preformatted"/>
    <w:basedOn w:val="a"/>
    <w:link w:val="HTML0"/>
    <w:rsid w:val="00C252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semiHidden/>
    <w:locked/>
    <w:rsid w:val="00C25216"/>
    <w:rPr>
      <w:rFonts w:ascii="Courier New" w:hAnsi="Courier New" w:cs="Courier New"/>
      <w:lang w:val="uk-UA" w:eastAsia="uk-UA" w:bidi="ar-SA"/>
    </w:rPr>
  </w:style>
  <w:style w:type="paragraph" w:customStyle="1" w:styleId="rvps2">
    <w:name w:val="rvps2"/>
    <w:basedOn w:val="a"/>
    <w:rsid w:val="00C25216"/>
    <w:pPr>
      <w:spacing w:before="100" w:beforeAutospacing="1" w:after="100" w:afterAutospacing="1"/>
    </w:pPr>
  </w:style>
  <w:style w:type="character" w:customStyle="1" w:styleId="st131">
    <w:name w:val="st131"/>
    <w:rsid w:val="00FA2BE0"/>
    <w:rPr>
      <w:i/>
      <w:iCs/>
      <w:color w:val="0000FF"/>
    </w:rPr>
  </w:style>
  <w:style w:type="paragraph" w:customStyle="1" w:styleId="rvps14">
    <w:name w:val="rvps14"/>
    <w:basedOn w:val="a"/>
    <w:rsid w:val="0018272A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18272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8272A"/>
  </w:style>
  <w:style w:type="paragraph" w:customStyle="1" w:styleId="rvps7">
    <w:name w:val="rvps7"/>
    <w:basedOn w:val="a"/>
    <w:rsid w:val="0018272A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8272A"/>
  </w:style>
  <w:style w:type="character" w:customStyle="1" w:styleId="rvts82">
    <w:name w:val="rvts82"/>
    <w:basedOn w:val="a0"/>
    <w:rsid w:val="0018272A"/>
  </w:style>
  <w:style w:type="character" w:customStyle="1" w:styleId="st46">
    <w:name w:val="st46"/>
    <w:rsid w:val="0018272A"/>
    <w:rPr>
      <w:i/>
      <w:iCs/>
      <w:color w:val="000000"/>
    </w:rPr>
  </w:style>
  <w:style w:type="paragraph" w:customStyle="1" w:styleId="a7">
    <w:name w:val="Знак Знак Знак Знак Знак Знак Знак Знак Знак Знак Знак Знак"/>
    <w:basedOn w:val="a"/>
    <w:rsid w:val="00377E0A"/>
    <w:rPr>
      <w:rFonts w:ascii="Verdana" w:hAnsi="Verdana" w:cs="Verdana"/>
      <w:sz w:val="20"/>
      <w:szCs w:val="20"/>
      <w:lang w:val="en-US" w:eastAsia="en-US"/>
    </w:rPr>
  </w:style>
  <w:style w:type="character" w:customStyle="1" w:styleId="rvts37">
    <w:name w:val="rvts37"/>
    <w:basedOn w:val="a0"/>
    <w:rsid w:val="00377E0A"/>
  </w:style>
  <w:style w:type="paragraph" w:customStyle="1" w:styleId="a8">
    <w:name w:val="Знак"/>
    <w:basedOn w:val="a"/>
    <w:rsid w:val="00E9522E"/>
    <w:rPr>
      <w:rFonts w:ascii="Verdana" w:hAnsi="Verdana" w:cs="Verdana"/>
      <w:sz w:val="20"/>
      <w:szCs w:val="20"/>
      <w:lang w:val="en-US" w:eastAsia="en-US"/>
    </w:rPr>
  </w:style>
  <w:style w:type="character" w:customStyle="1" w:styleId="rvts46">
    <w:name w:val="rvts46"/>
    <w:basedOn w:val="a0"/>
    <w:rsid w:val="0052545E"/>
  </w:style>
  <w:style w:type="character" w:customStyle="1" w:styleId="rvts11">
    <w:name w:val="rvts11"/>
    <w:basedOn w:val="a0"/>
    <w:rsid w:val="0052545E"/>
  </w:style>
  <w:style w:type="paragraph" w:styleId="a9">
    <w:name w:val="header"/>
    <w:basedOn w:val="a"/>
    <w:link w:val="aa"/>
    <w:uiPriority w:val="99"/>
    <w:rsid w:val="007A7424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rsid w:val="007A74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s.nssmc.gov.ua/log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ssmc.gov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zakon0.rada.gov.ua/laws/show/z0182-13/paran4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0.rada.gov.ua/laws/show/3480-1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2649</Words>
  <Characters>1511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Національна комісія з цінних паперів та фондового ринку</vt:lpstr>
      <vt:lpstr>Національна комісія з цінних паперів та фондового ринку</vt:lpstr>
    </vt:vector>
  </TitlesOfParts>
  <Company>SSMSC</Company>
  <LinksUpToDate>false</LinksUpToDate>
  <CharactersWithSpaces>4152</CharactersWithSpaces>
  <SharedDoc>false</SharedDoc>
  <HLinks>
    <vt:vector size="30" baseType="variant">
      <vt:variant>
        <vt:i4>5898251</vt:i4>
      </vt:variant>
      <vt:variant>
        <vt:i4>12</vt:i4>
      </vt:variant>
      <vt:variant>
        <vt:i4>0</vt:i4>
      </vt:variant>
      <vt:variant>
        <vt:i4>5</vt:i4>
      </vt:variant>
      <vt:variant>
        <vt:lpwstr>http://zakon0.rada.gov.ua/laws/show/z0182-13/paran426</vt:lpwstr>
      </vt:variant>
      <vt:variant>
        <vt:lpwstr>n426</vt:lpwstr>
      </vt:variant>
      <vt:variant>
        <vt:i4>2424866</vt:i4>
      </vt:variant>
      <vt:variant>
        <vt:i4>9</vt:i4>
      </vt:variant>
      <vt:variant>
        <vt:i4>0</vt:i4>
      </vt:variant>
      <vt:variant>
        <vt:i4>5</vt:i4>
      </vt:variant>
      <vt:variant>
        <vt:lpwstr>http://zakon0.rada.gov.ua/laws/show/3480-15</vt:lpwstr>
      </vt:variant>
      <vt:variant>
        <vt:lpwstr/>
      </vt:variant>
      <vt:variant>
        <vt:i4>2162808</vt:i4>
      </vt:variant>
      <vt:variant>
        <vt:i4>6</vt:i4>
      </vt:variant>
      <vt:variant>
        <vt:i4>0</vt:i4>
      </vt:variant>
      <vt:variant>
        <vt:i4>5</vt:i4>
      </vt:variant>
      <vt:variant>
        <vt:lpwstr>https://services.nssmc.gov.ua/login</vt:lpwstr>
      </vt:variant>
      <vt:variant>
        <vt:lpwstr/>
      </vt:variant>
      <vt:variant>
        <vt:i4>5767258</vt:i4>
      </vt:variant>
      <vt:variant>
        <vt:i4>3</vt:i4>
      </vt:variant>
      <vt:variant>
        <vt:i4>0</vt:i4>
      </vt:variant>
      <vt:variant>
        <vt:i4>5</vt:i4>
      </vt:variant>
      <vt:variant>
        <vt:lpwstr>https://www.nssmc.gov.ua/</vt:lpwstr>
      </vt:variant>
      <vt:variant>
        <vt:lpwstr/>
      </vt:variant>
      <vt:variant>
        <vt:i4>3997777</vt:i4>
      </vt:variant>
      <vt:variant>
        <vt:i4>0</vt:i4>
      </vt:variant>
      <vt:variant>
        <vt:i4>0</vt:i4>
      </vt:variant>
      <vt:variant>
        <vt:i4>5</vt:i4>
      </vt:variant>
      <vt:variant>
        <vt:lpwstr>mailto:info@nssmc.gov.ua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Національна комісія з цінних паперів та фондового ринку</dc:title>
  <dc:subject/>
  <dc:creator>olena.hirchenko</dc:creator>
  <cp:keywords/>
  <cp:lastModifiedBy>Admin</cp:lastModifiedBy>
  <cp:revision>2</cp:revision>
  <cp:lastPrinted>2018-08-13T10:30:00Z</cp:lastPrinted>
  <dcterms:created xsi:type="dcterms:W3CDTF">2025-03-31T08:36:00Z</dcterms:created>
  <dcterms:modified xsi:type="dcterms:W3CDTF">2025-03-31T08:36:00Z</dcterms:modified>
</cp:coreProperties>
</file>