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B7" w:rsidRPr="002D3B61" w:rsidRDefault="009E0FB7" w:rsidP="002D3B61">
      <w:pPr>
        <w:widowControl w:val="0"/>
        <w:ind w:left="4820"/>
        <w:jc w:val="right"/>
        <w:rPr>
          <w:lang w:val="ru-RU"/>
        </w:rPr>
      </w:pPr>
      <w:bookmarkStart w:id="0" w:name="_GoBack"/>
      <w:bookmarkEnd w:id="0"/>
      <w:r w:rsidRPr="002D3B61">
        <w:t xml:space="preserve">Додаток </w:t>
      </w:r>
      <w:r w:rsidRPr="002D3B61">
        <w:rPr>
          <w:lang w:val="ru-RU"/>
        </w:rPr>
        <w:t>14</w:t>
      </w:r>
    </w:p>
    <w:p w:rsidR="009E0FB7" w:rsidRPr="002D3B61" w:rsidRDefault="009E0FB7" w:rsidP="002D3B61">
      <w:pPr>
        <w:widowControl w:val="0"/>
        <w:ind w:left="4820"/>
        <w:jc w:val="both"/>
      </w:pPr>
      <w:r w:rsidRPr="002D3B61">
        <w:t>до розпорядження Голови Національної комісії з цінних паперів та фондового ринку</w:t>
      </w:r>
    </w:p>
    <w:p w:rsidR="0058158D" w:rsidRDefault="003C3EB6" w:rsidP="002D3B61">
      <w:pPr>
        <w:ind w:left="4820"/>
        <w:contextualSpacing/>
        <w:jc w:val="both"/>
        <w:rPr>
          <w:sz w:val="28"/>
          <w:szCs w:val="28"/>
          <w:u w:val="single"/>
        </w:rPr>
      </w:pPr>
      <w:r>
        <w:t>від 25.03.2025 № 22/20/1911/С04</w:t>
      </w:r>
    </w:p>
    <w:p w:rsidR="009E0FB7" w:rsidRPr="00AE4B25" w:rsidRDefault="009E0FB7" w:rsidP="009E0FB7">
      <w:pPr>
        <w:ind w:left="4536"/>
        <w:contextualSpacing/>
        <w:jc w:val="both"/>
        <w:rPr>
          <w:b/>
          <w:sz w:val="28"/>
          <w:szCs w:val="28"/>
        </w:rPr>
      </w:pPr>
    </w:p>
    <w:p w:rsidR="0058158D" w:rsidRDefault="0058158D">
      <w:pPr>
        <w:contextualSpacing/>
        <w:jc w:val="center"/>
      </w:pPr>
      <w:r>
        <w:rPr>
          <w:b/>
          <w:sz w:val="28"/>
          <w:szCs w:val="28"/>
        </w:rPr>
        <w:t>ІНФОРМАЦІЙНА КАРТКА</w:t>
      </w:r>
    </w:p>
    <w:p w:rsidR="0058158D" w:rsidRDefault="0058158D">
      <w:pPr>
        <w:contextualSpacing/>
        <w:jc w:val="center"/>
      </w:pPr>
      <w:r>
        <w:rPr>
          <w:b/>
          <w:sz w:val="28"/>
          <w:szCs w:val="28"/>
        </w:rPr>
        <w:t>адміністративної послуги</w:t>
      </w:r>
    </w:p>
    <w:p w:rsidR="0058158D" w:rsidRDefault="0058158D">
      <w:pPr>
        <w:contextualSpacing/>
        <w:jc w:val="center"/>
        <w:rPr>
          <w:b/>
          <w:sz w:val="28"/>
          <w:szCs w:val="28"/>
        </w:rPr>
      </w:pPr>
    </w:p>
    <w:p w:rsidR="0058158D" w:rsidRDefault="0058158D">
      <w:pPr>
        <w:contextualSpacing/>
        <w:jc w:val="center"/>
      </w:pPr>
      <w:r>
        <w:rPr>
          <w:b/>
          <w:sz w:val="28"/>
          <w:szCs w:val="28"/>
        </w:rPr>
        <w:t>«Видача ліцензії на провадження професійної діяльності на ринках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p w:rsidR="0058158D" w:rsidRDefault="0058158D">
      <w:pPr>
        <w:contextualSpacing/>
        <w:jc w:val="center"/>
        <w:rPr>
          <w:b/>
          <w:sz w:val="28"/>
          <w:szCs w:val="28"/>
        </w:rPr>
      </w:pPr>
    </w:p>
    <w:tbl>
      <w:tblPr>
        <w:tblW w:w="5006" w:type="pct"/>
        <w:tblInd w:w="-5" w:type="dxa"/>
        <w:tblLayout w:type="fixed"/>
        <w:tblLook w:val="0000" w:firstRow="0" w:lastRow="0" w:firstColumn="0" w:lastColumn="0" w:noHBand="0" w:noVBand="0"/>
      </w:tblPr>
      <w:tblGrid>
        <w:gridCol w:w="570"/>
        <w:gridCol w:w="2047"/>
        <w:gridCol w:w="6738"/>
      </w:tblGrid>
      <w:tr w:rsidR="0058158D" w:rsidTr="002D3B61">
        <w:trPr>
          <w:trHeight w:val="43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158D" w:rsidRDefault="0058158D">
            <w:pPr>
              <w:contextualSpacing/>
              <w:jc w:val="center"/>
            </w:pPr>
            <w:r>
              <w:rPr>
                <w:b/>
              </w:rPr>
              <w:t>Інформація про суб’єкта надання адміністративної послуги</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1</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Найменування суб’єкта</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contextualSpacing/>
              <w:jc w:val="both"/>
            </w:pPr>
            <w:r>
              <w:rPr>
                <w:color w:val="000000"/>
                <w:shd w:val="clear" w:color="auto" w:fill="FFFFFF"/>
                <w:lang w:eastAsia="ru-RU"/>
              </w:rPr>
              <w:t>Національна комісія з цінних паперів та фондового ринку</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2</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Місцезнаходження</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contextualSpacing/>
              <w:jc w:val="both"/>
            </w:pPr>
            <w:r>
              <w:rPr>
                <w:color w:val="000000"/>
              </w:rPr>
              <w:t>01010, м. Київ, вул. Князів Острозьких, 8, к. 30</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3</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 xml:space="preserve">Режим роботи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contextualSpacing/>
              <w:jc w:val="both"/>
            </w:pPr>
            <w:r>
              <w:rPr>
                <w:color w:val="000000"/>
              </w:rPr>
              <w:t xml:space="preserve">Понеділок – четвер з 9:00 до 18:00; </w:t>
            </w:r>
          </w:p>
          <w:p w:rsidR="0058158D" w:rsidRDefault="0058158D">
            <w:pPr>
              <w:contextualSpacing/>
              <w:jc w:val="both"/>
            </w:pPr>
            <w:r>
              <w:rPr>
                <w:color w:val="000000"/>
              </w:rPr>
              <w:t>п’ятниця з 9:00 до 16:45;</w:t>
            </w:r>
          </w:p>
          <w:p w:rsidR="0058158D" w:rsidRDefault="0058158D">
            <w:pPr>
              <w:contextualSpacing/>
              <w:jc w:val="both"/>
            </w:pPr>
            <w:r>
              <w:rPr>
                <w:color w:val="000000"/>
              </w:rPr>
              <w:t>обідня перерва з 13:00 до 13:45 .</w:t>
            </w:r>
          </w:p>
        </w:tc>
      </w:tr>
      <w:tr w:rsidR="009E0FB7" w:rsidTr="002D3B61">
        <w:tc>
          <w:tcPr>
            <w:tcW w:w="570" w:type="dxa"/>
            <w:tcBorders>
              <w:top w:val="single" w:sz="4" w:space="0" w:color="000000"/>
              <w:left w:val="single" w:sz="4" w:space="0" w:color="000000"/>
              <w:bottom w:val="single" w:sz="4" w:space="0" w:color="000000"/>
            </w:tcBorders>
            <w:shd w:val="clear" w:color="auto" w:fill="auto"/>
          </w:tcPr>
          <w:p w:rsidR="009E0FB7" w:rsidRDefault="009E0FB7" w:rsidP="009E0FB7">
            <w:pPr>
              <w:contextualSpacing/>
              <w:jc w:val="both"/>
            </w:pPr>
            <w:r>
              <w:t>4</w:t>
            </w:r>
          </w:p>
        </w:tc>
        <w:tc>
          <w:tcPr>
            <w:tcW w:w="2047" w:type="dxa"/>
            <w:tcBorders>
              <w:top w:val="single" w:sz="4" w:space="0" w:color="000000"/>
              <w:left w:val="single" w:sz="4" w:space="0" w:color="000000"/>
              <w:bottom w:val="single" w:sz="4" w:space="0" w:color="000000"/>
            </w:tcBorders>
            <w:shd w:val="clear" w:color="auto" w:fill="auto"/>
          </w:tcPr>
          <w:p w:rsidR="009E0FB7" w:rsidRDefault="009E0FB7" w:rsidP="009E0FB7">
            <w:pPr>
              <w:contextualSpacing/>
              <w:jc w:val="both"/>
            </w:pPr>
            <w:r>
              <w:t xml:space="preserve">Телефон/факс (довідки), адреса електронної пошти та </w:t>
            </w:r>
            <w:r>
              <w:rPr>
                <w:rStyle w:val="spelle"/>
              </w:rPr>
              <w:t>вебсайт</w:t>
            </w:r>
            <w:r>
              <w:t xml:space="preserve">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9E0FB7" w:rsidRDefault="009E0FB7" w:rsidP="009E0FB7">
            <w:pPr>
              <w:contextualSpacing/>
              <w:jc w:val="both"/>
            </w:pPr>
            <w:r>
              <w:t xml:space="preserve">Телефон: (044) </w:t>
            </w:r>
            <w:r w:rsidRPr="005C7FC7">
              <w:t>280-85-95</w:t>
            </w:r>
          </w:p>
          <w:p w:rsidR="009E0FB7" w:rsidRDefault="009E0FB7" w:rsidP="009E0FB7">
            <w:pPr>
              <w:contextualSpacing/>
              <w:jc w:val="both"/>
            </w:pPr>
            <w:r>
              <w:t xml:space="preserve">Вебсайт: </w:t>
            </w:r>
            <w:hyperlink r:id="rId7" w:history="1">
              <w:r>
                <w:rPr>
                  <w:rStyle w:val="a4"/>
                </w:rPr>
                <w:t>https://www.nssmc.gov.ua/</w:t>
              </w:r>
            </w:hyperlink>
          </w:p>
          <w:p w:rsidR="009E0FB7" w:rsidRPr="00523932" w:rsidRDefault="009E0FB7" w:rsidP="009E0FB7">
            <w:pPr>
              <w:jc w:val="both"/>
            </w:pPr>
            <w:r>
              <w:t xml:space="preserve">Засоби комплексної інформаційної системи (КІС) </w:t>
            </w:r>
            <w:hyperlink r:id="rId8" w:history="1">
              <w:r>
                <w:rPr>
                  <w:rStyle w:val="a4"/>
                </w:rPr>
                <w:t>https://services.nssmc.gov.ua</w:t>
              </w:r>
            </w:hyperlink>
          </w:p>
        </w:tc>
      </w:tr>
      <w:tr w:rsidR="0058158D" w:rsidTr="002D3B61">
        <w:trPr>
          <w:trHeight w:val="42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158D" w:rsidRDefault="0058158D">
            <w:pPr>
              <w:contextualSpacing/>
              <w:jc w:val="center"/>
            </w:pPr>
            <w:r>
              <w:rPr>
                <w:b/>
                <w:highlight w:val="white"/>
              </w:rPr>
              <w:t>Нормативні акти, якими регламентується надання адміністративної послуги</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5</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Закони України</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80365C">
            <w:pPr>
              <w:pStyle w:val="ac"/>
              <w:spacing w:before="0" w:after="0"/>
              <w:ind w:firstLine="227"/>
              <w:contextualSpacing/>
              <w:jc w:val="both"/>
            </w:pPr>
            <w:hyperlink r:id="rId9" w:anchor="_blank" w:history="1">
              <w:r w:rsidR="0058158D">
                <w:rPr>
                  <w:rStyle w:val="a4"/>
                  <w:color w:val="auto"/>
                  <w:u w:val="none"/>
                </w:rPr>
                <w:t>Закон України «Про ринки капіталу та організовані товарні ринки»</w:t>
              </w:r>
            </w:hyperlink>
            <w:r w:rsidR="0058158D">
              <w:t>;</w:t>
            </w:r>
          </w:p>
          <w:p w:rsidR="0058158D" w:rsidRDefault="0058158D">
            <w:pPr>
              <w:pStyle w:val="ac"/>
              <w:spacing w:before="0" w:after="0"/>
              <w:ind w:firstLine="227"/>
              <w:contextualSpacing/>
              <w:jc w:val="both"/>
            </w:pPr>
            <w:r>
              <w:t>Закон України «Про державне регулювання ринків капіталу та організованих товарних ринків»;</w:t>
            </w:r>
          </w:p>
          <w:p w:rsidR="0058158D" w:rsidRDefault="0058158D">
            <w:pPr>
              <w:pStyle w:val="ac"/>
              <w:spacing w:before="0" w:after="0"/>
              <w:ind w:firstLine="227"/>
              <w:contextualSpacing/>
              <w:jc w:val="both"/>
            </w:pPr>
            <w:r>
              <w:t>Закон України «Про інститути спільного інвестування»;</w:t>
            </w:r>
          </w:p>
          <w:p w:rsidR="0058158D" w:rsidRDefault="0058158D">
            <w:pPr>
              <w:pStyle w:val="ac"/>
              <w:spacing w:before="0" w:after="0"/>
              <w:ind w:firstLine="227"/>
              <w:contextualSpacing/>
              <w:jc w:val="both"/>
            </w:pPr>
            <w:r>
              <w:t xml:space="preserve">Закон України </w:t>
            </w:r>
            <w:r>
              <w:rPr>
                <w:bCs/>
                <w:shd w:val="clear" w:color="auto" w:fill="FFFFFF"/>
              </w:rPr>
              <w:t>«Про фінансово-кредитні механізми і управління майном при будівництві житла та операціях з нерухомістю</w:t>
            </w:r>
            <w:r>
              <w:rPr>
                <w:bCs/>
                <w:shd w:val="clear" w:color="auto" w:fill="FFFFFF"/>
                <w:lang w:val="ru-RU"/>
              </w:rPr>
              <w:t>;</w:t>
            </w:r>
          </w:p>
          <w:p w:rsidR="0058158D" w:rsidRDefault="0058158D">
            <w:pPr>
              <w:pStyle w:val="ac"/>
              <w:spacing w:before="0" w:after="0"/>
              <w:ind w:firstLine="227"/>
              <w:contextualSpacing/>
              <w:jc w:val="both"/>
            </w:pPr>
            <w:r>
              <w:t>Закон України «Про недержавне пенсійне забезпечення»;</w:t>
            </w:r>
          </w:p>
          <w:p w:rsidR="0058158D" w:rsidRDefault="0058158D">
            <w:pPr>
              <w:pStyle w:val="ac"/>
              <w:spacing w:before="0" w:after="0"/>
              <w:ind w:firstLine="227"/>
              <w:contextualSpacing/>
              <w:jc w:val="both"/>
            </w:pPr>
            <w:r>
              <w:t>Закон України «Про адміністративну процедуру».</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6</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rPr>
                <w:shd w:val="clear" w:color="auto" w:fill="FFFFFF"/>
              </w:rPr>
              <w:t>Акти Кабінету Міністрів України</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contextualSpacing/>
              <w:jc w:val="both"/>
            </w:pP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rPr>
                <w:color w:val="000000"/>
              </w:rPr>
              <w:t>7</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rPr>
                <w:color w:val="000000"/>
                <w:shd w:val="clear" w:color="auto" w:fill="FFFFFF"/>
              </w:rPr>
              <w:t>Нормативні документи НКЦПФР</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ind w:firstLine="227"/>
              <w:contextualSpacing/>
              <w:jc w:val="both"/>
            </w:pPr>
            <w:r>
              <w:rPr>
                <w:color w:val="000000"/>
              </w:rPr>
              <w:t>Рішення від 13.06.2022 № 620 «Про затвердження Розмірів плати за реєстраційні дії щодо учасників ринків капіталу та інших осіб», зареєстроване у Міністерстві юстиції України 10.08.2022 за № 909/38245</w:t>
            </w:r>
            <w:r w:rsidR="00262A02">
              <w:rPr>
                <w:color w:val="000000"/>
              </w:rPr>
              <w:t xml:space="preserve"> (зі змінами)</w:t>
            </w:r>
            <w:r>
              <w:rPr>
                <w:color w:val="000000"/>
              </w:rPr>
              <w:t>;</w:t>
            </w:r>
          </w:p>
          <w:p w:rsidR="0058158D" w:rsidRDefault="0058158D">
            <w:pPr>
              <w:ind w:firstLine="227"/>
              <w:contextualSpacing/>
              <w:jc w:val="both"/>
            </w:pPr>
            <w:r>
              <w:rPr>
                <w:color w:val="000000"/>
              </w:rPr>
              <w:t>Порядок видачі, зупинення дії та анулювання ліцензії на провадження професійної діяльності на ринках капіталу, затверджений рішенням НКЦПФР від 21.10.2021 № 982, зареєстрованим в Міністерстві юстиції України 03.12.2021 за № 1563/37185</w:t>
            </w:r>
            <w:r w:rsidR="00262A02">
              <w:rPr>
                <w:color w:val="000000"/>
              </w:rPr>
              <w:t xml:space="preserve"> (зі змінами)</w:t>
            </w:r>
            <w:r>
              <w:rPr>
                <w:color w:val="000000"/>
              </w:rPr>
              <w:t>;</w:t>
            </w:r>
          </w:p>
          <w:p w:rsidR="0058158D" w:rsidRDefault="0058158D">
            <w:pPr>
              <w:ind w:firstLine="227"/>
              <w:contextualSpacing/>
              <w:jc w:val="both"/>
            </w:pPr>
            <w:r>
              <w:rPr>
                <w:color w:val="000000"/>
              </w:rPr>
              <w:t xml:space="preserve">Ліцензійні умови провадження професійної діяльності на ринках капіталу – діяльності з управління активами </w:t>
            </w:r>
            <w:r>
              <w:rPr>
                <w:color w:val="000000"/>
              </w:rPr>
              <w:lastRenderedPageBreak/>
              <w:t>інституційних інвесторів, затверджені рішенням НКЦПФР від 22.02.2022 № 92, зареєстрованим в Міністерстві юстиції України 28.04.2022 за № 465/37801;</w:t>
            </w:r>
          </w:p>
          <w:p w:rsidR="0058158D" w:rsidRDefault="0058158D">
            <w:pPr>
              <w:ind w:firstLine="227"/>
              <w:contextualSpacing/>
              <w:jc w:val="both"/>
            </w:pPr>
            <w:r>
              <w:rPr>
                <w:color w:val="000000"/>
              </w:rPr>
              <w:t>Ліцензійні умови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затверджені рішенням НКЦПФР від 22.02.2022 № 135, зареєстрованим в Міністерстві юстиції України 10.03.2022 за № 319/37655</w:t>
            </w:r>
            <w:r w:rsidR="00262A02">
              <w:rPr>
                <w:color w:val="000000"/>
              </w:rPr>
              <w:t xml:space="preserve"> </w:t>
            </w:r>
            <w:r w:rsidR="00EB15EF">
              <w:rPr>
                <w:color w:val="000000"/>
              </w:rPr>
              <w:t>(зі змінами)</w:t>
            </w:r>
            <w:r>
              <w:rPr>
                <w:color w:val="000000"/>
              </w:rPr>
              <w:t>;</w:t>
            </w:r>
          </w:p>
          <w:p w:rsidR="0058158D" w:rsidRDefault="0058158D">
            <w:pPr>
              <w:ind w:firstLine="227"/>
              <w:contextualSpacing/>
              <w:jc w:val="both"/>
            </w:pPr>
            <w:r>
              <w:rPr>
                <w:color w:val="000000"/>
              </w:rPr>
              <w:t>Ліцензійні умови провадження професійної діяльності на ринках капіталу – діяльності з адміністрування недержавних пенсійних фондів, затверджених Рішенням Комісії № 1122 від 26.08.2022, зареєстрованим в Міністерстві юстиції України за № 1186/38522 06.10.2022 (зі змінами);</w:t>
            </w:r>
          </w:p>
          <w:p w:rsidR="0058158D" w:rsidRDefault="0058158D">
            <w:pPr>
              <w:ind w:firstLine="227"/>
              <w:contextualSpacing/>
              <w:jc w:val="both"/>
            </w:pPr>
            <w:r>
              <w:t>Порядок надання адміністративних послуг Національною комісією з цінних паперів та фондового ринку, затверджений рішенням Національної комісії з цінних паперів та фондового ринку від 17.11.2021 № 1124, зареєстрований в Міністерстві юстиції України 03.02.2022 за № 147/37483</w:t>
            </w:r>
            <w:r w:rsidR="00EB15EF">
              <w:t xml:space="preserve"> </w:t>
            </w:r>
            <w:r w:rsidR="00EB15EF">
              <w:rPr>
                <w:color w:val="000000"/>
              </w:rPr>
              <w:t>(зі змінами)</w:t>
            </w:r>
            <w:r>
              <w:rPr>
                <w:color w:val="000000"/>
              </w:rPr>
              <w:t>.</w:t>
            </w:r>
          </w:p>
        </w:tc>
      </w:tr>
      <w:tr w:rsidR="0058158D" w:rsidTr="002D3B61">
        <w:trPr>
          <w:trHeight w:val="47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8158D" w:rsidRDefault="0058158D">
            <w:pPr>
              <w:contextualSpacing/>
              <w:jc w:val="center"/>
            </w:pPr>
            <w:r>
              <w:rPr>
                <w:b/>
                <w:color w:val="000000"/>
              </w:rPr>
              <w:lastRenderedPageBreak/>
              <w:t>Умови отримання адміністративної послуги</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8</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Перелік документів, необхідних для отримання адміністративної послуги, вимоги до них</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ind w:firstLine="227"/>
              <w:contextualSpacing/>
              <w:jc w:val="both"/>
            </w:pPr>
            <w:bookmarkStart w:id="1" w:name="n242"/>
            <w:bookmarkStart w:id="2" w:name="n1119"/>
            <w:bookmarkEnd w:id="1"/>
            <w:bookmarkEnd w:id="2"/>
            <w:r>
              <w:rPr>
                <w:highlight w:val="white"/>
              </w:rPr>
              <w:t>Для отримання ліцензії заявник надає до НКЦПФР офіційним каналом зв’язку в електронній формі з використанням електронного підпису чи печатки, що базується на кваліфікованому сертифікаті відкритого ключа відповідно до вимог законодавства про електронний документообіг та електронні довірчі послуги, складені українською мовою заяву про видачу ліцензії, примірник переліку (опису) документів, що подаються на видачу ліцензії, та інші документи, що додаються до заяви про видачу ліцензії згідно ліцензійних умов. У переліку (описі) документів заявник зазначає, який документ, що надається із заявою про видачу ліцензії, належить до конфіденційної інформації.</w:t>
            </w:r>
          </w:p>
          <w:p w:rsidR="0058158D" w:rsidRDefault="0058158D">
            <w:pPr>
              <w:pStyle w:val="rvps2"/>
              <w:shd w:val="clear" w:color="auto" w:fill="FFFFFF"/>
              <w:spacing w:before="0" w:after="0"/>
              <w:ind w:firstLine="227"/>
              <w:contextualSpacing/>
              <w:jc w:val="both"/>
            </w:pPr>
            <w:bookmarkStart w:id="3" w:name="n74"/>
            <w:bookmarkEnd w:id="3"/>
            <w:r>
              <w:t>Вимоги до електронної форми відомостей та/або документів, у тому числі описи розділів та схем XML файлів, визначаються окремим документом нормативно-технічного характеру НКЦПФР з урахуванням вимог, визначених </w:t>
            </w:r>
            <w:hyperlink r:id="rId10" w:anchor="_blank" w:history="1">
              <w:r>
                <w:rPr>
                  <w:rStyle w:val="a4"/>
                  <w:color w:val="auto"/>
                </w:rPr>
                <w:t>Вимогами до форматів даних електронного документообігу в органах державної влади</w:t>
              </w:r>
            </w:hyperlink>
            <w:r>
              <w:t>, затвердженими наказом Державного агентства з питань електронного урядування України від 07 вересня 2018 року № 60, зареєстрованим у Міністерстві юстиції України 20 листопада 2018 року за № 1309/32761.</w:t>
            </w:r>
          </w:p>
          <w:p w:rsidR="0058158D" w:rsidRDefault="0058158D">
            <w:pPr>
              <w:ind w:firstLine="227"/>
              <w:contextualSpacing/>
              <w:jc w:val="both"/>
              <w:rPr>
                <w:b/>
              </w:rPr>
            </w:pPr>
            <w:bookmarkStart w:id="4" w:name="n86"/>
            <w:bookmarkStart w:id="5" w:name="n84"/>
            <w:bookmarkStart w:id="6" w:name="n83"/>
            <w:bookmarkStart w:id="7" w:name="n82"/>
            <w:bookmarkStart w:id="8" w:name="n81"/>
            <w:bookmarkStart w:id="9" w:name="n79"/>
            <w:bookmarkEnd w:id="4"/>
            <w:bookmarkEnd w:id="5"/>
            <w:bookmarkEnd w:id="6"/>
            <w:bookmarkEnd w:id="7"/>
            <w:bookmarkEnd w:id="8"/>
            <w:bookmarkEnd w:id="9"/>
          </w:p>
          <w:p w:rsidR="0058158D" w:rsidRDefault="0058158D">
            <w:pPr>
              <w:ind w:firstLine="227"/>
              <w:contextualSpacing/>
              <w:jc w:val="both"/>
            </w:pPr>
            <w:r>
              <w:rPr>
                <w:b/>
              </w:rPr>
              <w:t xml:space="preserve">Для отримання ліцензії на провадження професійної діяльності на ринках капіталу - діяльності з управління активами інституційних інвесторів (діяльності з управління активами) заявник відповідно до </w:t>
            </w:r>
            <w:r>
              <w:t xml:space="preserve">Ліцензійних умов провадження професійної діяльності на ринках капіталу – діяльності з управління активами інституційних інвесторів, затверджених рішенням НКЦПФР від 22.02.2022 № 92, зареєстрованим в Міністерстві юстиції України 28.04.2022 за № 465/37801 (режим доступу </w:t>
            </w:r>
            <w:hyperlink r:id="rId11" w:anchor="Text" w:history="1">
              <w:r>
                <w:rPr>
                  <w:rStyle w:val="a4"/>
                </w:rPr>
                <w:t>https://zakon.rada.gov.ua/laws/show/z0465-22#Text</w:t>
              </w:r>
            </w:hyperlink>
            <w:r>
              <w:t xml:space="preserve">) </w:t>
            </w:r>
            <w:r>
              <w:rPr>
                <w:b/>
              </w:rPr>
              <w:t>подає</w:t>
            </w:r>
            <w:r>
              <w:rPr>
                <w:b/>
                <w:bCs/>
              </w:rPr>
              <w:t xml:space="preserve"> наступні документи</w:t>
            </w:r>
            <w:r>
              <w:t>:</w:t>
            </w:r>
          </w:p>
          <w:p w:rsidR="0058158D" w:rsidRDefault="0058158D">
            <w:pPr>
              <w:ind w:firstLine="227"/>
              <w:contextualSpacing/>
              <w:jc w:val="both"/>
            </w:pPr>
            <w:r>
              <w:lastRenderedPageBreak/>
              <w:t>1) заяву про видачу ліцензії (додаток 2) з переліком (описом) документів, що подаються на видачу ліцензії (додаток 3);</w:t>
            </w:r>
          </w:p>
          <w:p w:rsidR="0058158D" w:rsidRDefault="0058158D">
            <w:pPr>
              <w:ind w:firstLine="227"/>
              <w:contextualSpacing/>
              <w:jc w:val="both"/>
            </w:pPr>
            <w:r>
              <w:t>2) подання саморегулівної організації, яка об’єднує професійних учасників ринків капіталу, що провадять професійну діяльність на ринках капіталу - діяльність з управління активами інституційних інвесторів (за умови реєстрації НКЦПФР об’єднання професійних учасників ринків капіталу як саморегулівної організації за таким видом професійної діяльності);</w:t>
            </w:r>
          </w:p>
          <w:p w:rsidR="0058158D" w:rsidRDefault="0058158D">
            <w:pPr>
              <w:ind w:firstLine="227"/>
              <w:contextualSpacing/>
              <w:jc w:val="both"/>
            </w:pPr>
            <w:r>
              <w:t>3) копія статуту заявника, засвідчену підписом керівника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 у заяві про видачу ліцензії (додаток 3));</w:t>
            </w:r>
          </w:p>
          <w:p w:rsidR="0058158D" w:rsidRDefault="0058158D">
            <w:pPr>
              <w:ind w:firstLine="227"/>
              <w:contextualSpacing/>
              <w:jc w:val="both"/>
            </w:pPr>
            <w:r>
              <w:t>4) відомості, що містять інформацію про:</w:t>
            </w:r>
          </w:p>
          <w:p w:rsidR="0058158D" w:rsidRDefault="0058158D">
            <w:pPr>
              <w:ind w:firstLine="227"/>
              <w:contextualSpacing/>
              <w:jc w:val="both"/>
            </w:pPr>
            <w:r>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 за формою:</w:t>
            </w:r>
          </w:p>
          <w:p w:rsidR="0058158D" w:rsidRDefault="0058158D">
            <w:pPr>
              <w:ind w:firstLine="227"/>
              <w:contextualSpacing/>
              <w:jc w:val="both"/>
            </w:pPr>
            <w:r>
              <w:t>довідки про схематичне зображення структури власності юридичної особи заявника (додаток 1);</w:t>
            </w:r>
          </w:p>
          <w:p w:rsidR="0058158D" w:rsidRDefault="0058158D">
            <w:pPr>
              <w:ind w:firstLine="227"/>
              <w:contextualSpacing/>
              <w:jc w:val="both"/>
            </w:pPr>
            <w:r>
              <w:t>довідки про асоційованих осіб фізичної особи - власника прямої істотної участі у заявнику (додаток 4);</w:t>
            </w:r>
          </w:p>
          <w:p w:rsidR="0058158D" w:rsidRDefault="0058158D">
            <w:pPr>
              <w:ind w:firstLine="227"/>
              <w:contextualSpacing/>
              <w:jc w:val="both"/>
            </w:pPr>
            <w:r>
              <w:t>власників істотної участі у заявнику - за формою:</w:t>
            </w:r>
          </w:p>
          <w:p w:rsidR="0058158D" w:rsidRDefault="0058158D">
            <w:pPr>
              <w:ind w:firstLine="227"/>
              <w:contextualSpacing/>
              <w:jc w:val="both"/>
            </w:pPr>
            <w:r>
              <w:t>анкети фізичної особи (додаток 5), що є власником істотної участі у заявнику.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ind w:firstLine="227"/>
              <w:contextualSpacing/>
              <w:jc w:val="both"/>
            </w:pPr>
            <w:r>
              <w:t>анкети юридичної особи (додаток 6), що є власником істотної участі у заявнику. Не подається якщо такою особою є держава, Національний банк України, територіальна громада;</w:t>
            </w:r>
          </w:p>
          <w:p w:rsidR="0058158D" w:rsidRDefault="0058158D">
            <w:pPr>
              <w:ind w:firstLine="227"/>
              <w:contextualSpacing/>
              <w:jc w:val="both"/>
            </w:pPr>
            <w:r>
              <w:t>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формою переліку учасників групи компаній, до якої належить заявник (додаток 7);</w:t>
            </w:r>
          </w:p>
          <w:p w:rsidR="0058158D" w:rsidRDefault="0058158D">
            <w:pPr>
              <w:ind w:firstLine="227"/>
              <w:contextualSpacing/>
              <w:jc w:val="both"/>
            </w:pPr>
            <w:r>
              <w:t>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ділову репутацію заявника за формою:</w:t>
            </w:r>
          </w:p>
          <w:p w:rsidR="0058158D" w:rsidRDefault="0058158D">
            <w:pPr>
              <w:ind w:firstLine="227"/>
              <w:contextualSpacing/>
              <w:jc w:val="both"/>
            </w:pPr>
            <w:r>
              <w:t>довідки про наглядову раду (або інший орган заявника, відповідальний за здійснення нагляду), виконавчий орган заявника (додаток 8);</w:t>
            </w:r>
          </w:p>
          <w:p w:rsidR="0058158D" w:rsidRDefault="0058158D">
            <w:pPr>
              <w:ind w:firstLine="227"/>
              <w:contextualSpacing/>
              <w:jc w:val="both"/>
            </w:pPr>
            <w:r>
              <w:lastRenderedPageBreak/>
              <w:t>анкети щодо ділової репутації фізичної особи (додаток 9)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Анкети щодо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ind w:firstLine="227"/>
              <w:contextualSpacing/>
              <w:jc w:val="both"/>
            </w:pPr>
            <w:r>
              <w:t>анкети щодо ділової репутації юридичної особи (додаток 10) - подається щодо заявника;</w:t>
            </w:r>
          </w:p>
          <w:p w:rsidR="0058158D" w:rsidRDefault="0058158D">
            <w:pPr>
              <w:ind w:firstLine="227"/>
              <w:contextualSpacing/>
              <w:jc w:val="both"/>
            </w:pPr>
            <w:r>
              <w:t>ідентифікаційні дані, ділову репутацію та професійний досвід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у формі:</w:t>
            </w:r>
          </w:p>
          <w:p w:rsidR="0058158D" w:rsidRDefault="0058158D">
            <w:pPr>
              <w:ind w:firstLine="227"/>
              <w:contextualSpacing/>
              <w:jc w:val="both"/>
            </w:pPr>
            <w:r>
              <w:t>анкети фізичної особи (додаток 5) - подається щодо контролера заявника - фізичної особи, у разі, якщо контролером є юридична особа -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ind w:firstLine="227"/>
              <w:contextualSpacing/>
              <w:jc w:val="both"/>
            </w:pPr>
            <w:r>
              <w:t>анкети юридичної особи (додаток 6) - подається щодо контролера заявника - юридичної особи. Не подається якщо контролером заявника є держава, Національний банк України, територіальна громада;</w:t>
            </w:r>
          </w:p>
          <w:p w:rsidR="0058158D" w:rsidRDefault="0058158D">
            <w:pPr>
              <w:ind w:firstLine="227"/>
              <w:contextualSpacing/>
              <w:jc w:val="both"/>
            </w:pPr>
            <w:r>
              <w:t>анкети щодо ділової репутації фізичної особи (додаток 9) - подається щодо контролера заявника - фізичної особи, у разі, якщо контролером є юридична особа -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контролера заявника - юридичної особи. Не подається якщо контролером заявника є держава, Національний банк України, територіальна громада. Анкети щодо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ind w:firstLine="227"/>
              <w:contextualSpacing/>
              <w:jc w:val="both"/>
            </w:pPr>
            <w:r>
              <w:t>анкети щодо ділової репутації юридичної особи (додаток 10)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контролера заявника. Не подається якщо контролером заявника є держава, Національний банк України, територіальна громада;</w:t>
            </w:r>
          </w:p>
          <w:p w:rsidR="0058158D" w:rsidRDefault="0058158D">
            <w:pPr>
              <w:ind w:firstLine="227"/>
              <w:contextualSpacing/>
              <w:jc w:val="both"/>
            </w:pPr>
            <w:r>
              <w:lastRenderedPageBreak/>
              <w:t>інформацію про початковий капітал заявника та джерела його походження за формою довідки про початковий капітал заявника та джерела його походження (додаток 11);</w:t>
            </w:r>
          </w:p>
          <w:p w:rsidR="0058158D" w:rsidRDefault="0058158D">
            <w:pPr>
              <w:ind w:firstLine="227"/>
              <w:contextualSpacing/>
              <w:jc w:val="both"/>
            </w:pPr>
            <w:r>
              <w:t>5) річну фінансову звітність та/або проміжну фінансову звітність з урахуванням Ліцензійних умов.</w:t>
            </w:r>
          </w:p>
          <w:p w:rsidR="0058158D" w:rsidRDefault="0058158D">
            <w:pPr>
              <w:ind w:firstLine="227"/>
              <w:contextualSpacing/>
              <w:jc w:val="both"/>
            </w:pPr>
            <w:r>
              <w:t>6) документи, що підтверджують здатність власника істотної участі у заявнику виконати обов’язок, передбачений частиною дев’ятнадцятою статті 74 Закону України «Про ринки капіталу та організовані товарні ринки».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58158D" w:rsidRDefault="0058158D">
            <w:pPr>
              <w:ind w:firstLine="227"/>
              <w:contextualSpacing/>
              <w:jc w:val="both"/>
            </w:pPr>
            <w:r>
              <w:t>7)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програмно-технічного забезпечення та приміщень, системи та засобів, що забезпечують безперервність надання послуг, які у своїй сукупності є достатніми для забезпечення провадження відповідного виду професійної діяльності на ринках капіталу згідно з вимогами законодавства, за формою:</w:t>
            </w:r>
          </w:p>
          <w:p w:rsidR="0058158D" w:rsidRDefault="0058158D">
            <w:pPr>
              <w:ind w:firstLine="227"/>
              <w:contextualSpacing/>
              <w:jc w:val="both"/>
            </w:pPr>
            <w:r>
              <w:t>схематичного зображення організаційної структури заявника із зазначенням назви, номеру, дати та органу, що затвердив/впровадив / 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w:t>
            </w:r>
          </w:p>
          <w:p w:rsidR="0058158D" w:rsidRDefault="0058158D">
            <w:pPr>
              <w:ind w:firstLine="227"/>
              <w:contextualSpacing/>
              <w:jc w:val="both"/>
            </w:pPr>
            <w:r>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(додаток 12);</w:t>
            </w:r>
          </w:p>
          <w:p w:rsidR="0058158D" w:rsidRDefault="0058158D">
            <w:pPr>
              <w:ind w:firstLine="227"/>
              <w:contextualSpacing/>
              <w:jc w:val="both"/>
            </w:pPr>
            <w:r>
              <w:t>відомостей щодо функціональних підрозділів заявника, працівники яких безпосередньо здійснюють діяльність з управління активами інституційних інвесторів (додаток 13), в частині відомостей щодо функціональних підрозділів заявника, працівники яких безпосередньо здійснюють діяльність з управління активами інституційних інвесторів (за наявності такого функціонального підрозділу);</w:t>
            </w:r>
          </w:p>
          <w:p w:rsidR="0058158D" w:rsidRDefault="0058158D">
            <w:pPr>
              <w:ind w:firstLine="227"/>
              <w:contextualSpacing/>
              <w:jc w:val="both"/>
            </w:pPr>
            <w:r>
              <w:t>довідки про відокремлені та/або спеціалізовані структурні підрозділи заявника, що провадять діяльність з управління активами інституційних інвесторів (додаток 14), щодо відокремлених та/або спеціалізованих структурних підрозділів заявника, що провадять професійну діяльність на ринках капіталу та організованих товарних ринках за їх окремими видами (за наявності такого підрозділу);</w:t>
            </w:r>
          </w:p>
          <w:p w:rsidR="0058158D" w:rsidRDefault="0058158D">
            <w:pPr>
              <w:ind w:firstLine="227"/>
              <w:contextualSpacing/>
              <w:jc w:val="both"/>
            </w:pPr>
            <w:r>
              <w:t xml:space="preserve">довідки про керівних посадових осіб, фахівців заявника та його відокремленого підрозділу, що безпосередньо здійснюють діяльність з управління активами інституційних інвесторів та сертифіковані, в установленому НКЦПФР порядку, головного бухгалтера (особи, на яку покладено ведення бухгалтерського обліку) заявника (додаток 15) щодо керівних посадових осіб, фахівців заявника та його відокремленого підрозділу, що безпосередньо здійснюють діяльність з управління активами </w:t>
            </w:r>
            <w:r>
              <w:lastRenderedPageBreak/>
              <w:t>інституційних інвесторів та сертифіковані, в установленому НКЦПФР порядку, головного бухгалтера (особи, на яку покладено ведення бухгалтерського обліку) заявника;</w:t>
            </w:r>
          </w:p>
          <w:p w:rsidR="0058158D" w:rsidRDefault="0058158D">
            <w:pPr>
              <w:ind w:firstLine="227"/>
              <w:contextualSpacing/>
              <w:jc w:val="both"/>
            </w:pPr>
            <w:r>
              <w:t>копії 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діяльності з управління активами інституційних інвесторів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у якому буде провадитись діяльність з управління активами інституційних інвесторів,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58158D" w:rsidRDefault="0058158D">
            <w:pPr>
              <w:ind w:firstLine="227"/>
              <w:contextualSpacing/>
              <w:jc w:val="both"/>
            </w:pPr>
            <w:r>
              <w:t>довідки заявника у довільній формі про наявність програмно-технічного забезпечення, що забезпечує безперервність надання послуг, які у своїй сукупності є достатніми для забезпечення виконання вимог, установлених НКЦПФР для провадження діяльності з управління активами інституційних інвесторів та для подання до НКЦПФР звітних даних та інформації в електронній формі;</w:t>
            </w:r>
          </w:p>
          <w:p w:rsidR="0058158D" w:rsidRDefault="0058158D">
            <w:pPr>
              <w:ind w:firstLine="227"/>
              <w:contextualSpacing/>
              <w:jc w:val="both"/>
            </w:pPr>
            <w:r>
              <w:t>8)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а також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8158D" w:rsidRDefault="0058158D">
            <w:pPr>
              <w:ind w:firstLine="227"/>
              <w:contextualSpacing/>
              <w:jc w:val="both"/>
            </w:pPr>
            <w:r>
              <w:t>9) внутрішні документи заявника, що регламентують провадження діяльності з управління активами інституційних інвесторів;</w:t>
            </w:r>
          </w:p>
          <w:p w:rsidR="0058158D" w:rsidRDefault="0058158D">
            <w:pPr>
              <w:ind w:firstLine="227"/>
              <w:contextualSpacing/>
              <w:jc w:val="both"/>
            </w:pPr>
            <w:r>
              <w:t>10) платіжний документ, що підтверджує внесення заявником плати за видачу ліцензії.</w:t>
            </w:r>
          </w:p>
          <w:p w:rsidR="0058158D" w:rsidRDefault="0058158D">
            <w:pPr>
              <w:ind w:firstLine="227"/>
              <w:contextualSpacing/>
              <w:jc w:val="both"/>
            </w:pPr>
          </w:p>
          <w:p w:rsidR="0058158D" w:rsidRDefault="0058158D">
            <w:pPr>
              <w:ind w:firstLine="227"/>
              <w:contextualSpacing/>
              <w:jc w:val="both"/>
            </w:pPr>
            <w:r>
              <w:t>Заявник, у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w:t>
            </w:r>
          </w:p>
          <w:p w:rsidR="0058158D" w:rsidRDefault="0058158D">
            <w:pPr>
              <w:ind w:firstLine="227"/>
              <w:contextualSpacing/>
              <w:jc w:val="both"/>
            </w:pPr>
            <w:r>
              <w:t>1) копію рішення уповноваженого органу іноземної юридичної (особи) управління іноземної юридичної особи про участь у заявнику;</w:t>
            </w:r>
          </w:p>
          <w:p w:rsidR="0058158D" w:rsidRDefault="0058158D">
            <w:pPr>
              <w:ind w:firstLine="227"/>
              <w:contextualSpacing/>
              <w:jc w:val="both"/>
            </w:pPr>
            <w:r>
              <w:t xml:space="preserve">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w:t>
            </w:r>
            <w:r>
              <w:lastRenderedPageBreak/>
              <w:t>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58158D" w:rsidRDefault="0058158D">
            <w:pPr>
              <w:ind w:firstLine="227"/>
              <w:contextualSpacing/>
              <w:jc w:val="both"/>
            </w:pPr>
            <w:r>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58158D" w:rsidRDefault="0058158D">
            <w:pPr>
              <w:ind w:firstLine="227"/>
              <w:contextualSpacing/>
              <w:jc w:val="both"/>
            </w:pPr>
            <w:r>
              <w:t>4) фінансову звітність, консолідовану і субконсолідовану фінансову звітність (у разі її складення) іноземної юридичної особи за останні три фінансові роки. (з аудиторськими звітами за наявності).</w:t>
            </w:r>
          </w:p>
          <w:p w:rsidR="0058158D" w:rsidRDefault="0058158D">
            <w:pPr>
              <w:ind w:firstLine="227"/>
              <w:contextualSpacing/>
              <w:jc w:val="both"/>
            </w:pPr>
            <w:r>
              <w:t>Якщо така юридична особа провадить господарську діяльність протягом строку, недостатнього для виконання вимог цього пункту, подається фінансова звітність за повні фінансові роки провадження такою особою господарської діяльності разом з аудиторським звітом (за наявності) та проміжна фінансова звітність (за наявності) за звітній період, що передує даті подання документів.</w:t>
            </w:r>
          </w:p>
          <w:p w:rsidR="0058158D" w:rsidRDefault="0058158D">
            <w:pPr>
              <w:ind w:firstLine="227"/>
              <w:contextualSpacing/>
              <w:jc w:val="both"/>
            </w:pPr>
            <w:r>
              <w:t>Якщо така юридична особа провадить господарську діяльність протягом строку, що є меншим за один рік, подається остання проміжна фінансова звітність, складена станом на кінець звітного періоду, що передує даті подання заяви про видачу ліцензії, разом зі звітом щодо огляду проміжної фінансової звітності (за наявності).</w:t>
            </w:r>
          </w:p>
          <w:p w:rsidR="0058158D" w:rsidRDefault="0058158D">
            <w:pPr>
              <w:ind w:firstLine="227"/>
              <w:contextualSpacing/>
              <w:jc w:val="both"/>
            </w:pPr>
          </w:p>
          <w:p w:rsidR="0058158D" w:rsidRDefault="0058158D">
            <w:pPr>
              <w:ind w:firstLine="227"/>
              <w:contextualSpacing/>
              <w:jc w:val="both"/>
            </w:pPr>
            <w:r>
              <w:t>Заявник, у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58158D" w:rsidRDefault="0058158D">
            <w:pPr>
              <w:ind w:firstLine="227"/>
              <w:contextualSpacing/>
              <w:jc w:val="both"/>
            </w:pPr>
          </w:p>
          <w:p w:rsidR="0058158D" w:rsidRDefault="0058158D">
            <w:pPr>
              <w:ind w:firstLine="227"/>
              <w:contextualSpacing/>
              <w:jc w:val="both"/>
            </w:pPr>
            <w:r>
              <w:t>Заявник, який подав будь-яку інформацію, передбачену цими Ліцензійними умовами, Національному банку України або НКЦПФР, має право не додавати таку інформацію до заяви на видачу ліцензії, зазначивши дату подачі таких документів та ідентифікаційні дані супровідного документа, за умови надання письмового запевнення, що раніше подана інформація є актуальною.</w:t>
            </w:r>
          </w:p>
          <w:p w:rsidR="0058158D" w:rsidRDefault="0058158D">
            <w:pPr>
              <w:ind w:firstLine="227"/>
              <w:contextualSpacing/>
              <w:jc w:val="both"/>
            </w:pPr>
          </w:p>
          <w:p w:rsidR="0058158D" w:rsidRDefault="0058158D">
            <w:pPr>
              <w:ind w:firstLine="227"/>
              <w:contextualSpacing/>
              <w:jc w:val="both"/>
            </w:pPr>
            <w:r>
              <w:rPr>
                <w:b/>
              </w:rPr>
              <w:t xml:space="preserve">Для отримання ліцензії на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заявник відповідно до </w:t>
            </w:r>
            <w:r>
              <w:t xml:space="preserve">Ліцензійних умов провадження професійної діяльності на ринках капіталу – діяльності з управління майном для </w:t>
            </w:r>
            <w:r>
              <w:lastRenderedPageBreak/>
              <w:t xml:space="preserve">фінансування об’єктів будівництва та/або здійснення операцій з нерухомістю, затверджених рішенням НКЦПФР від 22.02.2022 № 135, зареєстрованим в Міністерстві юстиції України 10.03.2022 за № 319/37655 (режим доступу </w:t>
            </w:r>
            <w:hyperlink r:id="rId12" w:anchor="Text" w:history="1">
              <w:r>
                <w:rPr>
                  <w:rStyle w:val="a4"/>
                </w:rPr>
                <w:t>https://zakon.rada.gov.ua/laws/show/z0319-22#Text</w:t>
              </w:r>
            </w:hyperlink>
            <w:r>
              <w:t xml:space="preserve">) </w:t>
            </w:r>
            <w:r>
              <w:rPr>
                <w:b/>
              </w:rPr>
              <w:t>подає</w:t>
            </w:r>
            <w:r>
              <w:rPr>
                <w:b/>
                <w:bCs/>
              </w:rPr>
              <w:t xml:space="preserve"> наступні документи</w:t>
            </w:r>
            <w:r>
              <w:t>:</w:t>
            </w:r>
          </w:p>
          <w:p w:rsidR="0058158D" w:rsidRDefault="0058158D">
            <w:pPr>
              <w:pStyle w:val="rvps2"/>
              <w:shd w:val="clear" w:color="auto" w:fill="FFFFFF"/>
              <w:spacing w:before="0" w:after="0"/>
              <w:ind w:firstLine="227"/>
              <w:contextualSpacing/>
              <w:jc w:val="both"/>
            </w:pPr>
            <w:r>
              <w:rPr>
                <w:color w:val="000000"/>
              </w:rPr>
              <w:t>1) заяву про видачу ліцензії (додаток 2) з переліком (описом) документів, що подаються для видачі ліцензії (додаток 3);</w:t>
            </w:r>
          </w:p>
          <w:p w:rsidR="0058158D" w:rsidRDefault="0058158D">
            <w:pPr>
              <w:pStyle w:val="rvps2"/>
              <w:shd w:val="clear" w:color="auto" w:fill="FFFFFF"/>
              <w:spacing w:before="0" w:after="0"/>
              <w:ind w:firstLine="227"/>
              <w:contextualSpacing/>
              <w:jc w:val="both"/>
            </w:pPr>
            <w:r>
              <w:rPr>
                <w:color w:val="000000"/>
              </w:rPr>
              <w:t>2) подання саморегулівної організації, яка об’єднує професійних учасників ринків капіталу, що провадять професійну діяльність на ринках капіталу - діяльність з управління майном для фінансування об’єктів будівництва та/або здійснення операцій з нерухомістю (за умови реєстрації НКЦПФР об’єднання професійних учасників ринків капіталу як саморегулівної організації за таким видом професійної діяльності);</w:t>
            </w:r>
          </w:p>
          <w:p w:rsidR="0058158D" w:rsidRDefault="0058158D">
            <w:pPr>
              <w:pStyle w:val="rvps2"/>
              <w:shd w:val="clear" w:color="auto" w:fill="FFFFFF"/>
              <w:spacing w:before="0" w:after="0"/>
              <w:ind w:firstLine="227"/>
              <w:contextualSpacing/>
              <w:jc w:val="both"/>
            </w:pPr>
            <w:r>
              <w:rPr>
                <w:color w:val="000000"/>
              </w:rPr>
              <w:t>3) копію статуту заявника, засвідчену підписом керівника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w:t>
            </w:r>
            <w:r>
              <w:rPr>
                <w:color w:val="333333"/>
              </w:rPr>
              <w:t xml:space="preserve"> </w:t>
            </w:r>
            <w:r>
              <w:rPr>
                <w:color w:val="000000"/>
              </w:rPr>
              <w:t>фізичних осіб - підприємців та громадських формувань, у заяві про видачу ліцензії (додаток 2));</w:t>
            </w:r>
          </w:p>
          <w:p w:rsidR="0058158D" w:rsidRDefault="0058158D">
            <w:pPr>
              <w:pStyle w:val="rvps2"/>
              <w:shd w:val="clear" w:color="auto" w:fill="FFFFFF"/>
              <w:spacing w:before="0" w:after="0"/>
              <w:ind w:firstLine="227"/>
              <w:contextualSpacing/>
              <w:jc w:val="both"/>
            </w:pPr>
            <w:r>
              <w:rPr>
                <w:color w:val="000000"/>
              </w:rPr>
              <w:t>4) відомості, що містять інформацію про:</w:t>
            </w:r>
          </w:p>
          <w:p w:rsidR="0058158D" w:rsidRDefault="0058158D">
            <w:pPr>
              <w:pStyle w:val="rvps2"/>
              <w:shd w:val="clear" w:color="auto" w:fill="FFFFFF"/>
              <w:spacing w:before="0" w:after="0"/>
              <w:ind w:firstLine="227"/>
              <w:contextualSpacing/>
              <w:jc w:val="both"/>
            </w:pPr>
            <w:r>
              <w:rPr>
                <w:color w:val="000000"/>
              </w:rPr>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 за формою:</w:t>
            </w:r>
          </w:p>
          <w:p w:rsidR="0058158D" w:rsidRDefault="0058158D">
            <w:pPr>
              <w:pStyle w:val="rvps2"/>
              <w:shd w:val="clear" w:color="auto" w:fill="FFFFFF"/>
              <w:spacing w:before="0" w:after="0"/>
              <w:ind w:firstLine="227"/>
              <w:contextualSpacing/>
              <w:jc w:val="both"/>
            </w:pPr>
            <w:r>
              <w:rPr>
                <w:color w:val="000000"/>
              </w:rPr>
              <w:t>довідки про схематичне зображення структури власності юридичної особи - заявника (додаток 1);</w:t>
            </w:r>
          </w:p>
          <w:p w:rsidR="0058158D" w:rsidRDefault="0058158D">
            <w:pPr>
              <w:pStyle w:val="rvps2"/>
              <w:shd w:val="clear" w:color="auto" w:fill="FFFFFF"/>
              <w:spacing w:before="0" w:after="0"/>
              <w:ind w:firstLine="227"/>
              <w:contextualSpacing/>
              <w:jc w:val="both"/>
            </w:pPr>
            <w:r>
              <w:rPr>
                <w:color w:val="000000"/>
              </w:rPr>
              <w:t>довідки про асоційованих осіб фізичної особи - власника з прямою істотною участю у заявника (додаток 4);</w:t>
            </w:r>
          </w:p>
          <w:p w:rsidR="0058158D" w:rsidRDefault="0058158D">
            <w:pPr>
              <w:pStyle w:val="rvps2"/>
              <w:shd w:val="clear" w:color="auto" w:fill="FFFFFF"/>
              <w:spacing w:before="0" w:after="0"/>
              <w:ind w:firstLine="227"/>
              <w:contextualSpacing/>
              <w:jc w:val="both"/>
            </w:pPr>
            <w:r>
              <w:rPr>
                <w:color w:val="000000"/>
              </w:rPr>
              <w:t>власників істотної участі у заявнику - за формою:</w:t>
            </w:r>
          </w:p>
          <w:p w:rsidR="0058158D" w:rsidRDefault="0058158D">
            <w:pPr>
              <w:pStyle w:val="rvps2"/>
              <w:shd w:val="clear" w:color="auto" w:fill="FFFFFF"/>
              <w:spacing w:before="0" w:after="0"/>
              <w:ind w:firstLine="227"/>
              <w:contextualSpacing/>
              <w:jc w:val="both"/>
            </w:pPr>
            <w:r>
              <w:rPr>
                <w:color w:val="000000"/>
              </w:rPr>
              <w:t>анкети фізичної особи (додаток 5), що є власником істотної участі у заявнику.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юридичної особи (додаток 6), що є власником істотної участі у заявнику. Не подається якщо такою особою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r>
              <w:rPr>
                <w:color w:val="000000"/>
              </w:rPr>
              <w:t>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формою переліку учасників групи компаній, до якої належить заявник (додаток 7);</w:t>
            </w:r>
          </w:p>
          <w:p w:rsidR="0058158D" w:rsidRDefault="0058158D">
            <w:pPr>
              <w:pStyle w:val="rvps2"/>
              <w:shd w:val="clear" w:color="auto" w:fill="FFFFFF"/>
              <w:spacing w:before="0" w:after="0"/>
              <w:ind w:firstLine="227"/>
              <w:contextualSpacing/>
              <w:jc w:val="both"/>
            </w:pPr>
            <w:r>
              <w:rPr>
                <w:color w:val="000000"/>
              </w:rPr>
              <w:t xml:space="preserve">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w:t>
            </w:r>
            <w:r>
              <w:rPr>
                <w:color w:val="000000"/>
              </w:rPr>
              <w:lastRenderedPageBreak/>
              <w:t>голови та членів наглядової ради (або іншого органу, відповідального за здійснення нагляду) заявника, ділову репутацію заявника за формою:</w:t>
            </w:r>
          </w:p>
          <w:p w:rsidR="0058158D" w:rsidRDefault="0058158D">
            <w:pPr>
              <w:pStyle w:val="rvps2"/>
              <w:shd w:val="clear" w:color="auto" w:fill="FFFFFF"/>
              <w:spacing w:before="0" w:after="0"/>
              <w:ind w:firstLine="227"/>
              <w:contextualSpacing/>
              <w:jc w:val="both"/>
            </w:pPr>
            <w:r>
              <w:rPr>
                <w:color w:val="000000"/>
              </w:rPr>
              <w:t>анкети юридичної особи (додаток 6) - подається щодо заявника;</w:t>
            </w:r>
          </w:p>
          <w:p w:rsidR="0058158D" w:rsidRDefault="0058158D">
            <w:pPr>
              <w:pStyle w:val="rvps2"/>
              <w:shd w:val="clear" w:color="auto" w:fill="FFFFFF"/>
              <w:spacing w:before="0" w:after="0"/>
              <w:ind w:firstLine="227"/>
              <w:contextualSpacing/>
              <w:jc w:val="both"/>
            </w:pPr>
            <w:r>
              <w:rPr>
                <w:color w:val="000000"/>
              </w:rPr>
              <w:t>довідки про персональний склад наглядової ради (або іншого органу, відповідального за здійснення нагляду юридичної особи), виконавчого органу заявника (додаток 8);</w:t>
            </w:r>
          </w:p>
          <w:p w:rsidR="0058158D" w:rsidRDefault="0058158D">
            <w:pPr>
              <w:pStyle w:val="rvps2"/>
              <w:shd w:val="clear" w:color="auto" w:fill="FFFFFF"/>
              <w:spacing w:before="0" w:after="0"/>
              <w:ind w:firstLine="227"/>
              <w:contextualSpacing/>
              <w:jc w:val="both"/>
            </w:pPr>
            <w:r>
              <w:rPr>
                <w:color w:val="000000"/>
              </w:rPr>
              <w:t>анкети фізичної особи (додаток 5)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щодо ділової репутації фізичної особи (додаток 9)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щодо ділової репутації юридичної особи (додаток 10) - подається щодо заявника;</w:t>
            </w:r>
          </w:p>
          <w:p w:rsidR="0058158D" w:rsidRDefault="0058158D">
            <w:pPr>
              <w:pStyle w:val="rvps2"/>
              <w:shd w:val="clear" w:color="auto" w:fill="FFFFFF"/>
              <w:spacing w:before="0" w:after="0"/>
              <w:ind w:firstLine="227"/>
              <w:contextualSpacing/>
              <w:jc w:val="both"/>
            </w:pPr>
            <w:r>
              <w:rPr>
                <w:color w:val="000000"/>
              </w:rPr>
              <w:t>ідентифікаційні дані, ділову репутацію та професійний досвід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у формі:</w:t>
            </w:r>
          </w:p>
          <w:p w:rsidR="0058158D" w:rsidRDefault="0058158D">
            <w:pPr>
              <w:pStyle w:val="rvps2"/>
              <w:shd w:val="clear" w:color="auto" w:fill="FFFFFF"/>
              <w:spacing w:before="0" w:after="0"/>
              <w:ind w:firstLine="227"/>
              <w:contextualSpacing/>
              <w:jc w:val="both"/>
            </w:pPr>
            <w:r>
              <w:rPr>
                <w:color w:val="000000"/>
              </w:rPr>
              <w:t>анкети фізичної особи (додаток 5) - подається щодо контролера заявника - фізичної особи, у разі, якщо контролером є юридична особа -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юридичної особи (додаток 6) - подається щодо контролера заявника - юридичної особи. Не подається якщо контролером заявника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r>
              <w:rPr>
                <w:color w:val="000000"/>
              </w:rPr>
              <w:t>анкети щодо ділової репутації фізичної особи, яка є контролером заявника (додаток 11) - подається щодо контролера заявника - фізичної особи.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lastRenderedPageBreak/>
              <w:t>анкети щодо ділової репутації фізичної особи (додаток 9) - подається щодо контролера заявника - фізичної особи, у разі, якщо контролером є юридична особа -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контролера заявника - юридичної особи. Не подається якщо контролером заявника є держава, Національний банк України, територіальна громада.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щодо ділової репутації юридичної особи (додаток 10)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контролера заявника. Не подається якщо контролером заявника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r>
              <w:rPr>
                <w:color w:val="000000"/>
              </w:rPr>
              <w:t>початковий капітал заявника та джерела його походження за формою анкети щодо фінансового стану заявника (додаток 12);</w:t>
            </w:r>
          </w:p>
          <w:p w:rsidR="0058158D" w:rsidRDefault="0058158D">
            <w:pPr>
              <w:pStyle w:val="ac"/>
              <w:spacing w:before="0" w:after="0"/>
              <w:ind w:firstLine="227"/>
              <w:contextualSpacing/>
              <w:jc w:val="both"/>
            </w:pPr>
            <w:r>
              <w:rPr>
                <w:color w:val="000000"/>
              </w:rPr>
              <w:t>5) річну фінансову звітність та/або проміжну фінансову звітність з урахуванням Ліцензійних умов.</w:t>
            </w:r>
          </w:p>
          <w:p w:rsidR="0058158D" w:rsidRDefault="0058158D">
            <w:pPr>
              <w:pStyle w:val="ac"/>
              <w:spacing w:before="0" w:after="0"/>
              <w:ind w:firstLine="227"/>
              <w:contextualSpacing/>
              <w:jc w:val="both"/>
            </w:pPr>
            <w:r>
              <w:rPr>
                <w:color w:val="000000"/>
              </w:rPr>
              <w:t>6) документи що підтверджують здатність власника істотної участі у заявнику виконати обов’язок, передбачений частиною дев’ятнадцятою статті 74 Закону України «Про ринки капіталу та організовані товарні ринки». Такі документи не подаються щодо</w:t>
            </w:r>
            <w:r>
              <w:rPr>
                <w:color w:val="333333"/>
              </w:rPr>
              <w:t xml:space="preserve"> </w:t>
            </w:r>
            <w:r>
              <w:rPr>
                <w:color w:val="000000"/>
              </w:rPr>
              <w:t>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58158D" w:rsidRDefault="0058158D">
            <w:pPr>
              <w:pStyle w:val="ac"/>
              <w:spacing w:before="0" w:after="0"/>
              <w:ind w:firstLine="227"/>
              <w:contextualSpacing/>
              <w:jc w:val="both"/>
            </w:pPr>
            <w:r>
              <w:rPr>
                <w:color w:val="000000"/>
              </w:rPr>
              <w:t>7)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програмно-технічного забезпечення та приміщень, системи та засобів, що забезпечують безперервність надання послуг, які у своїй сукупності є достатніми для забезпечення провадження відповідного виду професійної діяльності на ринках капіталу згідно з вимогами законодавства, за формою:</w:t>
            </w:r>
          </w:p>
          <w:p w:rsidR="0058158D" w:rsidRDefault="0058158D">
            <w:pPr>
              <w:pStyle w:val="ac"/>
              <w:spacing w:before="0" w:after="0"/>
              <w:ind w:firstLine="227"/>
              <w:contextualSpacing/>
              <w:jc w:val="both"/>
            </w:pPr>
            <w:r>
              <w:rPr>
                <w:color w:val="000000"/>
              </w:rPr>
              <w:t>схематичного зображення організаційної структури заявника із зазначенням назви, номеру, дати та органу, що затвердив/впровадив/іншим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(структурних одиниць) відображати наявність системи внутрішнього контролю (підсистеми комплаєнсу, управління ризиками та внутрішнього аудиту);</w:t>
            </w:r>
          </w:p>
          <w:p w:rsidR="0058158D" w:rsidRDefault="0058158D">
            <w:pPr>
              <w:pStyle w:val="ac"/>
              <w:spacing w:before="0" w:after="0"/>
              <w:ind w:firstLine="227"/>
              <w:contextualSpacing/>
              <w:jc w:val="both"/>
            </w:pPr>
            <w:r>
              <w:rPr>
                <w:color w:val="000000"/>
              </w:rPr>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(додаток 13);</w:t>
            </w:r>
          </w:p>
          <w:p w:rsidR="0058158D" w:rsidRDefault="0058158D">
            <w:pPr>
              <w:pStyle w:val="ac"/>
              <w:spacing w:before="0" w:after="0"/>
              <w:ind w:firstLine="227"/>
              <w:contextualSpacing/>
              <w:jc w:val="both"/>
            </w:pPr>
            <w:r>
              <w:rPr>
                <w:color w:val="000000"/>
              </w:rPr>
              <w:lastRenderedPageBreak/>
              <w:t>відомостей щодо функціональних підрозділів заявника, працівники яких безпосередньо здійснюють діяльність з управління майном (додаток 14), в частині відомостей щодо структурних підрозділів заявника, працівники яких безпосередньо здійснюють діяльність з управління майном (за наявності такого структурного підрозділу);</w:t>
            </w:r>
          </w:p>
          <w:p w:rsidR="0058158D" w:rsidRDefault="0058158D">
            <w:pPr>
              <w:pStyle w:val="ac"/>
              <w:spacing w:before="0" w:after="0"/>
              <w:ind w:firstLine="227"/>
              <w:contextualSpacing/>
              <w:jc w:val="both"/>
            </w:pPr>
            <w:r>
              <w:rPr>
                <w:color w:val="000000"/>
              </w:rPr>
              <w:t>довідки про відокремлені та/або спеціалізовані структурні підрозділи заявника, що провадять діяльність з управління майном (додаток 15), щодо відокремлених та/або спеціалізованих структурних підрозділів заявника, що провадять професійну діяльність на ринках капіталу та організованих товарних ринках за їх окремими видами (за наявності такого підрозділу);</w:t>
            </w:r>
          </w:p>
          <w:p w:rsidR="0058158D" w:rsidRDefault="0058158D">
            <w:pPr>
              <w:pStyle w:val="ac"/>
              <w:spacing w:before="0" w:after="0"/>
              <w:ind w:firstLine="227"/>
              <w:contextualSpacing/>
              <w:jc w:val="both"/>
            </w:pPr>
            <w:r>
              <w:rPr>
                <w:color w:val="000000"/>
              </w:rPr>
              <w:t>довідки про керівних посадових осіб, фахівців заявника та його відокремленого підрозділу, що безпосередньо здійснюють діяльність з управління майном та сертифіковані в установленому НКЦПФР порядку (додаток 16), щодо керівних посадових осіб, фахівців заявника та його відокремленого підрозділу, що безпосередньо здійснюють діяльність з управління майном та сертифіковані в установленому НКЦПФР порядку;</w:t>
            </w:r>
          </w:p>
          <w:p w:rsidR="0058158D" w:rsidRDefault="0058158D">
            <w:pPr>
              <w:pStyle w:val="ac"/>
              <w:spacing w:before="0" w:after="0"/>
              <w:ind w:firstLine="227"/>
              <w:contextualSpacing/>
              <w:jc w:val="both"/>
            </w:pPr>
            <w:r>
              <w:rPr>
                <w:color w:val="000000"/>
              </w:rPr>
              <w:t>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діяльності з управління майном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у якому буде провадитись діяльність з управління майном,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w:t>
            </w:r>
            <w:r>
              <w:rPr>
                <w:color w:val="333333"/>
              </w:rPr>
              <w:t xml:space="preserve"> </w:t>
            </w:r>
            <w:r>
              <w:rPr>
                <w:color w:val="000000"/>
              </w:rPr>
              <w:t>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58158D" w:rsidRDefault="0058158D">
            <w:pPr>
              <w:pStyle w:val="ac"/>
              <w:spacing w:before="0" w:after="0"/>
              <w:ind w:firstLine="227"/>
              <w:contextualSpacing/>
              <w:jc w:val="both"/>
            </w:pPr>
            <w:r>
              <w:rPr>
                <w:color w:val="000000"/>
              </w:rPr>
              <w:t>довідки заявника у довільній формі про наявність програмно-технічного забезпечення, системи та засобів, що забезпечують безперервність надання послуг, які у своїй сукупності є достатніми для забезпечення виконання вимог, установлених НКЦПФР для провадження діяльності з управління майном та для подання до НКЦПФР звітних даних та інформації в електронній формі;</w:t>
            </w:r>
          </w:p>
          <w:p w:rsidR="0058158D" w:rsidRDefault="0058158D">
            <w:pPr>
              <w:pStyle w:val="ac"/>
              <w:spacing w:before="0" w:after="0"/>
              <w:ind w:firstLine="227"/>
              <w:contextualSpacing/>
              <w:jc w:val="both"/>
            </w:pPr>
            <w:r>
              <w:rPr>
                <w:color w:val="000000"/>
              </w:rPr>
              <w:t xml:space="preserve">довідки заявника в довільній формі про право власності або право користування на програмно-технічне забезпечення ліцензіата та зв’язки програмно-технічного забезпечення ліцензіата з програмно-технічним забезпеченням, яке не належить ліцензіату та не є в його володінні/користуванні, разом з копіями договорів, що пов’язані з функціонуванням програмно-технічного забезпечення, та інших документів, які </w:t>
            </w:r>
            <w:r>
              <w:rPr>
                <w:color w:val="000000"/>
              </w:rPr>
              <w:lastRenderedPageBreak/>
              <w:t>підтверджують права ліцензіата використовувати програмно-технічне забезпечення та засвідчують зобов’язання третіх осіб (якщо їх залучення є необхідним) обслуговувати програмно-технічне забезпечення ліцензіата та інфраструктуру, необхідну для функціонування програмно-технічного забезпечення ліцензіата;</w:t>
            </w:r>
          </w:p>
          <w:p w:rsidR="0058158D" w:rsidRDefault="0058158D">
            <w:pPr>
              <w:pStyle w:val="ac"/>
              <w:spacing w:before="0" w:after="0"/>
              <w:ind w:firstLine="227"/>
              <w:contextualSpacing/>
              <w:jc w:val="both"/>
            </w:pPr>
            <w:r>
              <w:rPr>
                <w:color w:val="000000"/>
              </w:rPr>
              <w:t>8)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а також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8158D" w:rsidRDefault="0058158D">
            <w:pPr>
              <w:pStyle w:val="ac"/>
              <w:spacing w:before="0" w:after="0"/>
              <w:ind w:firstLine="227"/>
              <w:contextualSpacing/>
              <w:jc w:val="both"/>
            </w:pPr>
            <w:r>
              <w:rPr>
                <w:color w:val="000000"/>
              </w:rPr>
              <w:t>9) внутрішні документи (правила, положення тощо) заявника, що регламентують провадження діяльності з управління майном;</w:t>
            </w:r>
          </w:p>
          <w:p w:rsidR="0058158D" w:rsidRDefault="0058158D">
            <w:pPr>
              <w:pStyle w:val="ac"/>
              <w:spacing w:before="0" w:after="0"/>
              <w:ind w:firstLine="227"/>
              <w:contextualSpacing/>
              <w:jc w:val="both"/>
            </w:pPr>
            <w:r>
              <w:rPr>
                <w:color w:val="000000"/>
              </w:rPr>
              <w:t>10) платіжний документ, що підтверджує внесення заявником плати за видачу ліцензії.</w:t>
            </w:r>
          </w:p>
          <w:p w:rsidR="0058158D" w:rsidRDefault="0058158D">
            <w:pPr>
              <w:pStyle w:val="ac"/>
              <w:spacing w:before="0" w:after="0"/>
              <w:ind w:firstLine="227"/>
              <w:contextualSpacing/>
              <w:jc w:val="both"/>
              <w:rPr>
                <w:color w:val="000000"/>
              </w:rPr>
            </w:pPr>
          </w:p>
          <w:p w:rsidR="0058158D" w:rsidRDefault="0058158D">
            <w:pPr>
              <w:pStyle w:val="ac"/>
              <w:spacing w:before="0" w:after="0"/>
              <w:ind w:firstLine="227"/>
              <w:contextualSpacing/>
              <w:jc w:val="both"/>
            </w:pPr>
            <w:r>
              <w:rPr>
                <w:color w:val="000000"/>
              </w:rPr>
              <w:t>Заявник, у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w:t>
            </w:r>
          </w:p>
          <w:p w:rsidR="0058158D" w:rsidRDefault="0058158D">
            <w:pPr>
              <w:pStyle w:val="ac"/>
              <w:spacing w:before="0" w:after="0"/>
              <w:ind w:firstLine="227"/>
              <w:contextualSpacing/>
              <w:jc w:val="both"/>
            </w:pPr>
            <w:r>
              <w:rPr>
                <w:color w:val="000000"/>
              </w:rPr>
              <w:t>1) рішення уповноваженого органу (особи) управління іноземної юридичної особи про участь у заявнику;</w:t>
            </w:r>
          </w:p>
          <w:p w:rsidR="0058158D" w:rsidRDefault="0058158D">
            <w:pPr>
              <w:pStyle w:val="ac"/>
              <w:spacing w:before="0" w:after="0"/>
              <w:ind w:firstLine="227"/>
              <w:contextualSpacing/>
              <w:jc w:val="both"/>
            </w:pPr>
            <w:r>
              <w:rPr>
                <w:color w:val="000000"/>
              </w:rPr>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58158D" w:rsidRDefault="0058158D">
            <w:pPr>
              <w:pStyle w:val="ac"/>
              <w:spacing w:before="0" w:after="0"/>
              <w:ind w:firstLine="227"/>
              <w:contextualSpacing/>
              <w:jc w:val="both"/>
            </w:pPr>
            <w:r>
              <w:rPr>
                <w:color w:val="000000"/>
              </w:rPr>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58158D" w:rsidRDefault="0058158D">
            <w:pPr>
              <w:pStyle w:val="ac"/>
              <w:spacing w:before="0" w:after="0"/>
              <w:ind w:firstLine="227"/>
              <w:contextualSpacing/>
              <w:jc w:val="both"/>
            </w:pPr>
            <w:r>
              <w:rPr>
                <w:color w:val="000000"/>
              </w:rPr>
              <w:t>4) фінансову звітність, консолідовану і субконсолідовану</w:t>
            </w:r>
            <w:r>
              <w:rPr>
                <w:color w:val="333333"/>
              </w:rPr>
              <w:t xml:space="preserve"> </w:t>
            </w:r>
            <w:r>
              <w:rPr>
                <w:color w:val="000000"/>
              </w:rPr>
              <w:t>фінансову звітність (у разі її складення) іноземної юридичної особи за останні три фінансові роки (з аудиторськими звітами за наявності).</w:t>
            </w:r>
          </w:p>
          <w:p w:rsidR="0058158D" w:rsidRDefault="0058158D">
            <w:pPr>
              <w:pStyle w:val="ac"/>
              <w:spacing w:before="0" w:after="0"/>
              <w:ind w:firstLine="227"/>
              <w:contextualSpacing/>
              <w:jc w:val="both"/>
              <w:rPr>
                <w:color w:val="000000"/>
              </w:rPr>
            </w:pPr>
          </w:p>
          <w:p w:rsidR="0058158D" w:rsidRDefault="0058158D">
            <w:pPr>
              <w:pStyle w:val="ac"/>
              <w:spacing w:before="0" w:after="0"/>
              <w:ind w:firstLine="227"/>
              <w:contextualSpacing/>
              <w:jc w:val="both"/>
            </w:pPr>
            <w:r>
              <w:rPr>
                <w:color w:val="000000"/>
              </w:rPr>
              <w:t xml:space="preserve">Якщо така юридична особа провадить господарську діяльність протягом строку, недостатнього для виконання вимог цього пункту, подається фінансова звітність за повні фінансові роки провадження такою особою господарської діяльності разом з аудиторським звітом (за наявності) та проміжна фінансова звітність (за наявності) разом зі звітом щодо огляду проміжної фінансової звітності (за наявності) за звітний період, що передує даті подання документів. Аудиторські звіти повинні бути складені відповідно до </w:t>
            </w:r>
            <w:r>
              <w:rPr>
                <w:color w:val="000000"/>
              </w:rPr>
              <w:lastRenderedPageBreak/>
              <w:t>міжнародних стандартів контролю якості, аудиту, огляду, іншого надання впевненості та супутніх послуг.</w:t>
            </w:r>
          </w:p>
          <w:p w:rsidR="0058158D" w:rsidRDefault="0058158D">
            <w:pPr>
              <w:pStyle w:val="ac"/>
              <w:spacing w:before="0" w:after="0"/>
              <w:ind w:firstLine="227"/>
              <w:contextualSpacing/>
              <w:jc w:val="both"/>
              <w:rPr>
                <w:color w:val="000000"/>
              </w:rPr>
            </w:pPr>
          </w:p>
          <w:p w:rsidR="0058158D" w:rsidRDefault="0058158D">
            <w:pPr>
              <w:pStyle w:val="ac"/>
              <w:spacing w:before="0" w:after="0"/>
              <w:ind w:firstLine="227"/>
              <w:contextualSpacing/>
              <w:jc w:val="both"/>
            </w:pPr>
            <w:r>
              <w:rPr>
                <w:color w:val="000000"/>
              </w:rPr>
              <w:t>Якщо така юридична особа провадить господарську діяльність протягом строку, що є меншим за один рік, подається остання проміжна фінансова звітність, складена станом на кінець звітного періоду, що передує даті подання заяви про видачу ліцензії, разом зі звітом щодо огляду проміжної фінансової звітності (за наявності).</w:t>
            </w:r>
          </w:p>
          <w:p w:rsidR="0058158D" w:rsidRDefault="0058158D">
            <w:pPr>
              <w:pStyle w:val="ac"/>
              <w:spacing w:before="0" w:after="0"/>
              <w:ind w:firstLine="227"/>
              <w:contextualSpacing/>
              <w:jc w:val="both"/>
              <w:rPr>
                <w:color w:val="000000"/>
              </w:rPr>
            </w:pPr>
          </w:p>
          <w:p w:rsidR="0058158D" w:rsidRDefault="0058158D">
            <w:pPr>
              <w:pStyle w:val="ac"/>
              <w:spacing w:before="0" w:after="0"/>
              <w:ind w:firstLine="227"/>
              <w:contextualSpacing/>
              <w:jc w:val="both"/>
            </w:pPr>
            <w:r>
              <w:rPr>
                <w:color w:val="000000"/>
              </w:rPr>
              <w:t>Заявник, у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58158D" w:rsidRDefault="0058158D">
            <w:pPr>
              <w:pStyle w:val="ac"/>
              <w:spacing w:before="0" w:after="0"/>
              <w:ind w:firstLine="227"/>
              <w:contextualSpacing/>
              <w:jc w:val="both"/>
              <w:rPr>
                <w:color w:val="000000"/>
              </w:rPr>
            </w:pPr>
          </w:p>
          <w:p w:rsidR="0058158D" w:rsidRDefault="0058158D">
            <w:pPr>
              <w:pStyle w:val="ac"/>
              <w:spacing w:before="0" w:after="0"/>
              <w:ind w:firstLine="227"/>
              <w:contextualSpacing/>
              <w:jc w:val="both"/>
            </w:pPr>
            <w:r>
              <w:rPr>
                <w:color w:val="000000"/>
              </w:rPr>
              <w:t>Заявник, який подав будь-яку інформацію, передбачену цими Ліцензійними умовами, Національному банку України або НКЦПФР, має право не додавати таку інформацію до заяви на видачу ліцензії, зазначивши дату подачі таких документів та ідентифікаційні дані супровідного документа, за умови надання письмового запевнення, що раніше подана інформація є актуальною.</w:t>
            </w:r>
          </w:p>
          <w:p w:rsidR="0058158D" w:rsidRDefault="0058158D">
            <w:pPr>
              <w:pStyle w:val="ac"/>
              <w:spacing w:before="0" w:after="0"/>
              <w:ind w:firstLine="227"/>
              <w:contextualSpacing/>
              <w:jc w:val="both"/>
              <w:rPr>
                <w:color w:val="333333"/>
              </w:rPr>
            </w:pPr>
          </w:p>
          <w:p w:rsidR="0058158D" w:rsidRDefault="0058158D">
            <w:pPr>
              <w:pStyle w:val="ac"/>
              <w:spacing w:before="0" w:after="0"/>
              <w:ind w:firstLine="227"/>
              <w:contextualSpacing/>
              <w:jc w:val="both"/>
            </w:pPr>
            <w:r>
              <w:rPr>
                <w:b/>
                <w:color w:val="000000"/>
              </w:rPr>
              <w:t xml:space="preserve">Для отримання ліцензії на провадження професійної діяльності на ринках капіталу - діяльності з адміністрування недержавних пенсійних фондів заявник відповідно до </w:t>
            </w:r>
            <w:r>
              <w:rPr>
                <w:color w:val="000000"/>
              </w:rPr>
              <w:t>Ліцензійних умов провадження професійної діяльності на ринках капіталу – діяльності з адміністрування недержавних пенсійних фондів, затверджених Рішенням Комісії № 1122 від 26.08.2022, зареєстрованим в Міністерстві юстиції України за № 1186/38522 06.10.2022 (зі змінами)</w:t>
            </w:r>
            <w:r>
              <w:rPr>
                <w:b/>
                <w:color w:val="000000"/>
              </w:rPr>
              <w:t xml:space="preserve"> </w:t>
            </w:r>
            <w:r>
              <w:rPr>
                <w:color w:val="000000"/>
              </w:rPr>
              <w:t>(режим доступу</w:t>
            </w:r>
            <w:r>
              <w:t xml:space="preserve"> </w:t>
            </w:r>
            <w:hyperlink r:id="rId13" w:anchor="Text" w:history="1">
              <w:r>
                <w:rPr>
                  <w:rStyle w:val="a4"/>
                </w:rPr>
                <w:t>https://zakon.rada.gov.ua/laws/show/z1186-22#Text</w:t>
              </w:r>
            </w:hyperlink>
            <w:r>
              <w:t xml:space="preserve">) </w:t>
            </w:r>
            <w:r>
              <w:rPr>
                <w:b/>
                <w:color w:val="000000"/>
              </w:rPr>
              <w:t>подає</w:t>
            </w:r>
            <w:r>
              <w:rPr>
                <w:b/>
                <w:bCs/>
                <w:color w:val="000000"/>
              </w:rPr>
              <w:t xml:space="preserve"> наступні документи</w:t>
            </w:r>
            <w:r>
              <w:rPr>
                <w:color w:val="000000"/>
              </w:rPr>
              <w:t>:</w:t>
            </w:r>
          </w:p>
          <w:p w:rsidR="0058158D" w:rsidRDefault="0058158D">
            <w:pPr>
              <w:pStyle w:val="rvps2"/>
              <w:shd w:val="clear" w:color="auto" w:fill="FFFFFF"/>
              <w:spacing w:before="0" w:after="0"/>
              <w:ind w:firstLine="227"/>
              <w:contextualSpacing/>
              <w:jc w:val="both"/>
            </w:pPr>
            <w:r>
              <w:rPr>
                <w:color w:val="000000"/>
              </w:rPr>
              <w:t>1) заяву про видачу ліцензії (</w:t>
            </w:r>
            <w:hyperlink r:id="rId14" w:anchor="n510" w:history="1">
              <w:r>
                <w:rPr>
                  <w:rStyle w:val="a4"/>
                  <w:color w:val="000000"/>
                </w:rPr>
                <w:t>додаток 2</w:t>
              </w:r>
            </w:hyperlink>
            <w:r>
              <w:rPr>
                <w:color w:val="000000"/>
              </w:rPr>
              <w:t>) з переліком (описом) документів, що подаються для видачі ліцензії (</w:t>
            </w:r>
            <w:hyperlink r:id="rId15" w:anchor="n512" w:history="1">
              <w:r>
                <w:rPr>
                  <w:rStyle w:val="a4"/>
                  <w:color w:val="000000"/>
                </w:rPr>
                <w:t>додаток 3</w:t>
              </w:r>
            </w:hyperlink>
            <w:r>
              <w:rPr>
                <w:color w:val="000000"/>
              </w:rPr>
              <w:t>);</w:t>
            </w:r>
          </w:p>
          <w:p w:rsidR="0058158D" w:rsidRDefault="0058158D">
            <w:pPr>
              <w:pStyle w:val="rvps2"/>
              <w:shd w:val="clear" w:color="auto" w:fill="FFFFFF"/>
              <w:spacing w:before="0" w:after="0"/>
              <w:ind w:firstLine="227"/>
              <w:contextualSpacing/>
              <w:jc w:val="both"/>
            </w:pPr>
            <w:r>
              <w:rPr>
                <w:color w:val="000000"/>
              </w:rPr>
              <w:t>2) подання саморегулівної організації, яка об’єднує професійних учасників ринків капіталу, що провадять професійну діяльність на</w:t>
            </w:r>
            <w:r>
              <w:rPr>
                <w:color w:val="333333"/>
              </w:rPr>
              <w:t xml:space="preserve"> </w:t>
            </w:r>
            <w:r>
              <w:rPr>
                <w:color w:val="000000"/>
              </w:rPr>
              <w:t>ринках капіталу - діяльність з адміністрування пенсійних фондів (за умови реєстрації НКЦПФР об’єднання професійних учасників ринків капіталу як саморегулівної організації за таким видом професійної діяльності);</w:t>
            </w:r>
          </w:p>
          <w:p w:rsidR="0058158D" w:rsidRDefault="0058158D">
            <w:pPr>
              <w:pStyle w:val="rvps2"/>
              <w:shd w:val="clear" w:color="auto" w:fill="FFFFFF"/>
              <w:spacing w:before="0" w:after="0"/>
              <w:ind w:firstLine="227"/>
              <w:contextualSpacing/>
              <w:jc w:val="both"/>
            </w:pPr>
            <w:r>
              <w:rPr>
                <w:color w:val="000000"/>
              </w:rPr>
              <w:t xml:space="preserve">3) копію статуту заявника, засвідчену підписом керівника заявника (подається в разі, якщо заявником не надано інформацію про код доступу до результатів надання адміністративних послуг у сфері державної реєстрації, що надає </w:t>
            </w:r>
            <w:r>
              <w:rPr>
                <w:color w:val="000000"/>
              </w:rPr>
              <w:lastRenderedPageBreak/>
              <w:t>доступ до копії зареєстрованого статуту заявника в електронній формі в Єдиному державному реєстрі юридичних осіб, фізичних осіб - підприємців та громадських формувань у заяві про видачу ліцензії (</w:t>
            </w:r>
            <w:hyperlink r:id="rId16" w:anchor="n510" w:history="1">
              <w:r>
                <w:rPr>
                  <w:rStyle w:val="a4"/>
                  <w:color w:val="000000"/>
                </w:rPr>
                <w:t>додаток 2</w:t>
              </w:r>
            </w:hyperlink>
            <w:r>
              <w:rPr>
                <w:color w:val="000000"/>
              </w:rPr>
              <w:t>));</w:t>
            </w:r>
          </w:p>
          <w:p w:rsidR="0058158D" w:rsidRDefault="0058158D">
            <w:pPr>
              <w:pStyle w:val="rvps2"/>
              <w:shd w:val="clear" w:color="auto" w:fill="FFFFFF"/>
              <w:spacing w:before="0" w:after="0"/>
              <w:ind w:firstLine="227"/>
              <w:contextualSpacing/>
              <w:jc w:val="both"/>
            </w:pPr>
            <w:r>
              <w:rPr>
                <w:color w:val="000000"/>
              </w:rPr>
              <w:t>4) відомості, що містять інформацію про:</w:t>
            </w:r>
          </w:p>
          <w:p w:rsidR="0058158D" w:rsidRDefault="0058158D">
            <w:pPr>
              <w:pStyle w:val="rvps2"/>
              <w:shd w:val="clear" w:color="auto" w:fill="FFFFFF"/>
              <w:spacing w:before="0" w:after="0"/>
              <w:ind w:firstLine="227"/>
              <w:contextualSpacing/>
              <w:jc w:val="both"/>
            </w:pPr>
            <w:r>
              <w:rPr>
                <w:color w:val="000000"/>
              </w:rPr>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у формі:</w:t>
            </w:r>
          </w:p>
          <w:p w:rsidR="0058158D" w:rsidRDefault="0058158D">
            <w:pPr>
              <w:pStyle w:val="rvps2"/>
              <w:shd w:val="clear" w:color="auto" w:fill="FFFFFF"/>
              <w:spacing w:before="0" w:after="0"/>
              <w:ind w:firstLine="227"/>
              <w:contextualSpacing/>
              <w:jc w:val="both"/>
            </w:pPr>
            <w:r>
              <w:rPr>
                <w:color w:val="000000"/>
              </w:rPr>
              <w:t>довідки про схематичне зображення структури власності юридичної особи - заявника (</w:t>
            </w:r>
            <w:hyperlink r:id="rId17" w:anchor="n449" w:history="1">
              <w:r>
                <w:rPr>
                  <w:rStyle w:val="a4"/>
                  <w:color w:val="000000"/>
                </w:rPr>
                <w:t>додаток 1</w:t>
              </w:r>
            </w:hyperlink>
            <w:r>
              <w:rPr>
                <w:color w:val="000000"/>
              </w:rPr>
              <w:t>);</w:t>
            </w:r>
          </w:p>
          <w:p w:rsidR="0058158D" w:rsidRDefault="0058158D">
            <w:pPr>
              <w:pStyle w:val="rvps2"/>
              <w:shd w:val="clear" w:color="auto" w:fill="FFFFFF"/>
              <w:spacing w:before="0" w:after="0"/>
              <w:ind w:firstLine="227"/>
              <w:contextualSpacing/>
              <w:jc w:val="both"/>
            </w:pPr>
            <w:r>
              <w:rPr>
                <w:color w:val="000000"/>
              </w:rPr>
              <w:t>довідки про асоційованих осіб фізичної особи - власника прямої істотної участі у заявнику (</w:t>
            </w:r>
            <w:hyperlink r:id="rId18" w:anchor="n517" w:history="1">
              <w:r>
                <w:rPr>
                  <w:rStyle w:val="a4"/>
                  <w:color w:val="000000"/>
                </w:rPr>
                <w:t>додаток 4</w:t>
              </w:r>
            </w:hyperlink>
            <w:r>
              <w:rPr>
                <w:color w:val="000000"/>
              </w:rPr>
              <w:t>);</w:t>
            </w:r>
          </w:p>
          <w:p w:rsidR="0058158D" w:rsidRDefault="0058158D">
            <w:pPr>
              <w:pStyle w:val="rvps2"/>
              <w:shd w:val="clear" w:color="auto" w:fill="FFFFFF"/>
              <w:spacing w:before="0" w:after="0"/>
              <w:ind w:firstLine="227"/>
              <w:contextualSpacing/>
              <w:jc w:val="both"/>
            </w:pPr>
            <w:r>
              <w:rPr>
                <w:color w:val="000000"/>
              </w:rPr>
              <w:t>власників істотної участі у заявнику у формі:</w:t>
            </w:r>
          </w:p>
          <w:p w:rsidR="0058158D" w:rsidRDefault="0058158D">
            <w:pPr>
              <w:pStyle w:val="rvps2"/>
              <w:shd w:val="clear" w:color="auto" w:fill="FFFFFF"/>
              <w:spacing w:before="0" w:after="0"/>
              <w:ind w:firstLine="227"/>
              <w:contextualSpacing/>
              <w:jc w:val="both"/>
            </w:pPr>
            <w:r>
              <w:rPr>
                <w:color w:val="000000"/>
              </w:rPr>
              <w:t>анкети фізичної особи (</w:t>
            </w:r>
            <w:hyperlink r:id="rId19" w:anchor="n519" w:history="1">
              <w:r>
                <w:rPr>
                  <w:rStyle w:val="a4"/>
                  <w:color w:val="000000"/>
                </w:rPr>
                <w:t>додаток 5</w:t>
              </w:r>
            </w:hyperlink>
            <w:r>
              <w:rPr>
                <w:color w:val="000000"/>
              </w:rPr>
              <w:t>).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юридичної особи, що є власником істотної участі у заявнику (</w:t>
            </w:r>
            <w:hyperlink r:id="rId20" w:anchor="n521" w:history="1">
              <w:r>
                <w:rPr>
                  <w:rStyle w:val="a4"/>
                  <w:color w:val="000000"/>
                </w:rPr>
                <w:t>додаток 6</w:t>
              </w:r>
            </w:hyperlink>
            <w:r>
              <w:rPr>
                <w:color w:val="000000"/>
              </w:rPr>
              <w:t>). Не подається якщо такою особою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r>
              <w:rPr>
                <w:color w:val="000000"/>
              </w:rPr>
              <w:t>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у формі переліку учасників групи компаній, до якої належить заявник (</w:t>
            </w:r>
            <w:hyperlink r:id="rId21" w:anchor="n523" w:history="1">
              <w:r>
                <w:rPr>
                  <w:rStyle w:val="a4"/>
                  <w:color w:val="000000"/>
                </w:rPr>
                <w:t>додаток 7</w:t>
              </w:r>
            </w:hyperlink>
            <w:r>
              <w:rPr>
                <w:color w:val="000000"/>
              </w:rPr>
              <w:t>);</w:t>
            </w:r>
          </w:p>
          <w:p w:rsidR="0058158D" w:rsidRDefault="0058158D">
            <w:pPr>
              <w:pStyle w:val="rvps2"/>
              <w:shd w:val="clear" w:color="auto" w:fill="FFFFFF"/>
              <w:spacing w:before="0" w:after="0"/>
              <w:ind w:firstLine="227"/>
              <w:contextualSpacing/>
              <w:jc w:val="both"/>
            </w:pPr>
            <w:r>
              <w:rPr>
                <w:color w:val="000000"/>
              </w:rPr>
              <w:t>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ділову репутацію заявника за формою:</w:t>
            </w:r>
          </w:p>
          <w:p w:rsidR="0058158D" w:rsidRDefault="0058158D">
            <w:pPr>
              <w:pStyle w:val="rvps2"/>
              <w:shd w:val="clear" w:color="auto" w:fill="FFFFFF"/>
              <w:spacing w:before="0" w:after="0"/>
              <w:ind w:firstLine="227"/>
              <w:contextualSpacing/>
              <w:jc w:val="both"/>
            </w:pPr>
            <w:r>
              <w:rPr>
                <w:color w:val="000000"/>
              </w:rPr>
              <w:t>довідки про наглядову раду (або іншій орган, відповідальний за здійснення нагляду), виконавчий орган заявника (</w:t>
            </w:r>
            <w:hyperlink r:id="rId22" w:anchor="n531" w:history="1">
              <w:r>
                <w:rPr>
                  <w:rStyle w:val="a4"/>
                  <w:color w:val="000000"/>
                </w:rPr>
                <w:t>додаток 8</w:t>
              </w:r>
            </w:hyperlink>
            <w:r>
              <w:rPr>
                <w:color w:val="000000"/>
              </w:rPr>
              <w:t>);</w:t>
            </w:r>
          </w:p>
          <w:p w:rsidR="0058158D" w:rsidRDefault="0058158D">
            <w:pPr>
              <w:pStyle w:val="rvps2"/>
              <w:shd w:val="clear" w:color="auto" w:fill="FFFFFF"/>
              <w:spacing w:before="0" w:after="0"/>
              <w:ind w:firstLine="227"/>
              <w:contextualSpacing/>
              <w:jc w:val="both"/>
            </w:pPr>
            <w:r>
              <w:rPr>
                <w:color w:val="000000"/>
              </w:rPr>
              <w:t>анкети фізичної особи (</w:t>
            </w:r>
            <w:hyperlink r:id="rId23" w:anchor="n519" w:history="1">
              <w:r>
                <w:rPr>
                  <w:rStyle w:val="a4"/>
                  <w:color w:val="000000"/>
                </w:rPr>
                <w:t>додаток 5</w:t>
              </w:r>
            </w:hyperlink>
            <w:r>
              <w:rPr>
                <w:color w:val="000000"/>
              </w:rPr>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заявника. Анкети фізичних осіб - іноземців можуть бути підписані уповноваженою особою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r>
              <w:rPr>
                <w:color w:val="000000"/>
              </w:rPr>
              <w:t>анкети щодо ділової репутації фізичної особи (</w:t>
            </w:r>
            <w:hyperlink r:id="rId24" w:anchor="n533" w:history="1">
              <w:r>
                <w:rPr>
                  <w:rStyle w:val="a4"/>
                  <w:color w:val="000000"/>
                </w:rPr>
                <w:t>додаток 9</w:t>
              </w:r>
            </w:hyperlink>
            <w:r>
              <w:rPr>
                <w:color w:val="000000"/>
              </w:rPr>
              <w:t>),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w:t>
            </w:r>
            <w:r>
              <w:rPr>
                <w:color w:val="333333"/>
              </w:rPr>
              <w:t xml:space="preserve"> </w:t>
            </w:r>
            <w:r>
              <w:rPr>
                <w:color w:val="000000"/>
              </w:rPr>
              <w:t xml:space="preserve">відповідального за здійснення нагляду) заявника. Анкети фізичних осіб - іноземців можуть бути </w:t>
            </w:r>
            <w:r>
              <w:rPr>
                <w:color w:val="000000"/>
              </w:rPr>
              <w:lastRenderedPageBreak/>
              <w:t>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bookmarkStart w:id="10" w:name="n354"/>
            <w:bookmarkEnd w:id="10"/>
            <w:r>
              <w:rPr>
                <w:color w:val="000000"/>
              </w:rPr>
              <w:t>анкети щодо ділової репутації юридичної особи (</w:t>
            </w:r>
            <w:hyperlink r:id="rId25" w:anchor="n535" w:history="1">
              <w:r>
                <w:rPr>
                  <w:rStyle w:val="a4"/>
                  <w:color w:val="000000"/>
                </w:rPr>
                <w:t>додаток 10</w:t>
              </w:r>
            </w:hyperlink>
            <w:r>
              <w:rPr>
                <w:color w:val="000000"/>
              </w:rPr>
              <w:t>), подається щодо заявника;</w:t>
            </w:r>
          </w:p>
          <w:p w:rsidR="0058158D" w:rsidRDefault="0058158D">
            <w:pPr>
              <w:pStyle w:val="rvps2"/>
              <w:shd w:val="clear" w:color="auto" w:fill="FFFFFF"/>
              <w:spacing w:before="0" w:after="0"/>
              <w:ind w:firstLine="227"/>
              <w:contextualSpacing/>
              <w:jc w:val="both"/>
            </w:pPr>
            <w:bookmarkStart w:id="11" w:name="n355"/>
            <w:bookmarkEnd w:id="11"/>
            <w:r>
              <w:rPr>
                <w:color w:val="000000"/>
              </w:rPr>
              <w:t>ідентифікаційні дані, ділову репутацію та професійний досвід контролерів заявника (у разі якщо контролером є юридична особа,-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у формі:</w:t>
            </w:r>
          </w:p>
          <w:p w:rsidR="0058158D" w:rsidRDefault="0058158D">
            <w:pPr>
              <w:pStyle w:val="rvps2"/>
              <w:shd w:val="clear" w:color="auto" w:fill="FFFFFF"/>
              <w:spacing w:before="0" w:after="0"/>
              <w:ind w:firstLine="227"/>
              <w:contextualSpacing/>
              <w:jc w:val="both"/>
            </w:pPr>
            <w:bookmarkStart w:id="12" w:name="n356"/>
            <w:bookmarkEnd w:id="12"/>
            <w:r>
              <w:rPr>
                <w:color w:val="000000"/>
              </w:rPr>
              <w:t>анкети фізичної особи (</w:t>
            </w:r>
            <w:hyperlink r:id="rId26" w:anchor="n519" w:history="1">
              <w:r>
                <w:rPr>
                  <w:rStyle w:val="a4"/>
                  <w:color w:val="000000"/>
                </w:rPr>
                <w:t>додаток 5</w:t>
              </w:r>
            </w:hyperlink>
            <w:r>
              <w:rPr>
                <w:color w:val="000000"/>
              </w:rPr>
              <w:t>) - подається щодо контролера заявника - фізичної особи,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bookmarkStart w:id="13" w:name="n357"/>
            <w:bookmarkEnd w:id="13"/>
            <w:r>
              <w:rPr>
                <w:color w:val="000000"/>
              </w:rPr>
              <w:t>анкети юридичної особи, що є власником істотної участі у заявнику (</w:t>
            </w:r>
            <w:hyperlink r:id="rId27" w:anchor="n521" w:history="1">
              <w:r>
                <w:rPr>
                  <w:rStyle w:val="a4"/>
                  <w:color w:val="000000"/>
                </w:rPr>
                <w:t>додаток 6</w:t>
              </w:r>
            </w:hyperlink>
            <w:r>
              <w:rPr>
                <w:color w:val="000000"/>
              </w:rPr>
              <w:t>), подається щодо контролера заявника - юридичної особи. Не подається якщо контролером заявника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bookmarkStart w:id="14" w:name="n358"/>
            <w:bookmarkEnd w:id="14"/>
            <w:r>
              <w:rPr>
                <w:color w:val="000000"/>
              </w:rPr>
              <w:t>анкети щодо ділової репутації фізичної особи (</w:t>
            </w:r>
            <w:hyperlink r:id="rId28" w:anchor="n533" w:history="1">
              <w:r>
                <w:rPr>
                  <w:rStyle w:val="a4"/>
                  <w:color w:val="000000"/>
                </w:rPr>
                <w:t>додаток 9</w:t>
              </w:r>
            </w:hyperlink>
            <w:r>
              <w:rPr>
                <w:color w:val="000000"/>
              </w:rPr>
              <w:t>) щодо ділової репутації фізичних осіб,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8158D" w:rsidRDefault="0058158D">
            <w:pPr>
              <w:pStyle w:val="rvps2"/>
              <w:shd w:val="clear" w:color="auto" w:fill="FFFFFF"/>
              <w:spacing w:before="0" w:after="0"/>
              <w:ind w:firstLine="227"/>
              <w:contextualSpacing/>
              <w:jc w:val="both"/>
            </w:pPr>
            <w:bookmarkStart w:id="15" w:name="n359"/>
            <w:bookmarkEnd w:id="15"/>
            <w:r>
              <w:rPr>
                <w:color w:val="000000"/>
              </w:rPr>
              <w:t>анкети щодо ділової репутації юридичної особи (</w:t>
            </w:r>
            <w:hyperlink r:id="rId29" w:anchor="n535" w:history="1">
              <w:r>
                <w:rPr>
                  <w:rStyle w:val="a4"/>
                  <w:color w:val="000000"/>
                </w:rPr>
                <w:t>додаток 10</w:t>
              </w:r>
            </w:hyperlink>
            <w:r>
              <w:rPr>
                <w:color w:val="000000"/>
              </w:rPr>
              <w:t>),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контролера заявника. Не подається якщо контролером заявника є держава, Національний банк України, територіальна громада;</w:t>
            </w:r>
          </w:p>
          <w:p w:rsidR="0058158D" w:rsidRDefault="0058158D">
            <w:pPr>
              <w:pStyle w:val="rvps2"/>
              <w:shd w:val="clear" w:color="auto" w:fill="FFFFFF"/>
              <w:spacing w:before="0" w:after="0"/>
              <w:ind w:firstLine="227"/>
              <w:contextualSpacing/>
              <w:jc w:val="both"/>
            </w:pPr>
            <w:bookmarkStart w:id="16" w:name="n360"/>
            <w:bookmarkEnd w:id="16"/>
            <w:r>
              <w:rPr>
                <w:color w:val="000000"/>
              </w:rPr>
              <w:t>інформацію про початковий капітал заявника та джерела його походження у формі довідки про початковий капітал заявника та джерела його походження (</w:t>
            </w:r>
            <w:hyperlink r:id="rId30" w:anchor="n537" w:history="1">
              <w:r>
                <w:rPr>
                  <w:rStyle w:val="a4"/>
                  <w:color w:val="000000"/>
                </w:rPr>
                <w:t>додаток 11</w:t>
              </w:r>
            </w:hyperlink>
            <w:r>
              <w:rPr>
                <w:color w:val="000000"/>
              </w:rPr>
              <w:t>);</w:t>
            </w:r>
          </w:p>
          <w:p w:rsidR="0058158D" w:rsidRDefault="0058158D">
            <w:pPr>
              <w:pStyle w:val="rvps2"/>
              <w:shd w:val="clear" w:color="auto" w:fill="FFFFFF"/>
              <w:spacing w:before="0" w:after="0"/>
              <w:ind w:firstLine="227"/>
              <w:contextualSpacing/>
              <w:jc w:val="both"/>
            </w:pPr>
            <w:r>
              <w:rPr>
                <w:color w:val="000000"/>
                <w:shd w:val="clear" w:color="auto" w:fill="FFFFFF"/>
              </w:rPr>
              <w:t>5) річну фінансову звітність та/або проміжну фінансову звітність з урахуванням Ліцензійних умов;</w:t>
            </w:r>
          </w:p>
          <w:p w:rsidR="0058158D" w:rsidRDefault="0058158D">
            <w:pPr>
              <w:pStyle w:val="rvps2"/>
              <w:shd w:val="clear" w:color="auto" w:fill="FFFFFF"/>
              <w:spacing w:before="0" w:after="0"/>
              <w:ind w:firstLine="227"/>
              <w:contextualSpacing/>
              <w:jc w:val="both"/>
            </w:pPr>
            <w:r>
              <w:rPr>
                <w:color w:val="000000"/>
                <w:shd w:val="clear" w:color="auto" w:fill="FFFFFF"/>
              </w:rPr>
              <w:t xml:space="preserve">6) документи, що підтверджують здатність власника істотної участі у заявнику виконати обов’язок, передбачений частиною </w:t>
            </w:r>
            <w:r>
              <w:rPr>
                <w:color w:val="000000"/>
                <w:shd w:val="clear" w:color="auto" w:fill="FFFFFF"/>
              </w:rPr>
              <w:lastRenderedPageBreak/>
              <w:t>дев’ятнадцятою статті 74 Закону України «Про ринки капіталу та</w:t>
            </w:r>
            <w:r>
              <w:rPr>
                <w:color w:val="333333"/>
                <w:shd w:val="clear" w:color="auto" w:fill="FFFFFF"/>
              </w:rPr>
              <w:t xml:space="preserve"> </w:t>
            </w:r>
            <w:r>
              <w:rPr>
                <w:color w:val="000000"/>
                <w:shd w:val="clear" w:color="auto" w:fill="FFFFFF"/>
              </w:rPr>
              <w:t>організовані товарні ринки».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58158D" w:rsidRDefault="0058158D">
            <w:pPr>
              <w:pStyle w:val="rvps2"/>
              <w:shd w:val="clear" w:color="auto" w:fill="FFFFFF"/>
              <w:spacing w:before="0" w:after="0"/>
              <w:ind w:firstLine="227"/>
              <w:contextualSpacing/>
              <w:jc w:val="both"/>
            </w:pPr>
            <w:r>
              <w:rPr>
                <w:color w:val="000000"/>
                <w:shd w:val="clear" w:color="auto" w:fill="FFFFFF"/>
              </w:rPr>
              <w:t>7)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програмно-технічного забезпечення та приміщень, системи та засобів, що забезпечують безперервність надання послуг, які у своїй сукупності є достатніми для забезпечення провадження діяльності з адміністрування пенсійних фондів згідно з вимогами законодавства, у формі:</w:t>
            </w:r>
          </w:p>
          <w:p w:rsidR="0058158D" w:rsidRDefault="0058158D">
            <w:pPr>
              <w:pStyle w:val="rvps2"/>
              <w:shd w:val="clear" w:color="auto" w:fill="FFFFFF"/>
              <w:spacing w:before="0" w:after="0"/>
              <w:ind w:firstLine="227"/>
              <w:contextualSpacing/>
              <w:jc w:val="both"/>
            </w:pPr>
            <w:r>
              <w:rPr>
                <w:color w:val="000000"/>
                <w:shd w:val="clear" w:color="auto" w:fill="FFFFFF"/>
              </w:rPr>
              <w:t>схематичного зображення організаційної структури заявника із зазначенням назви, номеру, дати та органу, що затвердив/впровадив/іншим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(структурних одиниць) відображати наявність системи внутрішнього контролю;</w:t>
            </w:r>
          </w:p>
          <w:p w:rsidR="0058158D" w:rsidRDefault="0058158D">
            <w:pPr>
              <w:pStyle w:val="rvps2"/>
              <w:shd w:val="clear" w:color="auto" w:fill="FFFFFF"/>
              <w:spacing w:before="0" w:after="0"/>
              <w:ind w:firstLine="227"/>
              <w:contextualSpacing/>
              <w:jc w:val="both"/>
            </w:pPr>
            <w:r>
              <w:rPr>
                <w:color w:val="000000"/>
                <w:shd w:val="clear" w:color="auto" w:fill="FFFFFF"/>
              </w:rPr>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(додаток 12);</w:t>
            </w:r>
          </w:p>
          <w:p w:rsidR="0058158D" w:rsidRDefault="0058158D">
            <w:pPr>
              <w:pStyle w:val="rvps2"/>
              <w:shd w:val="clear" w:color="auto" w:fill="FFFFFF"/>
              <w:spacing w:before="0" w:after="0"/>
              <w:ind w:firstLine="227"/>
              <w:contextualSpacing/>
              <w:jc w:val="both"/>
            </w:pPr>
            <w:r>
              <w:rPr>
                <w:color w:val="000000"/>
                <w:shd w:val="clear" w:color="auto" w:fill="FFFFFF"/>
              </w:rPr>
              <w:t>відомостей щодо функціональних підрозділів заявника, працівники яких безпосередньо здійснюють діяльність з адміністрування пенсійних фондів (додаток 13) (за наявності таких структурних підрозділів);</w:t>
            </w:r>
          </w:p>
          <w:p w:rsidR="0058158D" w:rsidRDefault="0058158D">
            <w:pPr>
              <w:pStyle w:val="rvps2"/>
              <w:shd w:val="clear" w:color="auto" w:fill="FFFFFF"/>
              <w:spacing w:before="0" w:after="0"/>
              <w:ind w:firstLine="227"/>
              <w:contextualSpacing/>
              <w:jc w:val="both"/>
            </w:pPr>
            <w:r>
              <w:rPr>
                <w:color w:val="000000"/>
                <w:shd w:val="clear" w:color="auto" w:fill="FFFFFF"/>
              </w:rPr>
              <w:t>довідки про відокремлені та/або спеціалізовані структурні підрозділи заявника, що провадять діяльність з адміністрування пенсійних фондів (додаток 14), щодо відокремлених та/або спеціалізованих структурних підрозділів заявника, що провадять професійну діяльність на ринках капіталу (за наявності таких підрозділів);</w:t>
            </w:r>
          </w:p>
          <w:p w:rsidR="0058158D" w:rsidRDefault="0058158D">
            <w:pPr>
              <w:pStyle w:val="rvps2"/>
              <w:shd w:val="clear" w:color="auto" w:fill="FFFFFF"/>
              <w:spacing w:before="0" w:after="0"/>
              <w:ind w:firstLine="227"/>
              <w:contextualSpacing/>
              <w:jc w:val="both"/>
            </w:pPr>
            <w:r>
              <w:rPr>
                <w:color w:val="000000"/>
                <w:shd w:val="clear" w:color="auto" w:fill="FFFFFF"/>
              </w:rPr>
              <w:t>довідки про керівних посадових осіб, фахівців заявника та його відокремленого підрозділу, що безпосередньо здійснюють діяльність з адміністрування пенсійних фондів та сертифіковані в установленому НКЦПФР порядку, головного бухгалтера (особи, на яку покладено ведення бухгалтерського обліку) заявника (додаток 15);</w:t>
            </w:r>
          </w:p>
          <w:p w:rsidR="0058158D" w:rsidRDefault="0058158D">
            <w:pPr>
              <w:pStyle w:val="rvps2"/>
              <w:shd w:val="clear" w:color="auto" w:fill="FFFFFF"/>
              <w:spacing w:before="0" w:after="0"/>
              <w:ind w:firstLine="227"/>
              <w:contextualSpacing/>
              <w:jc w:val="both"/>
            </w:pPr>
            <w:r>
              <w:rPr>
                <w:color w:val="000000"/>
                <w:shd w:val="clear" w:color="auto" w:fill="FFFFFF"/>
              </w:rPr>
              <w:t xml:space="preserve">копії 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діяльності з адміністрування пенсійних фондів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в якому буде провадитись діяльність з адміністрування пенсійних фондів, його площу, забезпечення цього приміщення цілодобовою охороною, із зазначенням способів здійснення такої охорони (телевідеоконтроль, </w:t>
            </w:r>
            <w:r>
              <w:rPr>
                <w:color w:val="000000"/>
                <w:shd w:val="clear" w:color="auto" w:fill="FFFFFF"/>
              </w:rPr>
              <w:lastRenderedPageBreak/>
              <w:t>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w:t>
            </w:r>
            <w:r>
              <w:rPr>
                <w:color w:val="333333"/>
                <w:shd w:val="clear" w:color="auto" w:fill="FFFFFF"/>
              </w:rPr>
              <w:t xml:space="preserve"> </w:t>
            </w:r>
            <w:r>
              <w:rPr>
                <w:color w:val="000000"/>
                <w:shd w:val="clear" w:color="auto" w:fill="FFFFFF"/>
              </w:rPr>
              <w:t>окремо щодо заявника, його відокремленого та спеціалізованого структурного підрозділу (у разі наявності));</w:t>
            </w:r>
          </w:p>
          <w:p w:rsidR="0058158D" w:rsidRDefault="0058158D">
            <w:pPr>
              <w:pStyle w:val="rvps2"/>
              <w:shd w:val="clear" w:color="auto" w:fill="FFFFFF"/>
              <w:spacing w:before="0" w:after="0"/>
              <w:ind w:firstLine="227"/>
              <w:contextualSpacing/>
              <w:jc w:val="both"/>
            </w:pPr>
            <w:r>
              <w:rPr>
                <w:color w:val="000000"/>
                <w:shd w:val="clear" w:color="auto" w:fill="FFFFFF"/>
              </w:rPr>
              <w:t>довідки заявника в довільній формі про наявність програмно-технічного забезпечення, системи та засобів, що забезпечують безперервність надання послуг, які у своїй сукупності є достатніми для забезпечення виконання вимог, установлених НКЦПФР для провадження діяльності з адміністрування пенсійних фондів, та подання до НКЦПФР звітних даних та інформації в електронній формі;</w:t>
            </w:r>
          </w:p>
          <w:p w:rsidR="0058158D" w:rsidRDefault="0058158D">
            <w:pPr>
              <w:pStyle w:val="rvps2"/>
              <w:shd w:val="clear" w:color="auto" w:fill="FFFFFF"/>
              <w:spacing w:before="0" w:after="0"/>
              <w:ind w:firstLine="227"/>
              <w:contextualSpacing/>
              <w:jc w:val="both"/>
            </w:pPr>
            <w:r>
              <w:rPr>
                <w:color w:val="000000"/>
                <w:shd w:val="clear" w:color="auto" w:fill="FFFFFF"/>
              </w:rPr>
              <w:t>8) копія рішення про створення відокремленого та/або спеціалізованого, та/або спеціалізованого структурного підрозділу заявника для провадження ним діяльності з адміністрування пенсійних фондів або надання повноважень щодо здійснення діяльності з адміністрування пенсійних фондів діючому відокремленому підрозділу цього заявника (подається в разі наявності відокремленого підрозділу заявника (компанії з управління активами), через який здійснюватиметься діяльність з адміністрування пенсійних фондів);</w:t>
            </w:r>
          </w:p>
          <w:p w:rsidR="0058158D" w:rsidRDefault="0058158D">
            <w:pPr>
              <w:pStyle w:val="rvps2"/>
              <w:shd w:val="clear" w:color="auto" w:fill="FFFFFF"/>
              <w:spacing w:before="0" w:after="0"/>
              <w:ind w:firstLine="227"/>
              <w:contextualSpacing/>
              <w:jc w:val="both"/>
            </w:pPr>
            <w:r>
              <w:rPr>
                <w:color w:val="000000"/>
                <w:shd w:val="clear" w:color="auto" w:fill="FFFFFF"/>
              </w:rPr>
              <w:t>9)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а також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8158D" w:rsidRDefault="0058158D">
            <w:pPr>
              <w:pStyle w:val="rvps2"/>
              <w:shd w:val="clear" w:color="auto" w:fill="FFFFFF"/>
              <w:spacing w:before="0" w:after="0"/>
              <w:ind w:firstLine="227"/>
              <w:contextualSpacing/>
              <w:jc w:val="both"/>
            </w:pPr>
            <w:r>
              <w:rPr>
                <w:color w:val="000000"/>
                <w:shd w:val="clear" w:color="auto" w:fill="FFFFFF"/>
              </w:rPr>
              <w:t>10) внутрішні документи (правила, положення тощо) заявника, що регламентують провадження діяльності з адміністрування пенсійних фондів;</w:t>
            </w:r>
          </w:p>
          <w:p w:rsidR="0058158D" w:rsidRDefault="0058158D">
            <w:pPr>
              <w:pStyle w:val="rvps2"/>
              <w:shd w:val="clear" w:color="auto" w:fill="FFFFFF"/>
              <w:spacing w:before="0" w:after="0"/>
              <w:ind w:firstLine="227"/>
              <w:contextualSpacing/>
              <w:jc w:val="both"/>
            </w:pPr>
            <w:r>
              <w:rPr>
                <w:color w:val="000000"/>
                <w:shd w:val="clear" w:color="auto" w:fill="FFFFFF"/>
              </w:rPr>
              <w:t>11) платіжний документ, що підтверджує внесення заявником плати за видачу ліцензії.</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shd w:val="clear" w:color="auto" w:fill="FFFFFF"/>
              </w:rPr>
              <w:t>Юридичною особою - одноосібним засновником корпоративного пенсійного фонду, що прийняв рішення про самостійне здійснення адміністрування такого пенсійного фонду, до заяви про видачу ліцензії крім документів, визначених пунктом 1 цього розділу, також додається копія документа уповноваженого органу юридичної особи - одноосібного засновника корпоративного пенсійного фонду, що містить рішення про самостійне здійснення адміністрування такого пенсійного фонду.</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shd w:val="clear" w:color="auto" w:fill="FFFFFF"/>
              </w:rPr>
              <w:t>Заявник, в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пунктах 1 та 2 цього розділу, подає:</w:t>
            </w:r>
          </w:p>
          <w:p w:rsidR="0058158D" w:rsidRDefault="0058158D">
            <w:pPr>
              <w:pStyle w:val="rvps2"/>
              <w:shd w:val="clear" w:color="auto" w:fill="FFFFFF"/>
              <w:spacing w:before="0" w:after="0"/>
              <w:ind w:firstLine="227"/>
              <w:contextualSpacing/>
              <w:jc w:val="both"/>
            </w:pPr>
            <w:r>
              <w:rPr>
                <w:color w:val="000000"/>
                <w:shd w:val="clear" w:color="auto" w:fill="FFFFFF"/>
              </w:rPr>
              <w:t>1) копію рішення уповноваженого органу (особи) управління іноземної юридичної особи про участь у заявнику;</w:t>
            </w:r>
          </w:p>
          <w:p w:rsidR="0058158D" w:rsidRDefault="0058158D">
            <w:pPr>
              <w:pStyle w:val="rvps2"/>
              <w:shd w:val="clear" w:color="auto" w:fill="FFFFFF"/>
              <w:spacing w:before="0" w:after="0"/>
              <w:ind w:firstLine="227"/>
              <w:contextualSpacing/>
              <w:jc w:val="both"/>
            </w:pPr>
            <w:r>
              <w:rPr>
                <w:color w:val="000000"/>
                <w:shd w:val="clear" w:color="auto" w:fill="FFFFFF"/>
              </w:rPr>
              <w:t xml:space="preserve">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w:t>
            </w:r>
            <w:r>
              <w:rPr>
                <w:color w:val="000000"/>
                <w:shd w:val="clear" w:color="auto" w:fill="FFFFFF"/>
              </w:rPr>
              <w:lastRenderedPageBreak/>
              <w:t>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58158D" w:rsidRDefault="0058158D">
            <w:pPr>
              <w:pStyle w:val="rvps2"/>
              <w:shd w:val="clear" w:color="auto" w:fill="FFFFFF"/>
              <w:spacing w:before="0" w:after="0"/>
              <w:ind w:firstLine="227"/>
              <w:contextualSpacing/>
              <w:jc w:val="both"/>
            </w:pPr>
            <w:r>
              <w:rPr>
                <w:color w:val="000000"/>
                <w:shd w:val="clear" w:color="auto" w:fill="FFFFFF"/>
              </w:rPr>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58158D" w:rsidRDefault="0058158D">
            <w:pPr>
              <w:pStyle w:val="rvps2"/>
              <w:shd w:val="clear" w:color="auto" w:fill="FFFFFF"/>
              <w:spacing w:before="0" w:after="0"/>
              <w:ind w:firstLine="227"/>
              <w:contextualSpacing/>
              <w:jc w:val="both"/>
            </w:pPr>
            <w:r>
              <w:rPr>
                <w:color w:val="000000"/>
                <w:shd w:val="clear" w:color="auto" w:fill="FFFFFF"/>
              </w:rPr>
              <w:t>4) фінансову звітність, консолідовану і субконсолідовану фінансову звітність (у разі її складення) іноземної юридичної особи за останні три фінансові роки (з аудиторськими звітами за наявності).</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shd w:val="clear" w:color="auto" w:fill="FFFFFF"/>
              </w:rPr>
              <w:t>Якщо така юридична особа провадить господарську діяльність протягом строку, недостатнього для виконання вимог цього пункту, подається фінансова звітність за повні фінансові роки провадження такою особою господарської діяльності разом з аудиторським звітом (за наявності) та проміжна фінансова звітність (за наявності) за звітній період, що передує даті подання документів.</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shd w:val="clear" w:color="auto" w:fill="FFFFFF"/>
              </w:rPr>
              <w:t>Якщо така юридична особа провадить господарську діяльність протягом строку, що є меншим за один рік, подається остання проміжна фінансова звітність, складена станом на кінець звітного періоду, що передує даті подання заяви про видачу ліцензії, разом зі звітом щодо огляду проміжної фінансової звітності (за наявності).</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shd w:val="clear" w:color="auto" w:fill="FFFFFF"/>
              </w:rPr>
              <w:t>Заявник, в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58158D" w:rsidRDefault="0058158D">
            <w:pPr>
              <w:pStyle w:val="rvps2"/>
              <w:shd w:val="clear" w:color="auto" w:fill="FFFFFF"/>
              <w:spacing w:before="0" w:after="0"/>
              <w:ind w:firstLine="227"/>
              <w:contextualSpacing/>
              <w:jc w:val="both"/>
              <w:rPr>
                <w:color w:val="000000"/>
                <w:shd w:val="clear" w:color="auto" w:fill="FFFFFF"/>
              </w:rPr>
            </w:pPr>
          </w:p>
          <w:p w:rsidR="0058158D" w:rsidRDefault="0058158D">
            <w:pPr>
              <w:pStyle w:val="rvps2"/>
              <w:shd w:val="clear" w:color="auto" w:fill="FFFFFF"/>
              <w:spacing w:before="0" w:after="0"/>
              <w:ind w:firstLine="227"/>
              <w:contextualSpacing/>
              <w:jc w:val="both"/>
            </w:pPr>
            <w:r>
              <w:rPr>
                <w:color w:val="000000"/>
                <w:highlight w:val="white"/>
              </w:rPr>
              <w:t>Заявник, який подав будь-яку інформацію, передбачену цими Ліцензійними умовами, Національному банку України або НКЦПФР, має право не додавати таку інформацію до заяви для видачі ліцензії, зазначивши дату подачі таких документів та ідентифікаційні дані супровідного документа, за умови надання письмового запевнення, що раніше подана інформація є актуальною.</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lastRenderedPageBreak/>
              <w:t>9</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 xml:space="preserve">Платність (безоплатність) надання </w:t>
            </w:r>
            <w:r>
              <w:lastRenderedPageBreak/>
              <w:t>адміністративної послуги</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ind w:firstLine="173"/>
              <w:contextualSpacing/>
              <w:jc w:val="both"/>
            </w:pPr>
            <w:r>
              <w:lastRenderedPageBreak/>
              <w:t xml:space="preserve">Платна 14 000,00 грн. </w:t>
            </w:r>
          </w:p>
          <w:p w:rsidR="0058158D" w:rsidRDefault="0058158D">
            <w:pPr>
              <w:ind w:firstLine="173"/>
              <w:contextualSpacing/>
              <w:jc w:val="both"/>
            </w:pPr>
            <w:r>
              <w:t xml:space="preserve">Плата вноситься (за місцем державної реєстрації заявника) до місцевих бюджетів за кодом бюджетної класифікації 22011800 «Плата за ліцензії та сертифікати, що сплачуються ліцензіатами </w:t>
            </w:r>
            <w:r>
              <w:lastRenderedPageBreak/>
              <w:t>за місцем здійснення діяльності» із використанням відомчої ознаки (36).</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lastRenderedPageBreak/>
              <w:t>10</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Порядок та спосіб подання документів</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C74B6D" w:rsidRDefault="0058158D">
            <w:pPr>
              <w:pStyle w:val="rvps2"/>
              <w:shd w:val="clear" w:color="auto" w:fill="FFFFFF"/>
              <w:spacing w:before="0" w:after="0"/>
              <w:ind w:firstLine="227"/>
              <w:contextualSpacing/>
              <w:jc w:val="both"/>
              <w:rPr>
                <w:color w:val="000000"/>
              </w:rPr>
            </w:pPr>
            <w:r>
              <w:rPr>
                <w:color w:val="000000"/>
              </w:rPr>
              <w:t xml:space="preserve">Для отримання ліцензії заявник надає до НКЦПФР офіційним каналом зв’язку в електронній формі з використанням електронного підпису чи печатки, що базується на кваліфікованому сертифікаті відкритого ключа відповідно до вимог законодавства про електронний документообіг та електронні довірчі послуги, складені українською мовою заяву про видачу ліцензії, примірник переліку (опису) документів, що подаються на видачу ліцензії, та інші документи, що додаються до заяви про видачу ліцензії згідно ліцензійних умов. </w:t>
            </w:r>
          </w:p>
          <w:p w:rsidR="0058158D" w:rsidRDefault="0058158D">
            <w:pPr>
              <w:pStyle w:val="rvps2"/>
              <w:shd w:val="clear" w:color="auto" w:fill="FFFFFF"/>
              <w:spacing w:before="0" w:after="0"/>
              <w:ind w:firstLine="227"/>
              <w:contextualSpacing/>
              <w:jc w:val="both"/>
            </w:pPr>
            <w:r>
              <w:rPr>
                <w:color w:val="000000"/>
              </w:rPr>
              <w:t>У переліку (описі) документів заявник зазначає, який документ, що надається із заявою про видачу ліцензії, належить до конфіденційної інформації.</w:t>
            </w:r>
          </w:p>
          <w:p w:rsidR="0058158D" w:rsidRDefault="0058158D">
            <w:pPr>
              <w:pStyle w:val="rvps2"/>
              <w:shd w:val="clear" w:color="auto" w:fill="FFFFFF"/>
              <w:spacing w:before="0" w:after="0"/>
              <w:ind w:firstLine="227"/>
              <w:contextualSpacing/>
              <w:jc w:val="both"/>
            </w:pPr>
            <w:bookmarkStart w:id="17" w:name="n73"/>
            <w:bookmarkStart w:id="18" w:name="n72"/>
            <w:bookmarkEnd w:id="17"/>
            <w:bookmarkEnd w:id="18"/>
            <w:r>
              <w:rPr>
                <w:color w:val="000000"/>
              </w:rPr>
              <w:t>Вимоги до електронної форми відомостей та/або документів, у тому числі описи розділів та схем XML файлів, визначаються окремим документом нормативно-технічного характеру НКЦПФР.</w:t>
            </w:r>
          </w:p>
          <w:p w:rsidR="008103A7" w:rsidRPr="008103A7" w:rsidRDefault="0058158D" w:rsidP="008103A7">
            <w:pPr>
              <w:pStyle w:val="rvps2"/>
              <w:shd w:val="clear" w:color="auto" w:fill="FFFFFF"/>
              <w:spacing w:before="0" w:after="0"/>
              <w:ind w:firstLine="227"/>
              <w:contextualSpacing/>
              <w:jc w:val="both"/>
              <w:rPr>
                <w:color w:val="000000"/>
              </w:rPr>
            </w:pPr>
            <w:r>
              <w:rPr>
                <w:color w:val="000000"/>
              </w:rPr>
              <w:t>Заява та документи для надання адміністративної послуги подаються до НКЦПФР</w:t>
            </w:r>
            <w:r w:rsidR="008103A7">
              <w:t xml:space="preserve"> </w:t>
            </w:r>
            <w:r>
              <w:rPr>
                <w:color w:val="000000"/>
              </w:rPr>
              <w:t>засобами КІС за посиланням</w:t>
            </w:r>
            <w:r w:rsidR="008103A7">
              <w:rPr>
                <w:color w:val="000000"/>
              </w:rPr>
              <w:t xml:space="preserve">: </w:t>
            </w:r>
            <w:hyperlink r:id="rId31" w:history="1">
              <w:r w:rsidR="008103A7" w:rsidRPr="006839E1">
                <w:rPr>
                  <w:rStyle w:val="a4"/>
                </w:rPr>
                <w:t>https://services.nssmc.gov.ua</w:t>
              </w:r>
            </w:hyperlink>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11</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Строк надання адміністративної послуги</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ind w:firstLine="227"/>
              <w:contextualSpacing/>
              <w:jc w:val="both"/>
            </w:pPr>
            <w:r>
              <w:rPr>
                <w:color w:val="000000"/>
                <w:shd w:val="clear" w:color="auto" w:fill="FFFFFF"/>
              </w:rPr>
              <w:t xml:space="preserve">НКЦПФР приймає </w:t>
            </w:r>
            <w:r w:rsidR="008103A7">
              <w:rPr>
                <w:color w:val="000000"/>
                <w:shd w:val="clear" w:color="auto" w:fill="FFFFFF"/>
              </w:rPr>
              <w:t>постанову</w:t>
            </w:r>
            <w:r>
              <w:rPr>
                <w:color w:val="000000"/>
                <w:shd w:val="clear" w:color="auto" w:fill="FFFFFF"/>
              </w:rPr>
              <w:t xml:space="preserve"> про видачу ліцензії чи про відмову в її видачі протягом шести місяців (з урахуванням пункту 3 розділу ІІІ Порядку видачі, зупинення дії та анулювання ліцензії на провадження професійної діяльності на ринках капіталу) з дня надходження заяви та доданих до неї документів, передбачених ліцензійними умовами. </w:t>
            </w:r>
          </w:p>
          <w:p w:rsidR="0058158D" w:rsidRDefault="0058158D">
            <w:pPr>
              <w:ind w:firstLine="227"/>
              <w:contextualSpacing/>
              <w:jc w:val="both"/>
            </w:pPr>
            <w:r>
              <w:rPr>
                <w:color w:val="000000"/>
                <w:shd w:val="clear" w:color="auto" w:fill="FFFFFF"/>
              </w:rPr>
              <w:t>У разі відсутності іноземних юридичних осіб у структурі власності юридичної особи заявника такий строк становить три місяці (з урахуванням пункту 3 розділу ІІІ Порядку видачі, зупинення дії та анулювання ліцензії на провадження професійної діяльності на ринках капіталу).</w:t>
            </w:r>
          </w:p>
        </w:tc>
      </w:tr>
      <w:tr w:rsidR="0058158D" w:rsidTr="002D3B61">
        <w:trPr>
          <w:trHeight w:val="627"/>
        </w:trPr>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12</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Результат надання адміністративної послуги</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BA1A08">
            <w:pPr>
              <w:ind w:firstLine="456"/>
              <w:contextualSpacing/>
              <w:jc w:val="both"/>
            </w:pPr>
            <w:r>
              <w:rPr>
                <w:color w:val="000000"/>
              </w:rPr>
              <w:t>Постанова</w:t>
            </w:r>
            <w:r w:rsidR="0058158D">
              <w:rPr>
                <w:color w:val="000000"/>
              </w:rPr>
              <w:t xml:space="preserve"> НКЦПФР про видачу ліцензії.</w:t>
            </w:r>
          </w:p>
          <w:p w:rsidR="0058158D" w:rsidRDefault="00BA1A08">
            <w:pPr>
              <w:ind w:firstLine="456"/>
              <w:contextualSpacing/>
              <w:jc w:val="both"/>
            </w:pPr>
            <w:r>
              <w:rPr>
                <w:color w:val="000000"/>
              </w:rPr>
              <w:t>Постанова</w:t>
            </w:r>
            <w:r w:rsidR="0058158D">
              <w:rPr>
                <w:color w:val="000000"/>
              </w:rPr>
              <w:t xml:space="preserve"> про відмову у видачі ліцензії.</w:t>
            </w:r>
          </w:p>
        </w:tc>
      </w:tr>
      <w:tr w:rsidR="0058158D" w:rsidTr="002D3B61">
        <w:tc>
          <w:tcPr>
            <w:tcW w:w="570"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13</w:t>
            </w:r>
          </w:p>
        </w:tc>
        <w:tc>
          <w:tcPr>
            <w:tcW w:w="2047" w:type="dxa"/>
            <w:tcBorders>
              <w:top w:val="single" w:sz="4" w:space="0" w:color="000000"/>
              <w:left w:val="single" w:sz="4" w:space="0" w:color="000000"/>
              <w:bottom w:val="single" w:sz="4" w:space="0" w:color="000000"/>
            </w:tcBorders>
            <w:shd w:val="clear" w:color="auto" w:fill="auto"/>
          </w:tcPr>
          <w:p w:rsidR="0058158D" w:rsidRDefault="0058158D">
            <w:pPr>
              <w:contextualSpacing/>
              <w:jc w:val="both"/>
            </w:pPr>
            <w:r>
              <w:t>Способи отримання відповіді (результату)</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58158D" w:rsidRDefault="0058158D">
            <w:pPr>
              <w:pStyle w:val="ac"/>
              <w:spacing w:before="0" w:after="0"/>
              <w:ind w:firstLine="456"/>
              <w:contextualSpacing/>
              <w:jc w:val="both"/>
            </w:pPr>
            <w:r>
              <w:rPr>
                <w:color w:val="000000"/>
              </w:rPr>
              <w:t>Результат надання адміністративної послуги оформлюється адміністративним актом відповідно до нормативно-правових актів НКЦПФР, який не пізніше трьох робочих днів з дня його прийняття надсилається заявнику.</w:t>
            </w:r>
          </w:p>
          <w:p w:rsidR="0058158D" w:rsidRDefault="0058158D">
            <w:pPr>
              <w:pStyle w:val="ac"/>
              <w:spacing w:before="0" w:after="0"/>
              <w:ind w:firstLine="454"/>
              <w:contextualSpacing/>
              <w:jc w:val="both"/>
            </w:pPr>
            <w:r>
              <w:rPr>
                <w:color w:val="000000"/>
              </w:rPr>
              <w:t>Доведення адміністративного акта до відома особи здійснюється шляхом:</w:t>
            </w:r>
          </w:p>
          <w:p w:rsidR="0058158D" w:rsidRDefault="0058158D">
            <w:pPr>
              <w:pStyle w:val="ac"/>
              <w:spacing w:before="0" w:after="0"/>
              <w:ind w:firstLine="454"/>
              <w:contextualSpacing/>
              <w:jc w:val="both"/>
            </w:pPr>
            <w:r>
              <w:t>1) надсилання</w:t>
            </w:r>
            <w:r w:rsidR="00170DE1">
              <w:t xml:space="preserve"> засобами КІС/</w:t>
            </w:r>
            <w:r>
              <w:t>адресу електронної пошти/інших засобів телекомунікаційного зв’язку</w:t>
            </w:r>
            <w:r w:rsidR="00170DE1">
              <w:t xml:space="preserve"> відповідного повідомлення</w:t>
            </w:r>
            <w:r>
              <w:t>;</w:t>
            </w:r>
          </w:p>
          <w:p w:rsidR="0058158D" w:rsidRDefault="0058158D">
            <w:pPr>
              <w:pStyle w:val="ac"/>
              <w:spacing w:before="0" w:after="0"/>
              <w:ind w:firstLine="456"/>
              <w:contextualSpacing/>
              <w:jc w:val="both"/>
            </w:pPr>
            <w:r>
              <w:t>2) оприлюднення згідно з вимогами законодавства.</w:t>
            </w:r>
          </w:p>
          <w:p w:rsidR="0058158D" w:rsidRDefault="0058158D" w:rsidP="00800A15">
            <w:pPr>
              <w:pStyle w:val="ac"/>
              <w:spacing w:before="0" w:after="0"/>
              <w:ind w:firstLine="456"/>
              <w:contextualSpacing/>
              <w:jc w:val="both"/>
            </w:pPr>
            <w:r>
              <w:rPr>
                <w:color w:val="000000"/>
              </w:rPr>
              <w:t xml:space="preserve">Повідомлення про прийняття </w:t>
            </w:r>
            <w:r w:rsidR="00170DE1">
              <w:rPr>
                <w:color w:val="000000"/>
              </w:rPr>
              <w:t>постанови</w:t>
            </w:r>
            <w:r>
              <w:rPr>
                <w:color w:val="000000"/>
              </w:rPr>
              <w:t xml:space="preserve"> про видачу/про відмову у видачі ліцензії (з доданням </w:t>
            </w:r>
            <w:r w:rsidR="00800A15">
              <w:rPr>
                <w:color w:val="000000"/>
              </w:rPr>
              <w:t>відповідної постанови</w:t>
            </w:r>
            <w:r>
              <w:rPr>
                <w:color w:val="000000"/>
              </w:rPr>
              <w:t>) надсилається заявникові (підписується членом Комісії/керівником структурного підрозділу Комісії, що здійснює розгляд заяви про видачу ліцензії та відповідних документів, відповідно).</w:t>
            </w:r>
          </w:p>
        </w:tc>
      </w:tr>
    </w:tbl>
    <w:p w:rsidR="0058158D" w:rsidRDefault="0058158D">
      <w:pPr>
        <w:pStyle w:val="ac"/>
        <w:spacing w:before="0" w:after="0"/>
        <w:contextualSpacing/>
        <w:jc w:val="both"/>
        <w:rPr>
          <w:spacing w:val="-16"/>
        </w:rPr>
      </w:pPr>
    </w:p>
    <w:p w:rsidR="009E0FB7" w:rsidRDefault="009E0FB7" w:rsidP="009E0FB7">
      <w:pPr>
        <w:jc w:val="both"/>
      </w:pPr>
      <w:r>
        <w:lastRenderedPageBreak/>
        <w:t xml:space="preserve">Примітки: </w:t>
      </w:r>
    </w:p>
    <w:p w:rsidR="009E0FB7" w:rsidRDefault="009E0FB7" w:rsidP="009E0FB7">
      <w:pPr>
        <w:jc w:val="both"/>
      </w:pPr>
      <w:r>
        <w:t>Права та обов’язки заявника визначені в статті 28 Закону України «Про адміністративну процедуру».</w:t>
      </w:r>
    </w:p>
    <w:p w:rsidR="009E0FB7" w:rsidRDefault="009E0FB7" w:rsidP="009E0FB7">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9E0FB7" w:rsidRDefault="009E0FB7" w:rsidP="009E0FB7">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9E0FB7" w:rsidRDefault="009E0FB7" w:rsidP="009E0FB7">
      <w:pPr>
        <w:pStyle w:val="ac"/>
        <w:spacing w:before="0" w:after="0"/>
        <w:jc w:val="both"/>
      </w:pPr>
      <w:r>
        <w:t>Результати надання адміністративної послуги можуть бути оскаржені до суду в порядку, встановленому законом</w:t>
      </w:r>
    </w:p>
    <w:p w:rsidR="009E0FB7" w:rsidRDefault="009E0FB7" w:rsidP="009E0FB7">
      <w:pPr>
        <w:pStyle w:val="ac"/>
        <w:spacing w:before="0" w:after="0"/>
        <w:jc w:val="both"/>
      </w:pPr>
    </w:p>
    <w:p w:rsidR="009E0FB7" w:rsidRDefault="009E0FB7" w:rsidP="009E0FB7">
      <w:pPr>
        <w:pStyle w:val="ac"/>
        <w:spacing w:before="0" w:after="0"/>
        <w:jc w:val="both"/>
      </w:pPr>
    </w:p>
    <w:p w:rsidR="0058158D" w:rsidRPr="009E0FB7" w:rsidRDefault="0058158D" w:rsidP="002D3B61">
      <w:pPr>
        <w:jc w:val="both"/>
        <w:rPr>
          <w:sz w:val="28"/>
          <w:szCs w:val="28"/>
        </w:rPr>
      </w:pPr>
    </w:p>
    <w:sectPr w:rsidR="0058158D" w:rsidRPr="009E0FB7" w:rsidSect="009E0FB7">
      <w:headerReference w:type="default" r:id="rId32"/>
      <w:headerReference w:type="first" r:id="rId33"/>
      <w:pgSz w:w="11906" w:h="16838"/>
      <w:pgMar w:top="851" w:right="851" w:bottom="907" w:left="1701" w:header="51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5C" w:rsidRDefault="0080365C">
      <w:r>
        <w:separator/>
      </w:r>
    </w:p>
  </w:endnote>
  <w:endnote w:type="continuationSeparator" w:id="0">
    <w:p w:rsidR="0080365C" w:rsidRDefault="0080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5C" w:rsidRDefault="0080365C">
      <w:r>
        <w:separator/>
      </w:r>
    </w:p>
  </w:footnote>
  <w:footnote w:type="continuationSeparator" w:id="0">
    <w:p w:rsidR="0080365C" w:rsidRDefault="0080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8D" w:rsidRDefault="0058158D">
    <w:pPr>
      <w:pStyle w:val="af1"/>
      <w:jc w:val="center"/>
    </w:pPr>
    <w:r>
      <w:fldChar w:fldCharType="begin"/>
    </w:r>
    <w:r>
      <w:instrText xml:space="preserve"> PAGE </w:instrText>
    </w:r>
    <w:r>
      <w:fldChar w:fldCharType="separate"/>
    </w:r>
    <w:r w:rsidR="00BE779A">
      <w:rPr>
        <w:noProof/>
      </w:rPr>
      <w:t>20</w:t>
    </w:r>
    <w:r>
      <w:fldChar w:fldCharType="end"/>
    </w:r>
  </w:p>
  <w:p w:rsidR="0058158D" w:rsidRDefault="0058158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8D" w:rsidRDefault="0058158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25"/>
    <w:rsid w:val="00170DE1"/>
    <w:rsid w:val="002426BF"/>
    <w:rsid w:val="00262A02"/>
    <w:rsid w:val="002D3B61"/>
    <w:rsid w:val="003C3EB6"/>
    <w:rsid w:val="0058158D"/>
    <w:rsid w:val="00602ABC"/>
    <w:rsid w:val="00800A15"/>
    <w:rsid w:val="0080365C"/>
    <w:rsid w:val="008103A7"/>
    <w:rsid w:val="008A4420"/>
    <w:rsid w:val="008B108C"/>
    <w:rsid w:val="009C04F1"/>
    <w:rsid w:val="009E0FB7"/>
    <w:rsid w:val="009F4394"/>
    <w:rsid w:val="00AE4B25"/>
    <w:rsid w:val="00BA1A08"/>
    <w:rsid w:val="00BE779A"/>
    <w:rsid w:val="00C74B6D"/>
    <w:rsid w:val="00EB15EF"/>
    <w:rsid w:val="00ED3737"/>
    <w:rsid w:val="00F61E93"/>
    <w:rsid w:val="00FD4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10E2B3D-02AD-4173-B6C1-4251D96E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Шрифт абзацу за промовчанням1"/>
  </w:style>
  <w:style w:type="character" w:customStyle="1" w:styleId="spelle">
    <w:name w:val="spelle"/>
    <w:basedOn w:val="1"/>
  </w:style>
  <w:style w:type="character" w:styleId="a4">
    <w:name w:val="Hyperlink"/>
    <w:rPr>
      <w:color w:val="0000FF"/>
      <w:u w:val="single"/>
    </w:rPr>
  </w:style>
  <w:style w:type="character" w:customStyle="1" w:styleId="rvts0">
    <w:name w:val="rvts0"/>
    <w:basedOn w:val="1"/>
  </w:style>
  <w:style w:type="character" w:customStyle="1" w:styleId="HTML">
    <w:name w:val="Стандартний HTML Знак"/>
    <w:rPr>
      <w:rFonts w:ascii="Courier New" w:hAnsi="Courier New" w:cs="Courier New"/>
      <w:lang w:val="uk-UA" w:bidi="ar-SA"/>
    </w:rPr>
  </w:style>
  <w:style w:type="character" w:customStyle="1" w:styleId="st131">
    <w:name w:val="st131"/>
    <w:rPr>
      <w:i/>
      <w:iCs/>
      <w:color w:val="0000FF"/>
    </w:rPr>
  </w:style>
  <w:style w:type="character" w:customStyle="1" w:styleId="rvts9">
    <w:name w:val="rvts9"/>
    <w:basedOn w:val="1"/>
  </w:style>
  <w:style w:type="character" w:customStyle="1" w:styleId="rvts15">
    <w:name w:val="rvts15"/>
    <w:basedOn w:val="1"/>
  </w:style>
  <w:style w:type="character" w:customStyle="1" w:styleId="rvts82">
    <w:name w:val="rvts82"/>
    <w:basedOn w:val="1"/>
  </w:style>
  <w:style w:type="character" w:customStyle="1" w:styleId="st46">
    <w:name w:val="st46"/>
    <w:rPr>
      <w:i/>
      <w:iCs/>
      <w:color w:val="000000"/>
    </w:rPr>
  </w:style>
  <w:style w:type="character" w:customStyle="1" w:styleId="rvts37">
    <w:name w:val="rvts37"/>
    <w:basedOn w:val="1"/>
  </w:style>
  <w:style w:type="character" w:customStyle="1" w:styleId="rvts46">
    <w:name w:val="rvts46"/>
    <w:basedOn w:val="1"/>
  </w:style>
  <w:style w:type="character" w:customStyle="1" w:styleId="rvts11">
    <w:name w:val="rvts11"/>
    <w:basedOn w:val="1"/>
  </w:style>
  <w:style w:type="character" w:customStyle="1" w:styleId="30">
    <w:name w:val="Заголовок 3 Знак"/>
    <w:rPr>
      <w:b/>
      <w:bCs/>
      <w:sz w:val="27"/>
      <w:szCs w:val="27"/>
    </w:rPr>
  </w:style>
  <w:style w:type="character" w:customStyle="1" w:styleId="a5">
    <w:name w:val="Верхній колонтитул Знак"/>
    <w:rPr>
      <w:sz w:val="24"/>
      <w:szCs w:val="24"/>
    </w:rPr>
  </w:style>
  <w:style w:type="character" w:customStyle="1" w:styleId="a6">
    <w:name w:val="Неразрешенное упоминание"/>
    <w:rPr>
      <w:color w:val="605E5C"/>
      <w:shd w:val="clear" w:color="auto" w:fill="E1DFDD"/>
    </w:rPr>
  </w:style>
  <w:style w:type="character" w:styleId="a7">
    <w:name w:val="FollowedHyperlink"/>
    <w:rPr>
      <w:color w:val="954F72"/>
      <w:u w:val="single"/>
    </w:rPr>
  </w:style>
  <w:style w:type="paragraph" w:customStyle="1" w:styleId="a8">
    <w:name w:val="Заголовок"/>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rPr>
  </w:style>
  <w:style w:type="paragraph" w:customStyle="1" w:styleId="ab">
    <w:name w:val="Указатель"/>
    <w:basedOn w:val="a"/>
    <w:pPr>
      <w:suppressLineNumbers/>
    </w:pPr>
    <w:rPr>
      <w:rFonts w:cs="Arial"/>
    </w:rPr>
  </w:style>
  <w:style w:type="paragraph" w:styleId="ac">
    <w:name w:val="Normal (Web)"/>
    <w:basedOn w:val="a"/>
    <w:pPr>
      <w:spacing w:before="280" w:after="280"/>
    </w:pPr>
  </w:style>
  <w:style w:type="paragraph" w:customStyle="1" w:styleId="ad">
    <w:name w:val="Верхний и нижний колонтитулы"/>
    <w:basedOn w:val="a"/>
    <w:pPr>
      <w:suppressLineNumbers/>
      <w:tabs>
        <w:tab w:val="center" w:pos="4819"/>
        <w:tab w:val="right" w:pos="9638"/>
      </w:tabs>
    </w:pPr>
  </w:style>
  <w:style w:type="paragraph" w:styleId="ae">
    <w:name w:val="footer"/>
    <w:basedOn w:val="a"/>
    <w:pPr>
      <w:spacing w:before="280" w:after="280"/>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pPr>
      <w:spacing w:before="280" w:after="280"/>
    </w:pPr>
  </w:style>
  <w:style w:type="paragraph" w:customStyle="1" w:styleId="rvps14">
    <w:name w:val="rvps14"/>
    <w:basedOn w:val="a"/>
    <w:pPr>
      <w:spacing w:before="280" w:after="280"/>
    </w:pPr>
  </w:style>
  <w:style w:type="paragraph" w:customStyle="1" w:styleId="rvps12">
    <w:name w:val="rvps12"/>
    <w:basedOn w:val="a"/>
    <w:pPr>
      <w:spacing w:before="280" w:after="280"/>
    </w:pPr>
  </w:style>
  <w:style w:type="paragraph" w:customStyle="1" w:styleId="rvps7">
    <w:name w:val="rvps7"/>
    <w:basedOn w:val="a"/>
    <w:pPr>
      <w:spacing w:before="280" w:after="280"/>
    </w:pPr>
  </w:style>
  <w:style w:type="paragraph" w:customStyle="1" w:styleId="af">
    <w:name w:val="Знак Знак Знак Знак Знак Знак Знак Знак Знак Знак Знак Знак"/>
    <w:basedOn w:val="a"/>
    <w:rPr>
      <w:rFonts w:ascii="Verdana" w:hAnsi="Verdana" w:cs="Verdana"/>
      <w:sz w:val="20"/>
      <w:szCs w:val="20"/>
      <w:lang w:val="en-US"/>
    </w:rPr>
  </w:style>
  <w:style w:type="paragraph" w:customStyle="1" w:styleId="af0">
    <w:name w:val="Знак"/>
    <w:basedOn w:val="a"/>
    <w:rPr>
      <w:rFonts w:ascii="Verdana" w:hAnsi="Verdana" w:cs="Verdana"/>
      <w:sz w:val="20"/>
      <w:szCs w:val="20"/>
      <w:lang w:val="en-US"/>
    </w:rPr>
  </w:style>
  <w:style w:type="paragraph" w:customStyle="1" w:styleId="tjbmf">
    <w:name w:val="tj bmf"/>
    <w:basedOn w:val="a"/>
    <w:pPr>
      <w:spacing w:before="280" w:after="280"/>
    </w:pPr>
  </w:style>
  <w:style w:type="paragraph" w:styleId="af1">
    <w:name w:val="header"/>
    <w:basedOn w:val="a"/>
    <w:pPr>
      <w:tabs>
        <w:tab w:val="center" w:pos="4819"/>
        <w:tab w:val="right" w:pos="9639"/>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table" w:styleId="af4">
    <w:name w:val="Table Grid"/>
    <w:basedOn w:val="a2"/>
    <w:rsid w:val="002D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186-22" TargetMode="External"/><Relationship Id="rId18" Type="http://schemas.openxmlformats.org/officeDocument/2006/relationships/hyperlink" Target="https://zakon.rada.gov.ua/laws/show/z1186-22" TargetMode="External"/><Relationship Id="rId26" Type="http://schemas.openxmlformats.org/officeDocument/2006/relationships/hyperlink" Target="https://zakon.rada.gov.ua/laws/show/z1186-22" TargetMode="External"/><Relationship Id="rId3" Type="http://schemas.openxmlformats.org/officeDocument/2006/relationships/settings" Target="settings.xml"/><Relationship Id="rId21" Type="http://schemas.openxmlformats.org/officeDocument/2006/relationships/hyperlink" Target="https://zakon.rada.gov.ua/laws/show/z1186-22" TargetMode="External"/><Relationship Id="rId34" Type="http://schemas.openxmlformats.org/officeDocument/2006/relationships/fontTable" Target="fontTable.xml"/><Relationship Id="rId7" Type="http://schemas.openxmlformats.org/officeDocument/2006/relationships/hyperlink" Target="https://www.nssmc.gov.ua/" TargetMode="External"/><Relationship Id="rId12" Type="http://schemas.openxmlformats.org/officeDocument/2006/relationships/hyperlink" Target="https://zakon.rada.gov.ua/laws/show/z0319-22" TargetMode="External"/><Relationship Id="rId17" Type="http://schemas.openxmlformats.org/officeDocument/2006/relationships/hyperlink" Target="https://zakon.rada.gov.ua/laws/show/z1186-22" TargetMode="External"/><Relationship Id="rId25" Type="http://schemas.openxmlformats.org/officeDocument/2006/relationships/hyperlink" Target="https://zakon.rada.gov.ua/laws/show/z1186-2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zakon.rada.gov.ua/laws/show/z1186-22" TargetMode="External"/><Relationship Id="rId20" Type="http://schemas.openxmlformats.org/officeDocument/2006/relationships/hyperlink" Target="https://zakon.rada.gov.ua/laws/show/z1186-22" TargetMode="External"/><Relationship Id="rId29" Type="http://schemas.openxmlformats.org/officeDocument/2006/relationships/hyperlink" Target="https://zakon.rada.gov.ua/laws/show/z1186-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465-22" TargetMode="External"/><Relationship Id="rId24" Type="http://schemas.openxmlformats.org/officeDocument/2006/relationships/hyperlink" Target="https://zakon.rada.gov.ua/laws/show/z1186-2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z1186-22" TargetMode="External"/><Relationship Id="rId23" Type="http://schemas.openxmlformats.org/officeDocument/2006/relationships/hyperlink" Target="https://zakon.rada.gov.ua/laws/show/z1186-22" TargetMode="External"/><Relationship Id="rId28" Type="http://schemas.openxmlformats.org/officeDocument/2006/relationships/hyperlink" Target="https://zakon.rada.gov.ua/laws/show/z1186-22" TargetMode="External"/><Relationship Id="rId10" Type="http://schemas.openxmlformats.org/officeDocument/2006/relationships/hyperlink" Target="https://zakon.rada.gov.ua/laws/show/z1309-18" TargetMode="External"/><Relationship Id="rId19" Type="http://schemas.openxmlformats.org/officeDocument/2006/relationships/hyperlink" Target="https://zakon.rada.gov.ua/laws/show/z1186-22" TargetMode="External"/><Relationship Id="rId31" Type="http://schemas.openxmlformats.org/officeDocument/2006/relationships/hyperlink" Target="https://services.nssmc.gov.ua" TargetMode="External"/><Relationship Id="rId4" Type="http://schemas.openxmlformats.org/officeDocument/2006/relationships/webSettings" Target="webSettings.xml"/><Relationship Id="rId9" Type="http://schemas.openxmlformats.org/officeDocument/2006/relationships/hyperlink" Target="http://zakon0.rada.gov.ua/laws/show/3480-15" TargetMode="External"/><Relationship Id="rId14" Type="http://schemas.openxmlformats.org/officeDocument/2006/relationships/hyperlink" Target="https://zakon.rada.gov.ua/laws/show/z1186-22" TargetMode="External"/><Relationship Id="rId22" Type="http://schemas.openxmlformats.org/officeDocument/2006/relationships/hyperlink" Target="https://zakon.rada.gov.ua/laws/show/z1186-22" TargetMode="External"/><Relationship Id="rId27" Type="http://schemas.openxmlformats.org/officeDocument/2006/relationships/hyperlink" Target="https://zakon.rada.gov.ua/laws/show/z1186-22" TargetMode="External"/><Relationship Id="rId30" Type="http://schemas.openxmlformats.org/officeDocument/2006/relationships/hyperlink" Target="https://zakon.rada.gov.ua/laws/show/z1186-22" TargetMode="External"/><Relationship Id="rId35" Type="http://schemas.openxmlformats.org/officeDocument/2006/relationships/theme" Target="theme/theme1.xml"/><Relationship Id="rId8" Type="http://schemas.openxmlformats.org/officeDocument/2006/relationships/hyperlink" Target="https://services.nssmc.gov.ua/logi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34411</Words>
  <Characters>19615</Characters>
  <Application>Microsoft Office Word</Application>
  <DocSecurity>0</DocSecurity>
  <Lines>163</Lines>
  <Paragraphs>107</Paragraphs>
  <ScaleCrop>false</ScaleCrop>
  <HeadingPairs>
    <vt:vector size="2" baseType="variant">
      <vt:variant>
        <vt:lpstr>Назва</vt:lpstr>
      </vt:variant>
      <vt:variant>
        <vt:i4>1</vt:i4>
      </vt:variant>
    </vt:vector>
  </HeadingPairs>
  <TitlesOfParts>
    <vt:vector size="1" baseType="lpstr">
      <vt:lpstr>Національна комісія з цінних паперів та фондового ринку</vt:lpstr>
    </vt:vector>
  </TitlesOfParts>
  <Company>NSSMC</Company>
  <LinksUpToDate>false</LinksUpToDate>
  <CharactersWithSpaces>53919</CharactersWithSpaces>
  <SharedDoc>false</SharedDoc>
  <HLinks>
    <vt:vector size="156" baseType="variant">
      <vt:variant>
        <vt:i4>2556019</vt:i4>
      </vt:variant>
      <vt:variant>
        <vt:i4>75</vt:i4>
      </vt:variant>
      <vt:variant>
        <vt:i4>0</vt:i4>
      </vt:variant>
      <vt:variant>
        <vt:i4>5</vt:i4>
      </vt:variant>
      <vt:variant>
        <vt:lpwstr>https://services.nssmc.gov.ua/</vt:lpwstr>
      </vt:variant>
      <vt:variant>
        <vt:lpwstr/>
      </vt:variant>
      <vt:variant>
        <vt:i4>5177374</vt:i4>
      </vt:variant>
      <vt:variant>
        <vt:i4>72</vt:i4>
      </vt:variant>
      <vt:variant>
        <vt:i4>0</vt:i4>
      </vt:variant>
      <vt:variant>
        <vt:i4>5</vt:i4>
      </vt:variant>
      <vt:variant>
        <vt:lpwstr>https://zakon.rada.gov.ua/laws/show/z1186-22</vt:lpwstr>
      </vt:variant>
      <vt:variant>
        <vt:lpwstr>n537</vt:lpwstr>
      </vt:variant>
      <vt:variant>
        <vt:i4>5046302</vt:i4>
      </vt:variant>
      <vt:variant>
        <vt:i4>69</vt:i4>
      </vt:variant>
      <vt:variant>
        <vt:i4>0</vt:i4>
      </vt:variant>
      <vt:variant>
        <vt:i4>5</vt:i4>
      </vt:variant>
      <vt:variant>
        <vt:lpwstr>https://zakon.rada.gov.ua/laws/show/z1186-22</vt:lpwstr>
      </vt:variant>
      <vt:variant>
        <vt:lpwstr>n535</vt:lpwstr>
      </vt:variant>
      <vt:variant>
        <vt:i4>4915230</vt:i4>
      </vt:variant>
      <vt:variant>
        <vt:i4>66</vt:i4>
      </vt:variant>
      <vt:variant>
        <vt:i4>0</vt:i4>
      </vt:variant>
      <vt:variant>
        <vt:i4>5</vt:i4>
      </vt:variant>
      <vt:variant>
        <vt:lpwstr>https://zakon.rada.gov.ua/laws/show/z1186-22</vt:lpwstr>
      </vt:variant>
      <vt:variant>
        <vt:lpwstr>n533</vt:lpwstr>
      </vt:variant>
      <vt:variant>
        <vt:i4>4784159</vt:i4>
      </vt:variant>
      <vt:variant>
        <vt:i4>63</vt:i4>
      </vt:variant>
      <vt:variant>
        <vt:i4>0</vt:i4>
      </vt:variant>
      <vt:variant>
        <vt:i4>5</vt:i4>
      </vt:variant>
      <vt:variant>
        <vt:lpwstr>https://zakon.rada.gov.ua/laws/show/z1186-22</vt:lpwstr>
      </vt:variant>
      <vt:variant>
        <vt:lpwstr>n521</vt:lpwstr>
      </vt:variant>
      <vt:variant>
        <vt:i4>4259868</vt:i4>
      </vt:variant>
      <vt:variant>
        <vt:i4>60</vt:i4>
      </vt:variant>
      <vt:variant>
        <vt:i4>0</vt:i4>
      </vt:variant>
      <vt:variant>
        <vt:i4>5</vt:i4>
      </vt:variant>
      <vt:variant>
        <vt:lpwstr>https://zakon.rada.gov.ua/laws/show/z1186-22</vt:lpwstr>
      </vt:variant>
      <vt:variant>
        <vt:lpwstr>n519</vt:lpwstr>
      </vt:variant>
      <vt:variant>
        <vt:i4>5046302</vt:i4>
      </vt:variant>
      <vt:variant>
        <vt:i4>57</vt:i4>
      </vt:variant>
      <vt:variant>
        <vt:i4>0</vt:i4>
      </vt:variant>
      <vt:variant>
        <vt:i4>5</vt:i4>
      </vt:variant>
      <vt:variant>
        <vt:lpwstr>https://zakon.rada.gov.ua/laws/show/z1186-22</vt:lpwstr>
      </vt:variant>
      <vt:variant>
        <vt:lpwstr>n535</vt:lpwstr>
      </vt:variant>
      <vt:variant>
        <vt:i4>4915230</vt:i4>
      </vt:variant>
      <vt:variant>
        <vt:i4>54</vt:i4>
      </vt:variant>
      <vt:variant>
        <vt:i4>0</vt:i4>
      </vt:variant>
      <vt:variant>
        <vt:i4>5</vt:i4>
      </vt:variant>
      <vt:variant>
        <vt:lpwstr>https://zakon.rada.gov.ua/laws/show/z1186-22</vt:lpwstr>
      </vt:variant>
      <vt:variant>
        <vt:lpwstr>n533</vt:lpwstr>
      </vt:variant>
      <vt:variant>
        <vt:i4>4259868</vt:i4>
      </vt:variant>
      <vt:variant>
        <vt:i4>51</vt:i4>
      </vt:variant>
      <vt:variant>
        <vt:i4>0</vt:i4>
      </vt:variant>
      <vt:variant>
        <vt:i4>5</vt:i4>
      </vt:variant>
      <vt:variant>
        <vt:lpwstr>https://zakon.rada.gov.ua/laws/show/z1186-22</vt:lpwstr>
      </vt:variant>
      <vt:variant>
        <vt:lpwstr>n519</vt:lpwstr>
      </vt:variant>
      <vt:variant>
        <vt:i4>4784158</vt:i4>
      </vt:variant>
      <vt:variant>
        <vt:i4>48</vt:i4>
      </vt:variant>
      <vt:variant>
        <vt:i4>0</vt:i4>
      </vt:variant>
      <vt:variant>
        <vt:i4>5</vt:i4>
      </vt:variant>
      <vt:variant>
        <vt:lpwstr>https://zakon.rada.gov.ua/laws/show/z1186-22</vt:lpwstr>
      </vt:variant>
      <vt:variant>
        <vt:lpwstr>n531</vt:lpwstr>
      </vt:variant>
      <vt:variant>
        <vt:i4>4915231</vt:i4>
      </vt:variant>
      <vt:variant>
        <vt:i4>45</vt:i4>
      </vt:variant>
      <vt:variant>
        <vt:i4>0</vt:i4>
      </vt:variant>
      <vt:variant>
        <vt:i4>5</vt:i4>
      </vt:variant>
      <vt:variant>
        <vt:lpwstr>https://zakon.rada.gov.ua/laws/show/z1186-22</vt:lpwstr>
      </vt:variant>
      <vt:variant>
        <vt:lpwstr>n523</vt:lpwstr>
      </vt:variant>
      <vt:variant>
        <vt:i4>4784159</vt:i4>
      </vt:variant>
      <vt:variant>
        <vt:i4>42</vt:i4>
      </vt:variant>
      <vt:variant>
        <vt:i4>0</vt:i4>
      </vt:variant>
      <vt:variant>
        <vt:i4>5</vt:i4>
      </vt:variant>
      <vt:variant>
        <vt:lpwstr>https://zakon.rada.gov.ua/laws/show/z1186-22</vt:lpwstr>
      </vt:variant>
      <vt:variant>
        <vt:lpwstr>n521</vt:lpwstr>
      </vt:variant>
      <vt:variant>
        <vt:i4>4259868</vt:i4>
      </vt:variant>
      <vt:variant>
        <vt:i4>39</vt:i4>
      </vt:variant>
      <vt:variant>
        <vt:i4>0</vt:i4>
      </vt:variant>
      <vt:variant>
        <vt:i4>5</vt:i4>
      </vt:variant>
      <vt:variant>
        <vt:lpwstr>https://zakon.rada.gov.ua/laws/show/z1186-22</vt:lpwstr>
      </vt:variant>
      <vt:variant>
        <vt:lpwstr>n519</vt:lpwstr>
      </vt:variant>
      <vt:variant>
        <vt:i4>5177372</vt:i4>
      </vt:variant>
      <vt:variant>
        <vt:i4>36</vt:i4>
      </vt:variant>
      <vt:variant>
        <vt:i4>0</vt:i4>
      </vt:variant>
      <vt:variant>
        <vt:i4>5</vt:i4>
      </vt:variant>
      <vt:variant>
        <vt:lpwstr>https://zakon.rada.gov.ua/laws/show/z1186-22</vt:lpwstr>
      </vt:variant>
      <vt:variant>
        <vt:lpwstr>n517</vt:lpwstr>
      </vt:variant>
      <vt:variant>
        <vt:i4>4194329</vt:i4>
      </vt:variant>
      <vt:variant>
        <vt:i4>33</vt:i4>
      </vt:variant>
      <vt:variant>
        <vt:i4>0</vt:i4>
      </vt:variant>
      <vt:variant>
        <vt:i4>5</vt:i4>
      </vt:variant>
      <vt:variant>
        <vt:lpwstr>https://zakon.rada.gov.ua/laws/show/z1186-22</vt:lpwstr>
      </vt:variant>
      <vt:variant>
        <vt:lpwstr>n449</vt:lpwstr>
      </vt:variant>
      <vt:variant>
        <vt:i4>4718620</vt:i4>
      </vt:variant>
      <vt:variant>
        <vt:i4>30</vt:i4>
      </vt:variant>
      <vt:variant>
        <vt:i4>0</vt:i4>
      </vt:variant>
      <vt:variant>
        <vt:i4>5</vt:i4>
      </vt:variant>
      <vt:variant>
        <vt:lpwstr>https://zakon.rada.gov.ua/laws/show/z1186-22</vt:lpwstr>
      </vt:variant>
      <vt:variant>
        <vt:lpwstr>n510</vt:lpwstr>
      </vt:variant>
      <vt:variant>
        <vt:i4>4849692</vt:i4>
      </vt:variant>
      <vt:variant>
        <vt:i4>27</vt:i4>
      </vt:variant>
      <vt:variant>
        <vt:i4>0</vt:i4>
      </vt:variant>
      <vt:variant>
        <vt:i4>5</vt:i4>
      </vt:variant>
      <vt:variant>
        <vt:lpwstr>https://zakon.rada.gov.ua/laws/show/z1186-22</vt:lpwstr>
      </vt:variant>
      <vt:variant>
        <vt:lpwstr>n512</vt:lpwstr>
      </vt:variant>
      <vt:variant>
        <vt:i4>4718620</vt:i4>
      </vt:variant>
      <vt:variant>
        <vt:i4>24</vt:i4>
      </vt:variant>
      <vt:variant>
        <vt:i4>0</vt:i4>
      </vt:variant>
      <vt:variant>
        <vt:i4>5</vt:i4>
      </vt:variant>
      <vt:variant>
        <vt:lpwstr>https://zakon.rada.gov.ua/laws/show/z1186-22</vt:lpwstr>
      </vt:variant>
      <vt:variant>
        <vt:lpwstr>n510</vt:lpwstr>
      </vt:variant>
      <vt:variant>
        <vt:i4>6029391</vt:i4>
      </vt:variant>
      <vt:variant>
        <vt:i4>21</vt:i4>
      </vt:variant>
      <vt:variant>
        <vt:i4>0</vt:i4>
      </vt:variant>
      <vt:variant>
        <vt:i4>5</vt:i4>
      </vt:variant>
      <vt:variant>
        <vt:lpwstr>https://zakon.rada.gov.ua/laws/show/z1186-22</vt:lpwstr>
      </vt:variant>
      <vt:variant>
        <vt:lpwstr>Text</vt:lpwstr>
      </vt:variant>
      <vt:variant>
        <vt:i4>5505090</vt:i4>
      </vt:variant>
      <vt:variant>
        <vt:i4>18</vt:i4>
      </vt:variant>
      <vt:variant>
        <vt:i4>0</vt:i4>
      </vt:variant>
      <vt:variant>
        <vt:i4>5</vt:i4>
      </vt:variant>
      <vt:variant>
        <vt:lpwstr>https://zakon.rada.gov.ua/laws/show/z0319-22</vt:lpwstr>
      </vt:variant>
      <vt:variant>
        <vt:lpwstr>Text</vt:lpwstr>
      </vt:variant>
      <vt:variant>
        <vt:i4>5439561</vt:i4>
      </vt:variant>
      <vt:variant>
        <vt:i4>15</vt:i4>
      </vt:variant>
      <vt:variant>
        <vt:i4>0</vt:i4>
      </vt:variant>
      <vt:variant>
        <vt:i4>5</vt:i4>
      </vt:variant>
      <vt:variant>
        <vt:lpwstr>https://zakon.rada.gov.ua/laws/show/z0465-22</vt:lpwstr>
      </vt:variant>
      <vt:variant>
        <vt:lpwstr>Text</vt:lpwstr>
      </vt:variant>
      <vt:variant>
        <vt:i4>8257571</vt:i4>
      </vt:variant>
      <vt:variant>
        <vt:i4>12</vt:i4>
      </vt:variant>
      <vt:variant>
        <vt:i4>0</vt:i4>
      </vt:variant>
      <vt:variant>
        <vt:i4>5</vt:i4>
      </vt:variant>
      <vt:variant>
        <vt:lpwstr>https://zakon.rada.gov.ua/laws/show/z1309-18</vt:lpwstr>
      </vt:variant>
      <vt:variant>
        <vt:lpwstr>n17</vt:lpwstr>
      </vt:variant>
      <vt:variant>
        <vt:i4>2424866</vt:i4>
      </vt:variant>
      <vt:variant>
        <vt:i4>9</vt:i4>
      </vt:variant>
      <vt:variant>
        <vt:i4>0</vt:i4>
      </vt:variant>
      <vt:variant>
        <vt:i4>5</vt:i4>
      </vt:variant>
      <vt:variant>
        <vt:lpwstr>http://zakon0.rada.gov.ua/laws/show/3480-15</vt:lpwstr>
      </vt:variant>
      <vt:variant>
        <vt:lpwstr/>
      </vt:variant>
      <vt:variant>
        <vt:i4>2162808</vt:i4>
      </vt:variant>
      <vt:variant>
        <vt:i4>6</vt:i4>
      </vt:variant>
      <vt:variant>
        <vt:i4>0</vt:i4>
      </vt:variant>
      <vt:variant>
        <vt:i4>5</vt:i4>
      </vt:variant>
      <vt:variant>
        <vt:lpwstr>https://services.nssmc.gov.ua/login</vt:lpwstr>
      </vt:variant>
      <vt:variant>
        <vt:lpwstr/>
      </vt:variant>
      <vt:variant>
        <vt:i4>5767258</vt:i4>
      </vt:variant>
      <vt:variant>
        <vt:i4>3</vt:i4>
      </vt:variant>
      <vt:variant>
        <vt:i4>0</vt:i4>
      </vt:variant>
      <vt:variant>
        <vt:i4>5</vt:i4>
      </vt:variant>
      <vt:variant>
        <vt:lpwstr>https://www.nssmc.gov.ua/</vt:lpwstr>
      </vt:variant>
      <vt:variant>
        <vt:lpwstr/>
      </vt:variant>
      <vt:variant>
        <vt:i4>3997777</vt:i4>
      </vt:variant>
      <vt:variant>
        <vt:i4>0</vt:i4>
      </vt:variant>
      <vt:variant>
        <vt:i4>0</vt:i4>
      </vt:variant>
      <vt:variant>
        <vt:i4>5</vt:i4>
      </vt:variant>
      <vt:variant>
        <vt:lpwstr>mailto:info@nssmc.gov.ua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1995-11-21T15:41:00Z</cp:lastPrinted>
  <dcterms:created xsi:type="dcterms:W3CDTF">2025-03-31T08:39:00Z</dcterms:created>
  <dcterms:modified xsi:type="dcterms:W3CDTF">2025-03-31T08:39:00Z</dcterms:modified>
</cp:coreProperties>
</file>