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E7" w:rsidRPr="00BD6829" w:rsidRDefault="00674AE7" w:rsidP="00BD6829">
      <w:pPr>
        <w:widowControl w:val="0"/>
        <w:ind w:left="4820"/>
        <w:jc w:val="right"/>
        <w:rPr>
          <w:lang w:val="ru-RU"/>
        </w:rPr>
      </w:pPr>
      <w:r w:rsidRPr="00BD6829">
        <w:t xml:space="preserve">Додаток </w:t>
      </w:r>
      <w:r w:rsidRPr="00BD6829">
        <w:rPr>
          <w:lang w:val="ru-RU"/>
        </w:rPr>
        <w:t>16</w:t>
      </w:r>
    </w:p>
    <w:p w:rsidR="00674AE7" w:rsidRPr="00BD6829" w:rsidRDefault="00674AE7" w:rsidP="00BD6829">
      <w:pPr>
        <w:widowControl w:val="0"/>
        <w:ind w:left="4820"/>
        <w:jc w:val="both"/>
      </w:pPr>
      <w:r w:rsidRPr="00BD6829">
        <w:t>до розпорядження Голови Національної комісії з цінних паперів та фондового ринку</w:t>
      </w:r>
    </w:p>
    <w:p w:rsidR="00544803" w:rsidRPr="00532144" w:rsidRDefault="00CD241D" w:rsidP="00BD6829">
      <w:pPr>
        <w:ind w:left="4820"/>
        <w:jc w:val="both"/>
        <w:rPr>
          <w:b/>
          <w:sz w:val="28"/>
          <w:szCs w:val="28"/>
        </w:rPr>
      </w:pPr>
      <w:r>
        <w:t>від 25.03.2025 № 22/20/1911/С04</w:t>
      </w:r>
    </w:p>
    <w:p w:rsidR="00544803" w:rsidRPr="00544803" w:rsidRDefault="00544803" w:rsidP="00544803">
      <w:pPr>
        <w:jc w:val="both"/>
        <w:rPr>
          <w:b/>
          <w:sz w:val="28"/>
          <w:szCs w:val="28"/>
        </w:rPr>
      </w:pPr>
    </w:p>
    <w:p w:rsidR="00544803" w:rsidRPr="00813503" w:rsidRDefault="00544803" w:rsidP="00544803">
      <w:pPr>
        <w:jc w:val="center"/>
        <w:rPr>
          <w:b/>
          <w:sz w:val="28"/>
          <w:szCs w:val="28"/>
        </w:rPr>
      </w:pPr>
      <w:r w:rsidRPr="00813503">
        <w:rPr>
          <w:b/>
          <w:sz w:val="28"/>
          <w:szCs w:val="28"/>
        </w:rPr>
        <w:t>ІНФОРМАЦІЙНА КАРТКА</w:t>
      </w:r>
    </w:p>
    <w:p w:rsidR="00544803" w:rsidRDefault="00544803" w:rsidP="00544803">
      <w:pPr>
        <w:jc w:val="center"/>
        <w:rPr>
          <w:b/>
          <w:sz w:val="28"/>
          <w:szCs w:val="28"/>
        </w:rPr>
      </w:pPr>
      <w:r w:rsidRPr="00813503">
        <w:rPr>
          <w:b/>
          <w:sz w:val="28"/>
          <w:szCs w:val="28"/>
        </w:rPr>
        <w:t>адміністративної послуги</w:t>
      </w:r>
    </w:p>
    <w:p w:rsidR="00544803" w:rsidRPr="00813503" w:rsidRDefault="00544803" w:rsidP="00544803">
      <w:pPr>
        <w:jc w:val="center"/>
        <w:rPr>
          <w:b/>
          <w:sz w:val="28"/>
          <w:szCs w:val="28"/>
        </w:rPr>
      </w:pPr>
    </w:p>
    <w:p w:rsidR="00E75851" w:rsidRPr="00544803" w:rsidRDefault="00663BA2" w:rsidP="00692A9F">
      <w:pPr>
        <w:jc w:val="center"/>
        <w:rPr>
          <w:b/>
          <w:sz w:val="28"/>
          <w:szCs w:val="28"/>
        </w:rPr>
      </w:pPr>
      <w:r w:rsidRPr="00544803">
        <w:rPr>
          <w:b/>
          <w:sz w:val="28"/>
          <w:szCs w:val="28"/>
        </w:rPr>
        <w:t>«</w:t>
      </w:r>
      <w:r w:rsidR="00413DF5">
        <w:rPr>
          <w:b/>
          <w:color w:val="000000"/>
          <w:sz w:val="28"/>
          <w:szCs w:val="28"/>
        </w:rPr>
        <w:t>Припинення дії</w:t>
      </w:r>
      <w:r w:rsidR="00B32AA1" w:rsidRPr="00B32AA1">
        <w:rPr>
          <w:b/>
          <w:color w:val="000000"/>
          <w:sz w:val="28"/>
          <w:szCs w:val="28"/>
        </w:rPr>
        <w:t xml:space="preserve"> ліцензії на провадження професійної діяльності на ринках капіталу</w:t>
      </w:r>
      <w:r w:rsidR="00AA6738">
        <w:rPr>
          <w:b/>
          <w:color w:val="000000"/>
          <w:sz w:val="28"/>
          <w:szCs w:val="28"/>
        </w:rPr>
        <w:t xml:space="preserve"> </w:t>
      </w:r>
      <w:r w:rsidR="00AA6738" w:rsidRPr="00AA6738">
        <w:rPr>
          <w:b/>
          <w:color w:val="000000"/>
          <w:sz w:val="28"/>
          <w:szCs w:val="28"/>
        </w:rPr>
        <w:t>(за видами професійної діяльності – діяльність з управління активами, діяльність з управління майном для фінансування об’єктів будівництва та/або здійснення операцій з нерухомістю, діяльність з адміністрування недержавних пенсійних фондів)</w:t>
      </w:r>
      <w:r w:rsidRPr="00544803">
        <w:rPr>
          <w:b/>
          <w:sz w:val="28"/>
          <w:szCs w:val="28"/>
        </w:rPr>
        <w:t>»</w:t>
      </w:r>
    </w:p>
    <w:p w:rsidR="008E62B7" w:rsidRPr="00544803" w:rsidRDefault="008E62B7" w:rsidP="0036708C">
      <w:pPr>
        <w:jc w:val="both"/>
        <w:rPr>
          <w:b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70"/>
        <w:gridCol w:w="6616"/>
      </w:tblGrid>
      <w:tr w:rsidR="00692A9F" w:rsidRPr="000C1F46" w:rsidTr="00BD6829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9F" w:rsidRPr="000C1F46" w:rsidRDefault="00692A9F" w:rsidP="00F60902">
            <w:pPr>
              <w:jc w:val="center"/>
            </w:pPr>
            <w:r w:rsidRPr="000C1F46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674AE7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7" w:rsidRPr="000C1F46" w:rsidRDefault="00674AE7" w:rsidP="00674AE7">
            <w:pPr>
              <w:jc w:val="both"/>
            </w:pPr>
            <w:r w:rsidRPr="000C1F46"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7" w:rsidRPr="000C1F46" w:rsidRDefault="00674AE7" w:rsidP="00674AE7">
            <w:pPr>
              <w:jc w:val="both"/>
            </w:pPr>
            <w:r w:rsidRPr="000C1F46">
              <w:t>Найменування суб’єкта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7" w:rsidRPr="00523932" w:rsidRDefault="00674AE7" w:rsidP="00674AE7">
            <w:pPr>
              <w:ind w:left="34"/>
              <w:jc w:val="both"/>
              <w:rPr>
                <w:shd w:val="clear" w:color="auto" w:fill="FFFFFF"/>
                <w:lang w:eastAsia="ru-RU"/>
              </w:rPr>
            </w:pPr>
            <w:r w:rsidRPr="00523932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Місцезнаходження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ind w:left="34"/>
              <w:jc w:val="both"/>
              <w:rPr>
                <w:shd w:val="clear" w:color="auto" w:fill="FFFFFF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0C1F46">
                <w:t>01010, м</w:t>
              </w:r>
            </w:smartTag>
            <w:r w:rsidRPr="000C1F46">
              <w:t xml:space="preserve">. Київ, вул. </w:t>
            </w:r>
            <w:r w:rsidR="009804B9" w:rsidRPr="009804B9">
              <w:t>Князів Острозьких</w:t>
            </w:r>
            <w:r w:rsidRPr="000C1F46">
              <w:t xml:space="preserve">, 8, </w:t>
            </w:r>
            <w:proofErr w:type="spellStart"/>
            <w:r w:rsidRPr="000C1F46">
              <w:t>корп</w:t>
            </w:r>
            <w:proofErr w:type="spellEnd"/>
            <w:r w:rsidRPr="000C1F46">
              <w:t>. 30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 xml:space="preserve">Режим роботи 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 xml:space="preserve">Понеділок – четвер з 9:00 до 18:00; </w:t>
            </w:r>
          </w:p>
          <w:p w:rsidR="00692A9F" w:rsidRPr="000C1F46" w:rsidRDefault="00692A9F" w:rsidP="00F60902">
            <w:pPr>
              <w:jc w:val="both"/>
            </w:pPr>
            <w:r w:rsidRPr="000C1F46">
              <w:t>п’ятниця з 9:00 до 16:45;</w:t>
            </w:r>
          </w:p>
          <w:p w:rsidR="00692A9F" w:rsidRPr="000C1F46" w:rsidRDefault="00692A9F" w:rsidP="00F60902">
            <w:pPr>
              <w:jc w:val="both"/>
            </w:pPr>
            <w:r w:rsidRPr="000C1F46">
              <w:t>обідня перерва з 13:00 до 13:45 </w:t>
            </w:r>
          </w:p>
        </w:tc>
      </w:tr>
      <w:tr w:rsidR="00674AE7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7" w:rsidRPr="000C1F46" w:rsidRDefault="00674AE7" w:rsidP="00674AE7">
            <w:pPr>
              <w:jc w:val="both"/>
            </w:pPr>
            <w:r w:rsidRPr="000C1F46"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7" w:rsidRPr="000C1F46" w:rsidRDefault="00674AE7" w:rsidP="00674AE7">
            <w:pPr>
              <w:jc w:val="both"/>
            </w:pPr>
            <w:r w:rsidRPr="000C1F46">
              <w:t xml:space="preserve">Телефон/факс (довідки), адреса електронної пошти та </w:t>
            </w:r>
            <w:r w:rsidRPr="000C1F46">
              <w:rPr>
                <w:rStyle w:val="spelle"/>
              </w:rPr>
              <w:t>веб-сайт</w:t>
            </w:r>
            <w:r w:rsidRPr="000C1F46">
              <w:t xml:space="preserve"> 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7" w:rsidRDefault="00674AE7" w:rsidP="00674AE7">
            <w:pPr>
              <w:contextualSpacing/>
            </w:pPr>
            <w:r>
              <w:t xml:space="preserve">Телефон: (044) </w:t>
            </w:r>
            <w:r w:rsidRPr="005C7FC7">
              <w:t>280-85-95</w:t>
            </w:r>
          </w:p>
          <w:p w:rsidR="00674AE7" w:rsidRDefault="00674AE7" w:rsidP="00674AE7">
            <w:pPr>
              <w:contextualSpacing/>
            </w:pPr>
            <w:proofErr w:type="spellStart"/>
            <w:r>
              <w:t>Вебсайт</w:t>
            </w:r>
            <w:proofErr w:type="spellEnd"/>
            <w:r>
              <w:t xml:space="preserve">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674AE7" w:rsidRPr="00523932" w:rsidRDefault="00674AE7" w:rsidP="00674AE7"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692A9F" w:rsidRPr="000C1F46" w:rsidTr="00BD6829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9F" w:rsidRPr="000C1F46" w:rsidRDefault="00692A9F" w:rsidP="00F60902">
            <w:pPr>
              <w:jc w:val="center"/>
              <w:rPr>
                <w:b/>
              </w:rPr>
            </w:pPr>
            <w:r w:rsidRPr="000C1F46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Закони України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A1" w:rsidRDefault="00F427BA" w:rsidP="00B32AA1">
            <w:pPr>
              <w:pStyle w:val="a5"/>
              <w:spacing w:before="0" w:beforeAutospacing="0" w:after="0" w:afterAutospacing="0"/>
              <w:jc w:val="both"/>
            </w:pPr>
            <w:hyperlink r:id="rId9" w:tgtFrame="_blank" w:history="1">
              <w:r w:rsidR="00B32AA1" w:rsidRPr="00523932">
                <w:rPr>
                  <w:rStyle w:val="a3"/>
                  <w:color w:val="auto"/>
                  <w:u w:val="none"/>
                </w:rPr>
                <w:t>Закон України «</w:t>
              </w:r>
              <w:r w:rsidR="00B32AA1" w:rsidRPr="00076FEB">
                <w:rPr>
                  <w:rStyle w:val="a3"/>
                  <w:color w:val="auto"/>
                  <w:u w:val="none"/>
                </w:rPr>
                <w:t>Про ринки капіталу та організовані товарні ринки</w:t>
              </w:r>
              <w:r w:rsidR="00B32AA1" w:rsidRPr="00523932">
                <w:rPr>
                  <w:rStyle w:val="a3"/>
                  <w:color w:val="auto"/>
                  <w:u w:val="none"/>
                </w:rPr>
                <w:t>»</w:t>
              </w:r>
            </w:hyperlink>
          </w:p>
          <w:p w:rsidR="00B32AA1" w:rsidRDefault="00B32AA1" w:rsidP="00B32AA1">
            <w:pPr>
              <w:pStyle w:val="a5"/>
              <w:spacing w:before="0" w:beforeAutospacing="0" w:after="0" w:afterAutospacing="0"/>
              <w:jc w:val="both"/>
            </w:pPr>
            <w:r w:rsidRPr="00C24427">
              <w:t>Закон України «Про державне регулювання ринків капіталу та організованих товарних ринків</w:t>
            </w:r>
            <w:r>
              <w:t>»</w:t>
            </w:r>
          </w:p>
          <w:p w:rsidR="00B32AA1" w:rsidRPr="00DF3340" w:rsidRDefault="00B32AA1" w:rsidP="00B32AA1">
            <w:pPr>
              <w:pStyle w:val="a5"/>
              <w:spacing w:before="0" w:beforeAutospacing="0" w:after="0" w:afterAutospacing="0"/>
              <w:jc w:val="both"/>
            </w:pPr>
            <w:r w:rsidRPr="00DF3340">
              <w:t>Закон України «Про інститути спільного інвестування»;</w:t>
            </w:r>
          </w:p>
          <w:p w:rsidR="00692A9F" w:rsidRDefault="00B32AA1" w:rsidP="00F404BC">
            <w:pPr>
              <w:pStyle w:val="a5"/>
              <w:spacing w:before="0" w:beforeAutospacing="0" w:after="0" w:afterAutospacing="0"/>
              <w:jc w:val="both"/>
            </w:pPr>
            <w:r w:rsidRPr="00DF3340">
              <w:t>Закон України «Про недержавне пенсійне забезпечення»</w:t>
            </w:r>
            <w:r>
              <w:t>.</w:t>
            </w:r>
          </w:p>
          <w:p w:rsidR="00DC6218" w:rsidRPr="00DC6218" w:rsidRDefault="00DC6218" w:rsidP="00F404BC">
            <w:pPr>
              <w:pStyle w:val="a5"/>
              <w:spacing w:before="0" w:beforeAutospacing="0" w:after="0" w:afterAutospacing="0"/>
              <w:jc w:val="both"/>
            </w:pPr>
            <w:r>
              <w:t>Закон України «Про адміністративну процедуру»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  <w:rPr>
                <w:shd w:val="clear" w:color="auto" w:fill="FFFFFF"/>
              </w:rPr>
            </w:pPr>
            <w:r w:rsidRPr="000C1F46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1D770C" w:rsidRDefault="00504272" w:rsidP="001D770C">
            <w:pPr>
              <w:jc w:val="both"/>
            </w:pPr>
            <w:r>
              <w:t xml:space="preserve">Порядок видачі, зупинення дії та </w:t>
            </w:r>
            <w:r w:rsidR="00413DF5">
              <w:t>припинення дії</w:t>
            </w:r>
            <w:r>
              <w:t xml:space="preserve"> ліцензії на провадження професійної діяльності на ринках капіталу, затверджений рішенням НКЦПФР від 21.10.2021 № 982, зареєстрованим в Міністерстві юстиції України 03.12.2021 за </w:t>
            </w:r>
            <w:r w:rsidR="001D770C">
              <w:br/>
            </w:r>
            <w:r>
              <w:t>№ 1563/37185</w:t>
            </w:r>
            <w:r w:rsidR="001D770C" w:rsidRPr="001D770C">
              <w:t xml:space="preserve"> (дал</w:t>
            </w:r>
            <w:r w:rsidR="001D770C">
              <w:t>і – Порядок 982)</w:t>
            </w:r>
          </w:p>
        </w:tc>
      </w:tr>
      <w:tr w:rsidR="00692A9F" w:rsidRPr="000C1F46" w:rsidTr="00BD6829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9F" w:rsidRPr="000C1F46" w:rsidRDefault="00692A9F" w:rsidP="00F60902">
            <w:pPr>
              <w:jc w:val="center"/>
            </w:pPr>
            <w:r w:rsidRPr="000C1F46">
              <w:rPr>
                <w:b/>
              </w:rPr>
              <w:t>Умови отримання адміністративної послуги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Перелік документів, необхідних для отримання адміністративної послуги, вимоги до них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13" w:rsidRPr="001D770C" w:rsidRDefault="00235A13" w:rsidP="001D770C">
            <w:pPr>
              <w:jc w:val="both"/>
              <w:rPr>
                <w:lang w:eastAsia="en-US"/>
              </w:rPr>
            </w:pPr>
            <w:r w:rsidRPr="001D770C">
              <w:t xml:space="preserve">Для </w:t>
            </w:r>
            <w:r w:rsidR="00413DF5">
              <w:t>припинення дії</w:t>
            </w:r>
            <w:r w:rsidRPr="001D770C">
              <w:t xml:space="preserve"> ліцензії за власною ініціативою ліцензіат надає офіційним каналом </w:t>
            </w:r>
            <w:r w:rsidR="001D770C">
              <w:t xml:space="preserve"> </w:t>
            </w:r>
            <w:r w:rsidRPr="001D770C">
              <w:t xml:space="preserve">зв’язку </w:t>
            </w:r>
            <w:bookmarkStart w:id="0" w:name="n176"/>
            <w:bookmarkEnd w:id="0"/>
            <w:r w:rsidR="00413DF5">
              <w:t>засобами інтегрованої підсистеми надання адміністративних послуг в електронній формі комплексної інформаційної системи НКЦПФР (КІС) з урахуванням вимог законодавства про електронні документи та електронний документообіг.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lastRenderedPageBreak/>
              <w:t xml:space="preserve">До заяви про </w:t>
            </w:r>
            <w:r w:rsidR="00413DF5">
              <w:t>припинення дії</w:t>
            </w:r>
            <w:r w:rsidRPr="001D770C">
              <w:t xml:space="preserve"> ліцензії, яка надається згідно з пунктом 2 розділу </w:t>
            </w:r>
            <w:r w:rsidRPr="001D770C">
              <w:rPr>
                <w:lang w:val="en-US"/>
              </w:rPr>
              <w:t>V</w:t>
            </w:r>
            <w:r w:rsidRPr="001D770C">
              <w:rPr>
                <w:lang w:val="ru-RU"/>
              </w:rPr>
              <w:t xml:space="preserve"> </w:t>
            </w:r>
            <w:r w:rsidRPr="001D770C">
              <w:t>Порядку, додаються такі документи: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t>1) рішення уповноваженого органу ліцензіата про припинення провадження певного виду професійної діяльності на ринках капіталу та/або припинення ліцензіата (шляхом злиття, приєднання, поділу) або ліквідації (рішення про припинення діяльності);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t xml:space="preserve">2) висновок </w:t>
            </w:r>
            <w:proofErr w:type="spellStart"/>
            <w:r w:rsidRPr="001D770C">
              <w:t>саморегулівної</w:t>
            </w:r>
            <w:proofErr w:type="spellEnd"/>
            <w:r w:rsidRPr="001D770C">
              <w:t xml:space="preserve"> організації за відповідним видом професійної діяльності (за умови реєстрації НКЦПФР об’єднання професійних учасників ринків капіталу як </w:t>
            </w:r>
            <w:proofErr w:type="spellStart"/>
            <w:r w:rsidRPr="001D770C">
              <w:t>саморегулівної</w:t>
            </w:r>
            <w:proofErr w:type="spellEnd"/>
            <w:r w:rsidRPr="001D770C">
              <w:t xml:space="preserve"> організації за відповідним видом професійної діяльності та за умови, якщо внутрішніми документами такої </w:t>
            </w:r>
            <w:proofErr w:type="spellStart"/>
            <w:r w:rsidRPr="001D770C">
              <w:t>саморегулівної</w:t>
            </w:r>
            <w:proofErr w:type="spellEnd"/>
            <w:r w:rsidRPr="001D770C">
              <w:t xml:space="preserve"> організації передбачено надання такого висновку), членом якої є ліцензіат, щодо можливості (неможливості) припинення заявником професійної діяльності на ринках капіталу, за винятком випадків припинення зазначеної діяльності за рішенням суду;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  <w:rPr>
                <w:b/>
              </w:rPr>
            </w:pPr>
            <w:r w:rsidRPr="001D770C">
              <w:rPr>
                <w:b/>
              </w:rPr>
              <w:t>для ліцензіатів, які здійснюють професійну діяльність на ринках капіталу - діяльність з управління активами інституційних інвесторів (діяльність з управління активами):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t>довідку в довільній формі завірену підписом керівника ліцензіата (або уповноваженою особою), яка повинна містити інформацію про відсутність у ліцензіата в управлінні інститутів спільного інвестування та недержавних пенсійних фондів, а саме інформація про вилучення пайових інвестиційних фондів з Єдиного державного реєстру інститутів спільного інвестування та/або про розірвання договорів, що були укладені з метою обслуговування корпоративних інвестиційних та недержавних пенсійних фондів.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t>Подання зазначених документів до НКЦПФР можливо за умови виключення пайових фондів з Єдиного державного реєстру інститутів спільного інвестування та відсутністю в управлінні корпоративних інвестиційних фондів та недержавних пенсійних фондів;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t>копію повідомлень, надісланих радам (наглядовим радам) інвестиційних та пенсійних фондів, з якими укладено відповідні договори, про прийняте рішення про припинення діяльності, засвідчену підписом керівника заявника;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rPr>
                <w:b/>
              </w:rPr>
              <w:t>для адміністраторів</w:t>
            </w:r>
            <w:r w:rsidRPr="001D770C">
              <w:t xml:space="preserve"> - копії документів, що підтверджують передачу в повному обсязі системи персоніфікованого обліку учасників НПФ та відповідної документації до обраного чи тимчасово призначеного нового адміністратора;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  <w:rPr>
                <w:b/>
              </w:rPr>
            </w:pPr>
            <w:r w:rsidRPr="001D770C">
              <w:rPr>
                <w:b/>
              </w:rPr>
              <w:t>для управителів:</w:t>
            </w:r>
          </w:p>
          <w:p w:rsidR="00235A13" w:rsidRPr="001D770C" w:rsidRDefault="00235A13" w:rsidP="00235A13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t xml:space="preserve">довідку про виконання всіх зобов’язань перед довірителями ФФБ та/або власниками сертифікатів ФОН, управління якими здійснювалося заявником при провадженні професійної діяльності на ринках капіталу, підписану керівником і головним бухгалтером (особою, на яку покладено ведення бухгалтерського обліку) заявника, або, у разі </w:t>
            </w:r>
            <w:r w:rsidRPr="001D770C">
              <w:lastRenderedPageBreak/>
              <w:t>покладання ведення бухгалтерського обліку заявника на юридичну особу - особи, яка безпосередньо здійснює ведення бухгалтерського обліку заявника у цій юридичній особі, або</w:t>
            </w:r>
          </w:p>
          <w:p w:rsidR="00692A9F" w:rsidRPr="001D770C" w:rsidRDefault="00235A13" w:rsidP="002B0B4D">
            <w:pPr>
              <w:pStyle w:val="rvps2"/>
              <w:shd w:val="clear" w:color="auto" w:fill="FFFFFF"/>
              <w:spacing w:before="0" w:beforeAutospacing="0" w:after="0" w:afterAutospacing="0"/>
              <w:ind w:firstLine="383"/>
              <w:contextualSpacing/>
              <w:jc w:val="both"/>
            </w:pPr>
            <w:r w:rsidRPr="001D770C">
              <w:t>копії документів, що підтверджують передачу ФФБ та/або ФОН, управління якими здійснювалося заявником при провадженні професійної діяльності на ринках капітал, в управління іншому управителю, у тому числі, якщо ліцензіат припинився шляхом приєднання до іншого ліцензіата, цьому ліцензіату - правонаступнику, якщо він має відповідну ліцензію, в установленому законодавством порядку.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lastRenderedPageBreak/>
              <w:t>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Платність (безоплатність) надання адміністративної послуги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Безоплатна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Порядок та спосіб подання документів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1D770C" w:rsidRDefault="00624931" w:rsidP="00F60902">
            <w:pPr>
              <w:jc w:val="both"/>
            </w:pPr>
            <w:r>
              <w:t>Документи, необхідні для надання адміністративної послуги, подаються засобами інтегрованої підсистеми надання адміністративних послуг в електронній формі комплексної інформаційної системи НКЦПФР (КІС) з урахуванням вимог законодавства про електронні документи та електронний документообіг.</w:t>
            </w:r>
          </w:p>
        </w:tc>
      </w:tr>
      <w:tr w:rsidR="00692A9F" w:rsidRPr="000C1F46" w:rsidTr="00BD682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Строк надання адміністративної послуги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D964D8" w:rsidRDefault="002B0B4D" w:rsidP="00624931">
            <w:pPr>
              <w:spacing w:before="240" w:beforeAutospacing="1" w:after="100" w:afterAutospacing="1"/>
              <w:jc w:val="both"/>
              <w:rPr>
                <w:rStyle w:val="rvts0"/>
              </w:rPr>
            </w:pPr>
            <w:r w:rsidRPr="00D964D8">
              <w:rPr>
                <w:shd w:val="clear" w:color="auto" w:fill="FFFFFF"/>
              </w:rPr>
              <w:t xml:space="preserve">НКЦПФР у разі отримання в установленому порядку заяви про </w:t>
            </w:r>
            <w:r w:rsidR="00413DF5">
              <w:rPr>
                <w:shd w:val="clear" w:color="auto" w:fill="FFFFFF"/>
              </w:rPr>
              <w:t>припинення дії</w:t>
            </w:r>
            <w:r w:rsidRPr="00D964D8">
              <w:rPr>
                <w:shd w:val="clear" w:color="auto" w:fill="FFFFFF"/>
              </w:rPr>
              <w:t xml:space="preserve"> ліцензії та усіх документів, передбачених пунктом 3 розділу</w:t>
            </w:r>
            <w:r w:rsidR="00524715" w:rsidRPr="00D964D8">
              <w:rPr>
                <w:shd w:val="clear" w:color="auto" w:fill="FFFFFF"/>
              </w:rPr>
              <w:t xml:space="preserve"> </w:t>
            </w:r>
            <w:r w:rsidR="00524715" w:rsidRPr="00D964D8">
              <w:rPr>
                <w:shd w:val="clear" w:color="auto" w:fill="FFFFFF"/>
                <w:lang w:val="en-US"/>
              </w:rPr>
              <w:t>V</w:t>
            </w:r>
            <w:r w:rsidR="00524715" w:rsidRPr="00D964D8">
              <w:rPr>
                <w:shd w:val="clear" w:color="auto" w:fill="FFFFFF"/>
              </w:rPr>
              <w:t xml:space="preserve"> Порядку</w:t>
            </w:r>
            <w:r w:rsidRPr="00D964D8">
              <w:rPr>
                <w:shd w:val="clear" w:color="auto" w:fill="FFFFFF"/>
              </w:rPr>
              <w:t xml:space="preserve">, повинна у строк не пізніше 30 календарних днів від дати надходження заяви про </w:t>
            </w:r>
            <w:r w:rsidR="00413DF5">
              <w:rPr>
                <w:shd w:val="clear" w:color="auto" w:fill="FFFFFF"/>
              </w:rPr>
              <w:t>припинення дії</w:t>
            </w:r>
            <w:r w:rsidRPr="00D964D8">
              <w:rPr>
                <w:shd w:val="clear" w:color="auto" w:fill="FFFFFF"/>
              </w:rPr>
              <w:t xml:space="preserve"> ліцензії та цих документів прийняти </w:t>
            </w:r>
            <w:r w:rsidR="00624931">
              <w:rPr>
                <w:shd w:val="clear" w:color="auto" w:fill="FFFFFF"/>
              </w:rPr>
              <w:t>постанову</w:t>
            </w:r>
            <w:r w:rsidRPr="00D964D8">
              <w:rPr>
                <w:shd w:val="clear" w:color="auto" w:fill="FFFFFF"/>
              </w:rPr>
              <w:t xml:space="preserve"> про </w:t>
            </w:r>
            <w:r w:rsidR="00413DF5">
              <w:rPr>
                <w:shd w:val="clear" w:color="auto" w:fill="FFFFFF"/>
              </w:rPr>
              <w:t>припинення дії</w:t>
            </w:r>
            <w:r w:rsidRPr="00D964D8">
              <w:rPr>
                <w:shd w:val="clear" w:color="auto" w:fill="FFFFFF"/>
              </w:rPr>
              <w:t xml:space="preserve"> ліцензії.</w:t>
            </w:r>
          </w:p>
        </w:tc>
      </w:tr>
      <w:tr w:rsidR="00692A9F" w:rsidRPr="000C1F46" w:rsidTr="00BD6829">
        <w:trPr>
          <w:trHeight w:val="62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Результат надання адміністративної послуги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D964D8" w:rsidRDefault="00624931" w:rsidP="00F60902">
            <w:pPr>
              <w:jc w:val="both"/>
            </w:pPr>
            <w:r>
              <w:t xml:space="preserve">Постанова </w:t>
            </w:r>
            <w:r w:rsidR="00692A9F" w:rsidRPr="00D964D8">
              <w:t xml:space="preserve">НКЦПФР про </w:t>
            </w:r>
            <w:r w:rsidR="00413DF5">
              <w:t>припинення дії</w:t>
            </w:r>
            <w:r w:rsidR="00692A9F" w:rsidRPr="00D964D8">
              <w:t xml:space="preserve"> ліцензії</w:t>
            </w:r>
          </w:p>
          <w:p w:rsidR="00692A9F" w:rsidRPr="00F635BC" w:rsidRDefault="00624931" w:rsidP="00F60902">
            <w:pPr>
              <w:jc w:val="both"/>
            </w:pPr>
            <w:r>
              <w:t>Постанова</w:t>
            </w:r>
            <w:r w:rsidR="00692A9F" w:rsidRPr="00D964D8">
              <w:t xml:space="preserve"> про відмову у </w:t>
            </w:r>
            <w:r w:rsidR="00413DF5">
              <w:t>припинення дії</w:t>
            </w:r>
            <w:r w:rsidR="00692A9F" w:rsidRPr="00D964D8">
              <w:t xml:space="preserve"> ліцензії (згідно Порядку)</w:t>
            </w:r>
          </w:p>
        </w:tc>
      </w:tr>
      <w:tr w:rsidR="00692A9F" w:rsidRPr="000C1F46" w:rsidTr="00BD6829">
        <w:trPr>
          <w:trHeight w:val="143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0C1F46" w:rsidRDefault="00692A9F" w:rsidP="00F60902">
            <w:pPr>
              <w:jc w:val="both"/>
            </w:pPr>
            <w:r w:rsidRPr="000C1F46">
              <w:t>Способи отримання відповіді (результату)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F" w:rsidRPr="001D770C" w:rsidRDefault="00AC5DA5" w:rsidP="00073A5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="002B0B4D" w:rsidRPr="001D770C">
              <w:rPr>
                <w:shd w:val="clear" w:color="auto" w:fill="FFFFFF"/>
              </w:rPr>
              <w:t xml:space="preserve">овідомлення про прийняття </w:t>
            </w:r>
            <w:r w:rsidR="00624931">
              <w:rPr>
                <w:shd w:val="clear" w:color="auto" w:fill="FFFFFF"/>
              </w:rPr>
              <w:t>постанови</w:t>
            </w:r>
            <w:r w:rsidR="002B0B4D" w:rsidRPr="001D770C">
              <w:rPr>
                <w:shd w:val="clear" w:color="auto" w:fill="FFFFFF"/>
              </w:rPr>
              <w:t xml:space="preserve"> про </w:t>
            </w:r>
            <w:r w:rsidR="00413DF5">
              <w:rPr>
                <w:shd w:val="clear" w:color="auto" w:fill="FFFFFF"/>
              </w:rPr>
              <w:t>припинення дії</w:t>
            </w:r>
            <w:r w:rsidR="002B0B4D" w:rsidRPr="001D770C">
              <w:rPr>
                <w:shd w:val="clear" w:color="auto" w:fill="FFFFFF"/>
              </w:rPr>
              <w:t xml:space="preserve"> ліцензії або відмову в </w:t>
            </w:r>
            <w:r w:rsidR="00F8438E">
              <w:rPr>
                <w:shd w:val="clear" w:color="auto" w:fill="FFFFFF"/>
              </w:rPr>
              <w:t>припиненні дії ліцензії</w:t>
            </w:r>
            <w:r w:rsidR="002B0B4D" w:rsidRPr="001D770C">
              <w:rPr>
                <w:shd w:val="clear" w:color="auto" w:fill="FFFFFF"/>
              </w:rPr>
              <w:t xml:space="preserve"> надсилається заявникові з додаванням копії </w:t>
            </w:r>
            <w:r w:rsidR="00624931">
              <w:rPr>
                <w:shd w:val="clear" w:color="auto" w:fill="FFFFFF"/>
              </w:rPr>
              <w:t>постанови</w:t>
            </w:r>
            <w:r w:rsidR="00F635BC">
              <w:rPr>
                <w:shd w:val="clear" w:color="auto" w:fill="FFFFFF"/>
              </w:rPr>
              <w:t xml:space="preserve"> НКЦПФР </w:t>
            </w:r>
            <w:r w:rsidR="00F635BC" w:rsidRPr="00F635BC">
              <w:rPr>
                <w:shd w:val="clear" w:color="auto" w:fill="FFFFFF"/>
              </w:rPr>
              <w:t>офіційним каналом зв’язку</w:t>
            </w:r>
            <w:r w:rsidR="00F635BC">
              <w:rPr>
                <w:shd w:val="clear" w:color="auto" w:fill="FFFFFF"/>
              </w:rPr>
              <w:t xml:space="preserve"> </w:t>
            </w:r>
            <w:r w:rsidR="00F635BC">
              <w:t>із застосуванням електронного підпису, що базується на кваліфікованому сертифікаті відкритого ключа службовця НКЦПФР, який наділений відповідними повноваженнями.</w:t>
            </w:r>
          </w:p>
          <w:p w:rsidR="002B0B4D" w:rsidRPr="001D770C" w:rsidRDefault="002B0B4D" w:rsidP="00F635BC">
            <w:pPr>
              <w:jc w:val="both"/>
            </w:pPr>
          </w:p>
        </w:tc>
      </w:tr>
    </w:tbl>
    <w:p w:rsidR="00692A9F" w:rsidRDefault="00692A9F" w:rsidP="0036708C">
      <w:pPr>
        <w:jc w:val="both"/>
        <w:rPr>
          <w:b/>
        </w:rPr>
      </w:pPr>
    </w:p>
    <w:p w:rsidR="00674AE7" w:rsidRDefault="00674AE7" w:rsidP="00674AE7">
      <w:pPr>
        <w:jc w:val="both"/>
      </w:pPr>
      <w:r>
        <w:t xml:space="preserve">Примітки: </w:t>
      </w:r>
    </w:p>
    <w:p w:rsidR="00674AE7" w:rsidRDefault="00674AE7" w:rsidP="00674AE7">
      <w:pPr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674AE7" w:rsidRDefault="00674AE7" w:rsidP="00674AE7">
      <w:pPr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674AE7" w:rsidRDefault="00674AE7" w:rsidP="00674AE7">
      <w:pPr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544803" w:rsidRPr="00F1342F" w:rsidRDefault="00674AE7" w:rsidP="00310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Результати надання адміністративної послуги можуть бути оскаржені до суду в порядку, встановленому законом</w:t>
      </w:r>
      <w:bookmarkStart w:id="1" w:name="_GoBack"/>
      <w:bookmarkEnd w:id="1"/>
    </w:p>
    <w:sectPr w:rsidR="00544803" w:rsidRPr="00F1342F" w:rsidSect="00310390">
      <w:headerReference w:type="default" r:id="rId10"/>
      <w:pgSz w:w="11906" w:h="16838"/>
      <w:pgMar w:top="964" w:right="849" w:bottom="1276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BA" w:rsidRDefault="00F427BA" w:rsidP="00544803">
      <w:r>
        <w:separator/>
      </w:r>
    </w:p>
  </w:endnote>
  <w:endnote w:type="continuationSeparator" w:id="0">
    <w:p w:rsidR="00F427BA" w:rsidRDefault="00F427BA" w:rsidP="0054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BA" w:rsidRDefault="00F427BA" w:rsidP="00544803">
      <w:r>
        <w:separator/>
      </w:r>
    </w:p>
  </w:footnote>
  <w:footnote w:type="continuationSeparator" w:id="0">
    <w:p w:rsidR="00F427BA" w:rsidRDefault="00F427BA" w:rsidP="0054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03" w:rsidRDefault="0054480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10390">
      <w:rPr>
        <w:noProof/>
      </w:rPr>
      <w:t>2</w:t>
    </w:r>
    <w:r>
      <w:fldChar w:fldCharType="end"/>
    </w:r>
  </w:p>
  <w:p w:rsidR="00544803" w:rsidRDefault="005448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349E5"/>
    <w:rsid w:val="00060C12"/>
    <w:rsid w:val="00073A57"/>
    <w:rsid w:val="00087A75"/>
    <w:rsid w:val="00091720"/>
    <w:rsid w:val="000D6ABF"/>
    <w:rsid w:val="000F2D4A"/>
    <w:rsid w:val="00132756"/>
    <w:rsid w:val="00146EB9"/>
    <w:rsid w:val="00151E8A"/>
    <w:rsid w:val="00165F9E"/>
    <w:rsid w:val="0018272A"/>
    <w:rsid w:val="00194F21"/>
    <w:rsid w:val="001A0772"/>
    <w:rsid w:val="001A51DF"/>
    <w:rsid w:val="001B4B0F"/>
    <w:rsid w:val="001D04BE"/>
    <w:rsid w:val="001D3544"/>
    <w:rsid w:val="001D770C"/>
    <w:rsid w:val="00203B1A"/>
    <w:rsid w:val="0022603C"/>
    <w:rsid w:val="00235A13"/>
    <w:rsid w:val="00240EBB"/>
    <w:rsid w:val="002701F4"/>
    <w:rsid w:val="002B0B4D"/>
    <w:rsid w:val="002C3FA8"/>
    <w:rsid w:val="002F6736"/>
    <w:rsid w:val="00300A14"/>
    <w:rsid w:val="00310390"/>
    <w:rsid w:val="0032029E"/>
    <w:rsid w:val="003230DA"/>
    <w:rsid w:val="0036708C"/>
    <w:rsid w:val="0037525A"/>
    <w:rsid w:val="00377E0A"/>
    <w:rsid w:val="003A3CC7"/>
    <w:rsid w:val="003A6E8C"/>
    <w:rsid w:val="003B665F"/>
    <w:rsid w:val="00413DF5"/>
    <w:rsid w:val="0044638E"/>
    <w:rsid w:val="00473DA2"/>
    <w:rsid w:val="00487DB1"/>
    <w:rsid w:val="004924E6"/>
    <w:rsid w:val="004A7E7F"/>
    <w:rsid w:val="004E491C"/>
    <w:rsid w:val="00504102"/>
    <w:rsid w:val="00504272"/>
    <w:rsid w:val="005155E9"/>
    <w:rsid w:val="00523932"/>
    <w:rsid w:val="00524715"/>
    <w:rsid w:val="0052545E"/>
    <w:rsid w:val="00531340"/>
    <w:rsid w:val="00533F88"/>
    <w:rsid w:val="00544803"/>
    <w:rsid w:val="00546400"/>
    <w:rsid w:val="00551017"/>
    <w:rsid w:val="00566EC9"/>
    <w:rsid w:val="00586273"/>
    <w:rsid w:val="005934D1"/>
    <w:rsid w:val="005970EA"/>
    <w:rsid w:val="005C4D9A"/>
    <w:rsid w:val="005D2130"/>
    <w:rsid w:val="0060034D"/>
    <w:rsid w:val="00624931"/>
    <w:rsid w:val="00635B9C"/>
    <w:rsid w:val="00655A0C"/>
    <w:rsid w:val="00657905"/>
    <w:rsid w:val="006601DA"/>
    <w:rsid w:val="00663BA2"/>
    <w:rsid w:val="0066688F"/>
    <w:rsid w:val="00674AE7"/>
    <w:rsid w:val="00692A9F"/>
    <w:rsid w:val="006D394E"/>
    <w:rsid w:val="00743FC3"/>
    <w:rsid w:val="0076731E"/>
    <w:rsid w:val="0078159B"/>
    <w:rsid w:val="00784293"/>
    <w:rsid w:val="00795B03"/>
    <w:rsid w:val="007A4557"/>
    <w:rsid w:val="007B005D"/>
    <w:rsid w:val="007B7746"/>
    <w:rsid w:val="0084446E"/>
    <w:rsid w:val="00845D77"/>
    <w:rsid w:val="00846BBE"/>
    <w:rsid w:val="0085232C"/>
    <w:rsid w:val="0085505F"/>
    <w:rsid w:val="00867A91"/>
    <w:rsid w:val="008827C5"/>
    <w:rsid w:val="008A5623"/>
    <w:rsid w:val="008B0BB0"/>
    <w:rsid w:val="008B30A9"/>
    <w:rsid w:val="008E2DD0"/>
    <w:rsid w:val="008E62B7"/>
    <w:rsid w:val="0092187D"/>
    <w:rsid w:val="009250DA"/>
    <w:rsid w:val="00956F07"/>
    <w:rsid w:val="00967ADA"/>
    <w:rsid w:val="009804B9"/>
    <w:rsid w:val="00984F77"/>
    <w:rsid w:val="00986DB8"/>
    <w:rsid w:val="00991BD2"/>
    <w:rsid w:val="009A0A45"/>
    <w:rsid w:val="009B7CB0"/>
    <w:rsid w:val="009C7703"/>
    <w:rsid w:val="009D6BF0"/>
    <w:rsid w:val="009F060B"/>
    <w:rsid w:val="009F1EEA"/>
    <w:rsid w:val="00A135CF"/>
    <w:rsid w:val="00A36195"/>
    <w:rsid w:val="00A573EA"/>
    <w:rsid w:val="00A652E8"/>
    <w:rsid w:val="00AA6738"/>
    <w:rsid w:val="00AA78B5"/>
    <w:rsid w:val="00AC469E"/>
    <w:rsid w:val="00AC5DA5"/>
    <w:rsid w:val="00AC61B9"/>
    <w:rsid w:val="00AC6C0C"/>
    <w:rsid w:val="00AE6078"/>
    <w:rsid w:val="00AE7062"/>
    <w:rsid w:val="00B32AA1"/>
    <w:rsid w:val="00B43FB9"/>
    <w:rsid w:val="00B4786E"/>
    <w:rsid w:val="00B844A0"/>
    <w:rsid w:val="00B97C27"/>
    <w:rsid w:val="00BC7E02"/>
    <w:rsid w:val="00BD3212"/>
    <w:rsid w:val="00BD6829"/>
    <w:rsid w:val="00BE2D80"/>
    <w:rsid w:val="00C25216"/>
    <w:rsid w:val="00C3136C"/>
    <w:rsid w:val="00C538AF"/>
    <w:rsid w:val="00CC16CF"/>
    <w:rsid w:val="00CC2448"/>
    <w:rsid w:val="00CC65CF"/>
    <w:rsid w:val="00CD241D"/>
    <w:rsid w:val="00CE3FBE"/>
    <w:rsid w:val="00CE5B92"/>
    <w:rsid w:val="00CF6027"/>
    <w:rsid w:val="00D165DF"/>
    <w:rsid w:val="00D237D7"/>
    <w:rsid w:val="00D62926"/>
    <w:rsid w:val="00D964D8"/>
    <w:rsid w:val="00DB5881"/>
    <w:rsid w:val="00DC2CA9"/>
    <w:rsid w:val="00DC6218"/>
    <w:rsid w:val="00DE2995"/>
    <w:rsid w:val="00DF7D78"/>
    <w:rsid w:val="00E151F5"/>
    <w:rsid w:val="00E22024"/>
    <w:rsid w:val="00E451CC"/>
    <w:rsid w:val="00E63310"/>
    <w:rsid w:val="00E646D2"/>
    <w:rsid w:val="00E64B68"/>
    <w:rsid w:val="00E722BA"/>
    <w:rsid w:val="00E75851"/>
    <w:rsid w:val="00E94AF5"/>
    <w:rsid w:val="00E9522E"/>
    <w:rsid w:val="00EA3D20"/>
    <w:rsid w:val="00ED7566"/>
    <w:rsid w:val="00EE62D7"/>
    <w:rsid w:val="00F1342F"/>
    <w:rsid w:val="00F404BC"/>
    <w:rsid w:val="00F427BA"/>
    <w:rsid w:val="00F60902"/>
    <w:rsid w:val="00F635BC"/>
    <w:rsid w:val="00F635CE"/>
    <w:rsid w:val="00F743FA"/>
    <w:rsid w:val="00F8438E"/>
    <w:rsid w:val="00F92F9A"/>
    <w:rsid w:val="00FA2BE0"/>
    <w:rsid w:val="00FE5D5A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4096-2741-4EE5-8F2B-08F93E9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customStyle="1" w:styleId="tjbmf">
    <w:name w:val="tj bmf"/>
    <w:basedOn w:val="a"/>
    <w:rsid w:val="00692A9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54480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544803"/>
    <w:rPr>
      <w:sz w:val="24"/>
      <w:szCs w:val="24"/>
    </w:rPr>
  </w:style>
  <w:style w:type="character" w:styleId="ab">
    <w:name w:val="FollowedHyperlink"/>
    <w:rsid w:val="00FE5D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3480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4739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7427</CharactersWithSpaces>
  <SharedDoc>false</SharedDoc>
  <HLinks>
    <vt:vector size="24" baseType="variant">
      <vt:variant>
        <vt:i4>2424866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http://zakon0.rada.gov.ua/laws/show/3480-15</vt:lpwstr>
      </vt:variant>
      <vt:variant>
        <vt:lpwstr/>
      </vt:variant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3997777</vt:i4>
      </vt:variant>
      <vt:variant>
        <vt:i4>3</vt:i4>
      </vt:variant>
      <vt:variant>
        <vt:i4>0</vt:i4>
      </vt:variant>
      <vt:variant>
        <vt:i4>5</vt:i4>
      </vt:variant>
      <vt:variant>
        <vt:lpwstr>mailto:info@nssmc.gov.ua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2</cp:revision>
  <cp:lastPrinted>2018-08-13T10:30:00Z</cp:lastPrinted>
  <dcterms:created xsi:type="dcterms:W3CDTF">2025-03-31T08:38:00Z</dcterms:created>
  <dcterms:modified xsi:type="dcterms:W3CDTF">2025-03-31T08:38:00Z</dcterms:modified>
</cp:coreProperties>
</file>