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B2" w:rsidRPr="00C66D9D" w:rsidRDefault="00AB77B2" w:rsidP="00C66D9D">
      <w:pPr>
        <w:ind w:left="4678"/>
        <w:jc w:val="right"/>
        <w:rPr>
          <w:lang w:val="ru-RU"/>
        </w:rPr>
      </w:pPr>
      <w:r w:rsidRPr="00C66D9D">
        <w:t xml:space="preserve">Додаток </w:t>
      </w:r>
      <w:r w:rsidR="00765B8D" w:rsidRPr="00C66D9D">
        <w:t>17</w:t>
      </w:r>
    </w:p>
    <w:p w:rsidR="00765B8D" w:rsidRPr="00C66D9D" w:rsidRDefault="00765B8D" w:rsidP="00C66D9D">
      <w:pPr>
        <w:pStyle w:val="a5"/>
        <w:widowControl w:val="0"/>
        <w:spacing w:before="0" w:beforeAutospacing="0" w:after="0" w:afterAutospacing="0"/>
        <w:ind w:left="4678"/>
        <w:jc w:val="both"/>
      </w:pPr>
      <w:r w:rsidRPr="00C66D9D">
        <w:t xml:space="preserve">до розпорядження Голови Національної комісії з цінних паперів та фондового ринку </w:t>
      </w:r>
      <w:r w:rsidR="002D6969">
        <w:t>від 25.03.2025 № 22/20/1911/С04</w:t>
      </w:r>
    </w:p>
    <w:p w:rsidR="005F40BA" w:rsidRDefault="005F40BA" w:rsidP="005F40BA">
      <w:pPr>
        <w:jc w:val="both"/>
        <w:rPr>
          <w:b/>
          <w:sz w:val="28"/>
          <w:szCs w:val="28"/>
        </w:rPr>
      </w:pPr>
    </w:p>
    <w:p w:rsidR="00765B8D" w:rsidRPr="00B875F6" w:rsidRDefault="00765B8D" w:rsidP="005F40BA">
      <w:pPr>
        <w:jc w:val="both"/>
        <w:rPr>
          <w:b/>
          <w:sz w:val="28"/>
          <w:szCs w:val="28"/>
        </w:rPr>
      </w:pPr>
    </w:p>
    <w:p w:rsidR="005F40BA" w:rsidRPr="004B390D" w:rsidRDefault="005F40BA" w:rsidP="005F40BA">
      <w:pPr>
        <w:jc w:val="center"/>
        <w:rPr>
          <w:b/>
          <w:sz w:val="28"/>
          <w:szCs w:val="28"/>
        </w:rPr>
      </w:pPr>
      <w:r w:rsidRPr="004B390D">
        <w:rPr>
          <w:b/>
          <w:sz w:val="28"/>
          <w:szCs w:val="28"/>
        </w:rPr>
        <w:t>ІНФОРМАЦІЙНА КАРТКА</w:t>
      </w:r>
    </w:p>
    <w:p w:rsidR="005F40BA" w:rsidRPr="004B390D" w:rsidRDefault="005F40BA" w:rsidP="005F40BA">
      <w:pPr>
        <w:jc w:val="center"/>
        <w:rPr>
          <w:b/>
          <w:sz w:val="28"/>
          <w:szCs w:val="28"/>
        </w:rPr>
      </w:pPr>
      <w:r w:rsidRPr="004B390D">
        <w:rPr>
          <w:b/>
          <w:sz w:val="28"/>
          <w:szCs w:val="28"/>
        </w:rPr>
        <w:t>адміністративної послуги</w:t>
      </w:r>
    </w:p>
    <w:p w:rsidR="005F40BA" w:rsidRPr="004B390D" w:rsidRDefault="005F40BA" w:rsidP="005F40BA">
      <w:pPr>
        <w:jc w:val="center"/>
        <w:rPr>
          <w:b/>
          <w:sz w:val="28"/>
          <w:szCs w:val="28"/>
        </w:rPr>
      </w:pPr>
    </w:p>
    <w:p w:rsidR="005F40BA" w:rsidRDefault="005F40BA" w:rsidP="00C66D9D">
      <w:pPr>
        <w:jc w:val="center"/>
        <w:rPr>
          <w:b/>
          <w:color w:val="000000"/>
          <w:sz w:val="28"/>
          <w:szCs w:val="28"/>
        </w:rPr>
      </w:pPr>
      <w:r w:rsidRPr="004B390D">
        <w:rPr>
          <w:b/>
          <w:sz w:val="28"/>
          <w:szCs w:val="28"/>
        </w:rPr>
        <w:t>«</w:t>
      </w:r>
      <w:r w:rsidR="004A3DA0" w:rsidRPr="004A3DA0">
        <w:rPr>
          <w:b/>
          <w:color w:val="000000"/>
          <w:sz w:val="28"/>
          <w:szCs w:val="28"/>
        </w:rPr>
        <w:t>Припине</w:t>
      </w:r>
      <w:r w:rsidRPr="004B390D">
        <w:rPr>
          <w:b/>
          <w:color w:val="000000"/>
          <w:sz w:val="28"/>
          <w:szCs w:val="28"/>
        </w:rPr>
        <w:t xml:space="preserve">ння </w:t>
      </w:r>
      <w:r w:rsidR="004A3DA0" w:rsidRPr="004A3DA0">
        <w:rPr>
          <w:b/>
          <w:color w:val="000000"/>
          <w:sz w:val="28"/>
          <w:szCs w:val="28"/>
        </w:rPr>
        <w:t>д</w:t>
      </w:r>
      <w:r w:rsidR="004A3DA0">
        <w:rPr>
          <w:b/>
          <w:color w:val="000000"/>
          <w:sz w:val="28"/>
          <w:szCs w:val="28"/>
        </w:rPr>
        <w:t xml:space="preserve">ії </w:t>
      </w:r>
      <w:r w:rsidRPr="004B390D">
        <w:rPr>
          <w:b/>
          <w:sz w:val="28"/>
          <w:szCs w:val="28"/>
        </w:rPr>
        <w:t xml:space="preserve">ліцензії на провадження </w:t>
      </w:r>
      <w:r w:rsidRPr="004B390D">
        <w:rPr>
          <w:b/>
          <w:color w:val="000000"/>
          <w:sz w:val="28"/>
          <w:szCs w:val="28"/>
        </w:rPr>
        <w:t>професійної діяльності на ринках капіталу та організованих товарних ринках</w:t>
      </w:r>
      <w:r>
        <w:rPr>
          <w:b/>
          <w:color w:val="000000"/>
          <w:sz w:val="28"/>
          <w:szCs w:val="28"/>
        </w:rPr>
        <w:t xml:space="preserve"> </w:t>
      </w:r>
      <w:r w:rsidRPr="00540673">
        <w:rPr>
          <w:b/>
          <w:color w:val="000000"/>
          <w:sz w:val="28"/>
          <w:szCs w:val="28"/>
        </w:rPr>
        <w:t>(за видами професійної діяльності – діяльніс</w:t>
      </w:r>
      <w:bookmarkStart w:id="0" w:name="_GoBack"/>
      <w:bookmarkEnd w:id="0"/>
      <w:r w:rsidRPr="00540673">
        <w:rPr>
          <w:b/>
          <w:color w:val="000000"/>
          <w:sz w:val="28"/>
          <w:szCs w:val="28"/>
        </w:rPr>
        <w:t xml:space="preserve">ть з торгівлі фінансовими інструментами, діяльність з організації з торгівлі фінансовими інструментами, депозитарна діяльність, клірингова діяльність, </w:t>
      </w:r>
      <w:r w:rsidR="00122248" w:rsidRPr="00110FE2">
        <w:rPr>
          <w:b/>
          <w:sz w:val="28"/>
          <w:szCs w:val="28"/>
        </w:rPr>
        <w:t xml:space="preserve">діяльність з управління активами інституційних інвесторів, а саме </w:t>
      </w:r>
      <w:r w:rsidRPr="00110FE2">
        <w:rPr>
          <w:b/>
          <w:sz w:val="28"/>
          <w:szCs w:val="28"/>
        </w:rPr>
        <w:t>діяльніс</w:t>
      </w:r>
      <w:r w:rsidRPr="00540673">
        <w:rPr>
          <w:b/>
          <w:color w:val="000000"/>
          <w:sz w:val="28"/>
          <w:szCs w:val="28"/>
        </w:rPr>
        <w:t>ть з управління іпотечним покриттям, діяльність на організованих товарних ринках)</w:t>
      </w:r>
      <w:r>
        <w:rPr>
          <w:b/>
          <w:color w:val="000000"/>
          <w:sz w:val="28"/>
          <w:szCs w:val="28"/>
        </w:rPr>
        <w:t>»</w:t>
      </w:r>
    </w:p>
    <w:p w:rsidR="005F40BA" w:rsidRPr="004B390D" w:rsidRDefault="005F40BA" w:rsidP="005F40BA">
      <w:pPr>
        <w:ind w:firstLine="567"/>
        <w:jc w:val="center"/>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181"/>
        <w:gridCol w:w="6707"/>
      </w:tblGrid>
      <w:tr w:rsidR="005F40BA" w:rsidRPr="006A1074" w:rsidTr="001047C7">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5F40BA" w:rsidRPr="006A1074" w:rsidRDefault="005F40BA" w:rsidP="00E34CAF">
            <w:pPr>
              <w:jc w:val="center"/>
            </w:pPr>
            <w:r w:rsidRPr="006A1074">
              <w:t>Інформація про суб’єкта надання адміністративної послуги</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1</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Найменування суб’єкта</w:t>
            </w:r>
          </w:p>
        </w:tc>
        <w:tc>
          <w:tcPr>
            <w:tcW w:w="3588" w:type="pct"/>
            <w:tcBorders>
              <w:top w:val="single" w:sz="4" w:space="0" w:color="auto"/>
              <w:left w:val="single" w:sz="4" w:space="0" w:color="auto"/>
              <w:bottom w:val="single" w:sz="4" w:space="0" w:color="auto"/>
              <w:right w:val="single" w:sz="4" w:space="0" w:color="auto"/>
            </w:tcBorders>
          </w:tcPr>
          <w:p w:rsidR="005F40BA" w:rsidRPr="000C1F46" w:rsidRDefault="005F40BA" w:rsidP="00765B8D">
            <w:pPr>
              <w:ind w:left="34"/>
              <w:jc w:val="both"/>
              <w:rPr>
                <w:shd w:val="clear" w:color="auto" w:fill="FFFFFF"/>
                <w:lang w:eastAsia="ru-RU"/>
              </w:rPr>
            </w:pPr>
            <w:r w:rsidRPr="000C1F46">
              <w:rPr>
                <w:shd w:val="clear" w:color="auto" w:fill="FFFFFF"/>
                <w:lang w:eastAsia="ru-RU"/>
              </w:rPr>
              <w:t>Національна комісія з цінних паперів та фондового ринку</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2</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Місцезнаходження</w:t>
            </w:r>
          </w:p>
        </w:tc>
        <w:tc>
          <w:tcPr>
            <w:tcW w:w="3588"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ind w:left="34"/>
              <w:jc w:val="both"/>
              <w:rPr>
                <w:shd w:val="clear" w:color="auto" w:fill="FFFFFF"/>
                <w:lang w:val="en-US" w:eastAsia="ru-RU"/>
              </w:rPr>
            </w:pPr>
            <w:smartTag w:uri="urn:schemas-microsoft-com:office:smarttags" w:element="metricconverter">
              <w:smartTagPr>
                <w:attr w:name="ProductID" w:val="01010, м"/>
              </w:smartTagPr>
              <w:r w:rsidRPr="000C1F46">
                <w:t>01010, м</w:t>
              </w:r>
            </w:smartTag>
            <w:r w:rsidRPr="000C1F46">
              <w:t xml:space="preserve">. Київ, вул. </w:t>
            </w:r>
            <w:r w:rsidR="008F147D" w:rsidRPr="008F147D">
              <w:t>Князів Острозьких</w:t>
            </w:r>
            <w:r w:rsidRPr="000C1F46">
              <w:t>, 8, корп. 30</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3</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 xml:space="preserve">Режим роботи </w:t>
            </w:r>
          </w:p>
        </w:tc>
        <w:tc>
          <w:tcPr>
            <w:tcW w:w="3588"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 xml:space="preserve">Понеділок – четвер з 9:00 до 18:00; </w:t>
            </w:r>
          </w:p>
          <w:p w:rsidR="005F40BA" w:rsidRPr="000C1F46" w:rsidRDefault="005F40BA" w:rsidP="00E34CAF">
            <w:pPr>
              <w:jc w:val="both"/>
            </w:pPr>
            <w:r w:rsidRPr="000C1F46">
              <w:t>п’ятниця з 9:00 до 16:45;</w:t>
            </w:r>
          </w:p>
          <w:p w:rsidR="005F40BA" w:rsidRPr="000C1F46" w:rsidRDefault="005F40BA" w:rsidP="00E34CAF">
            <w:pPr>
              <w:jc w:val="both"/>
            </w:pPr>
            <w:r w:rsidRPr="000C1F46">
              <w:t>обідня перерва з 13:00 до 13:45 </w:t>
            </w:r>
          </w:p>
        </w:tc>
      </w:tr>
      <w:tr w:rsidR="00765B8D" w:rsidRPr="000C1F46" w:rsidTr="001047C7">
        <w:tc>
          <w:tcPr>
            <w:tcW w:w="245" w:type="pct"/>
            <w:tcBorders>
              <w:top w:val="single" w:sz="4" w:space="0" w:color="auto"/>
              <w:left w:val="single" w:sz="4" w:space="0" w:color="auto"/>
              <w:bottom w:val="single" w:sz="4" w:space="0" w:color="auto"/>
              <w:right w:val="single" w:sz="4" w:space="0" w:color="auto"/>
            </w:tcBorders>
          </w:tcPr>
          <w:p w:rsidR="00765B8D" w:rsidRPr="000C1F46" w:rsidRDefault="00765B8D" w:rsidP="00765B8D">
            <w:pPr>
              <w:jc w:val="both"/>
            </w:pPr>
            <w:r w:rsidRPr="000C1F46">
              <w:t>4</w:t>
            </w:r>
          </w:p>
        </w:tc>
        <w:tc>
          <w:tcPr>
            <w:tcW w:w="1167" w:type="pct"/>
            <w:tcBorders>
              <w:top w:val="single" w:sz="4" w:space="0" w:color="auto"/>
              <w:left w:val="single" w:sz="4" w:space="0" w:color="auto"/>
              <w:bottom w:val="single" w:sz="4" w:space="0" w:color="auto"/>
              <w:right w:val="single" w:sz="4" w:space="0" w:color="auto"/>
            </w:tcBorders>
          </w:tcPr>
          <w:p w:rsidR="00765B8D" w:rsidRPr="000C1F46" w:rsidRDefault="00765B8D" w:rsidP="00765B8D">
            <w:pPr>
              <w:jc w:val="both"/>
            </w:pPr>
            <w:r w:rsidRPr="000C1F46">
              <w:t xml:space="preserve">Телефон/факс (довідки), адреса електронної пошти та </w:t>
            </w:r>
            <w:r w:rsidRPr="000C1F46">
              <w:rPr>
                <w:rStyle w:val="spelle"/>
              </w:rPr>
              <w:t>веб-сайт</w:t>
            </w:r>
            <w:r w:rsidRPr="000C1F46">
              <w:t xml:space="preserve"> </w:t>
            </w:r>
          </w:p>
        </w:tc>
        <w:tc>
          <w:tcPr>
            <w:tcW w:w="3588" w:type="pct"/>
            <w:tcBorders>
              <w:top w:val="single" w:sz="4" w:space="0" w:color="auto"/>
              <w:left w:val="single" w:sz="4" w:space="0" w:color="auto"/>
              <w:bottom w:val="single" w:sz="4" w:space="0" w:color="auto"/>
              <w:right w:val="single" w:sz="4" w:space="0" w:color="auto"/>
            </w:tcBorders>
          </w:tcPr>
          <w:p w:rsidR="00765B8D" w:rsidRDefault="00765B8D" w:rsidP="00765B8D">
            <w:pPr>
              <w:jc w:val="both"/>
            </w:pPr>
            <w:r>
              <w:t>Телефон: 280-85-95</w:t>
            </w:r>
          </w:p>
          <w:p w:rsidR="00765B8D" w:rsidRDefault="00765B8D" w:rsidP="00765B8D">
            <w:pPr>
              <w:jc w:val="both"/>
            </w:pPr>
            <w:r>
              <w:t xml:space="preserve">Вебсайт: </w:t>
            </w:r>
            <w:hyperlink r:id="rId8" w:history="1">
              <w:r>
                <w:rPr>
                  <w:rStyle w:val="a3"/>
                </w:rPr>
                <w:t>https://www.nssmc.gov.ua/</w:t>
              </w:r>
            </w:hyperlink>
          </w:p>
          <w:p w:rsidR="00765B8D" w:rsidRPr="00AC0845" w:rsidRDefault="00765B8D" w:rsidP="00765B8D">
            <w:pPr>
              <w:jc w:val="both"/>
            </w:pPr>
            <w:r>
              <w:t xml:space="preserve">Засоби комплексної інформаційної системи (КІС) </w:t>
            </w:r>
            <w:hyperlink r:id="rId9" w:history="1">
              <w:r w:rsidRPr="00685A8B">
                <w:rPr>
                  <w:rStyle w:val="a3"/>
                </w:rPr>
                <w:t>https://services.nssmc.gov.ua</w:t>
              </w:r>
            </w:hyperlink>
          </w:p>
        </w:tc>
      </w:tr>
      <w:tr w:rsidR="005F40BA" w:rsidRPr="000C1F46" w:rsidTr="001047C7">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5F40BA" w:rsidRPr="000C1F46" w:rsidRDefault="005F40BA" w:rsidP="00E34CAF">
            <w:pPr>
              <w:jc w:val="center"/>
              <w:rPr>
                <w:b/>
              </w:rPr>
            </w:pPr>
            <w:r w:rsidRPr="000C1F46">
              <w:rPr>
                <w:b/>
                <w:shd w:val="clear" w:color="auto" w:fill="FFFFFF"/>
              </w:rPr>
              <w:t>Нормативні акти, якими регламентується надання адміністративної послуги</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5</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Закони України</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5F40BA" w:rsidP="004F00E9">
            <w:pPr>
              <w:pStyle w:val="a5"/>
              <w:spacing w:before="0" w:beforeAutospacing="0" w:after="0" w:afterAutospacing="0"/>
              <w:ind w:firstLine="174"/>
              <w:jc w:val="both"/>
            </w:pPr>
            <w:r w:rsidRPr="004F00E9">
              <w:t xml:space="preserve">Закон України «Про </w:t>
            </w:r>
            <w:r w:rsidRPr="004F00E9">
              <w:rPr>
                <w:bCs/>
                <w:shd w:val="clear" w:color="auto" w:fill="FFFFFF"/>
              </w:rPr>
              <w:t>ринки капіталу та організовані товарні ринки</w:t>
            </w:r>
            <w:r w:rsidRPr="004F00E9">
              <w:t xml:space="preserve">»;  </w:t>
            </w:r>
          </w:p>
          <w:p w:rsidR="005F40BA" w:rsidRPr="004F00E9" w:rsidRDefault="005F40BA" w:rsidP="004F00E9">
            <w:pPr>
              <w:pStyle w:val="a5"/>
              <w:spacing w:before="0" w:beforeAutospacing="0" w:after="0" w:afterAutospacing="0"/>
              <w:ind w:firstLine="174"/>
              <w:jc w:val="both"/>
            </w:pPr>
            <w:r w:rsidRPr="004F00E9">
              <w:t>Закон України «Про товарні біржі»;</w:t>
            </w:r>
          </w:p>
          <w:p w:rsidR="005F40BA" w:rsidRPr="004F00E9" w:rsidRDefault="005F40BA" w:rsidP="004F00E9">
            <w:pPr>
              <w:pStyle w:val="a5"/>
              <w:spacing w:before="0" w:beforeAutospacing="0" w:after="0" w:afterAutospacing="0"/>
              <w:ind w:firstLine="174"/>
              <w:jc w:val="both"/>
            </w:pPr>
            <w:r w:rsidRPr="004F00E9">
              <w:t xml:space="preserve">Закон України «Про державне регулювання </w:t>
            </w:r>
            <w:r w:rsidRPr="004F00E9">
              <w:rPr>
                <w:bCs/>
                <w:shd w:val="clear" w:color="auto" w:fill="FFFFFF"/>
              </w:rPr>
              <w:t>ринків капіталу та організованих товарних ринків</w:t>
            </w:r>
            <w:r w:rsidRPr="004F00E9">
              <w:t>»;</w:t>
            </w:r>
          </w:p>
          <w:p w:rsidR="005F40BA" w:rsidRPr="004F00E9" w:rsidRDefault="005F40BA" w:rsidP="004F00E9">
            <w:pPr>
              <w:pStyle w:val="a5"/>
              <w:spacing w:before="0" w:beforeAutospacing="0" w:after="0" w:afterAutospacing="0"/>
              <w:ind w:firstLine="174"/>
              <w:jc w:val="both"/>
            </w:pPr>
            <w:hyperlink r:id="rId10" w:tgtFrame="_blank" w:history="1">
              <w:r w:rsidRPr="004F00E9">
                <w:rPr>
                  <w:rStyle w:val="a3"/>
                  <w:color w:val="auto"/>
                  <w:u w:val="none"/>
                </w:rPr>
                <w:t>Закон України «Про депозитарну систему України»</w:t>
              </w:r>
            </w:hyperlink>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6</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rPr>
                <w:shd w:val="clear" w:color="auto" w:fill="FFFFFF"/>
              </w:rPr>
              <w:t>Акти Кабінету Міністрів України</w:t>
            </w:r>
          </w:p>
        </w:tc>
        <w:tc>
          <w:tcPr>
            <w:tcW w:w="3588"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t>-</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7</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rPr>
                <w:shd w:val="clear" w:color="auto" w:fill="FFFFFF"/>
              </w:rPr>
            </w:pPr>
            <w:r w:rsidRPr="000C1F46">
              <w:rPr>
                <w:shd w:val="clear" w:color="auto" w:fill="FFFFFF"/>
              </w:rPr>
              <w:t>Нормативні документи НКЦПФР</w:t>
            </w:r>
          </w:p>
        </w:tc>
        <w:tc>
          <w:tcPr>
            <w:tcW w:w="3588" w:type="pct"/>
            <w:tcBorders>
              <w:top w:val="single" w:sz="4" w:space="0" w:color="auto"/>
              <w:left w:val="single" w:sz="4" w:space="0" w:color="auto"/>
              <w:bottom w:val="single" w:sz="4" w:space="0" w:color="auto"/>
              <w:right w:val="single" w:sz="4" w:space="0" w:color="auto"/>
            </w:tcBorders>
          </w:tcPr>
          <w:p w:rsidR="005F40BA" w:rsidRDefault="005F40BA" w:rsidP="00765B8D">
            <w:pPr>
              <w:ind w:firstLine="173"/>
              <w:jc w:val="both"/>
            </w:pPr>
            <w:r w:rsidRPr="00FB4598">
              <w:t xml:space="preserve">Рішення НКЦПФР від 21.10.2021 № 982 «Про затвердження Порядку видачі, зупинення дії та анулювання ліцензії на провадження професійної діяльності на ринках капіталу», зареєстроване в Міністерстві юстиції України 03.12.2021 за </w:t>
            </w:r>
            <w:r w:rsidR="00A342AD">
              <w:br/>
            </w:r>
            <w:r w:rsidRPr="00FB4598">
              <w:t>№ 1563/37185</w:t>
            </w:r>
            <w:r>
              <w:t xml:space="preserve"> (далі – Порядок №</w:t>
            </w:r>
            <w:r w:rsidR="003B6975">
              <w:t xml:space="preserve"> </w:t>
            </w:r>
            <w:r>
              <w:t>982).</w:t>
            </w:r>
          </w:p>
          <w:p w:rsidR="005F40BA" w:rsidRPr="000C1F46" w:rsidRDefault="005F40BA" w:rsidP="00765B8D">
            <w:pPr>
              <w:ind w:firstLine="173"/>
              <w:jc w:val="both"/>
            </w:pPr>
            <w:r w:rsidRPr="00AC0845">
              <w:t xml:space="preserve">Рішення Національної комісії з цінних паперів та фондового ринку від 13.05.2021 № 275 «Про затвердження Порядку видачі, зупинення дії та анулювання ліцензії на провадження професійної діяльності на організованих товарних ринках - діяльності з організації торгівлі продукцією на товарних біржах, затвердженого рішенням Національної комісії з цінних </w:t>
            </w:r>
            <w:r w:rsidRPr="00AC0845">
              <w:lastRenderedPageBreak/>
              <w:t>паперів та фондового ринку, зареєстроване в Міністерстві юстиції України від 25.05.2021 за № 693/36315</w:t>
            </w:r>
            <w:r>
              <w:t xml:space="preserve"> (далі- Порядок 275).</w:t>
            </w:r>
          </w:p>
        </w:tc>
      </w:tr>
      <w:tr w:rsidR="005F40BA" w:rsidRPr="000C1F46" w:rsidTr="001047C7">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5F40BA" w:rsidRPr="000C1F46" w:rsidRDefault="005F40BA" w:rsidP="00E34CAF">
            <w:pPr>
              <w:jc w:val="center"/>
            </w:pPr>
            <w:r w:rsidRPr="000C1F46">
              <w:rPr>
                <w:b/>
              </w:rPr>
              <w:lastRenderedPageBreak/>
              <w:t>Умови отримання адміністративної послуги</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8</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Перелік документів, необхідних для отримання адміністративної послуги, вимоги до них</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5F40BA" w:rsidP="00765B8D">
            <w:pPr>
              <w:pStyle w:val="rvps2"/>
              <w:shd w:val="clear" w:color="auto" w:fill="FFFFFF"/>
              <w:spacing w:before="0" w:beforeAutospacing="0" w:after="0" w:afterAutospacing="0"/>
              <w:ind w:firstLine="170"/>
              <w:jc w:val="both"/>
            </w:pPr>
            <w:r w:rsidRPr="004F00E9">
              <w:t xml:space="preserve">До заяви про </w:t>
            </w:r>
            <w:r w:rsidR="004A3DA0">
              <w:t>припине</w:t>
            </w:r>
            <w:r w:rsidRPr="004F00E9">
              <w:t xml:space="preserve">ння </w:t>
            </w:r>
            <w:r w:rsidR="004A3DA0">
              <w:t xml:space="preserve">дії </w:t>
            </w:r>
            <w:r w:rsidRPr="004F00E9">
              <w:t>ліцензії додаються такі документи:</w:t>
            </w:r>
          </w:p>
          <w:p w:rsidR="005F40BA" w:rsidRPr="004F00E9" w:rsidRDefault="005F40BA" w:rsidP="00765B8D">
            <w:pPr>
              <w:pStyle w:val="rvps2"/>
              <w:shd w:val="clear" w:color="auto" w:fill="FFFFFF"/>
              <w:spacing w:before="0" w:beforeAutospacing="0" w:after="0" w:afterAutospacing="0"/>
              <w:ind w:firstLine="170"/>
              <w:jc w:val="both"/>
            </w:pPr>
            <w:bookmarkStart w:id="1" w:name="n177"/>
            <w:bookmarkEnd w:id="1"/>
            <w:r w:rsidRPr="004F00E9">
              <w:t>1) рішення уповноваженого органу ліцензіата про припинення провадження певного виду професійної діяльності на ринках капіталу та/або припинення ліцензіата (шляхом злиття, приєднання, поділу) або ліквідації (рішення про припинення діяльності);</w:t>
            </w:r>
          </w:p>
          <w:p w:rsidR="005F40BA" w:rsidRPr="004F00E9" w:rsidRDefault="005F40BA" w:rsidP="00765B8D">
            <w:pPr>
              <w:pStyle w:val="rvps2"/>
              <w:shd w:val="clear" w:color="auto" w:fill="FFFFFF"/>
              <w:spacing w:before="0" w:beforeAutospacing="0" w:after="0" w:afterAutospacing="0"/>
              <w:ind w:firstLine="170"/>
              <w:jc w:val="both"/>
            </w:pPr>
            <w:bookmarkStart w:id="2" w:name="n178"/>
            <w:bookmarkEnd w:id="2"/>
            <w:r w:rsidRPr="004F00E9">
              <w:t xml:space="preserve">2) висновок </w:t>
            </w:r>
            <w:r w:rsidR="003B6975" w:rsidRPr="003B6975">
              <w:t xml:space="preserve">саморегулівної організації професійних учасників ринків капіталу (далі - СРО) </w:t>
            </w:r>
            <w:r w:rsidRPr="004F00E9">
              <w:t xml:space="preserve"> за відповідним видом професійної діяльності (за умови реєстрації НКЦПФР об’єднання професійних учасників ринків капіталу як </w:t>
            </w:r>
            <w:r w:rsidR="003B6975">
              <w:t>СРО</w:t>
            </w:r>
            <w:r w:rsidRPr="004F00E9">
              <w:t xml:space="preserve"> за відповідним видом професійної діяльності та за умови, якщо внутрішніми документами такої </w:t>
            </w:r>
            <w:r w:rsidR="003B6975">
              <w:t>СРО</w:t>
            </w:r>
            <w:r w:rsidRPr="004F00E9">
              <w:t xml:space="preserve"> передбачено надання такого висновку), членом якої є ліцензіат, щодо можливості (неможливості) припинення заявником професійної діяльності на ринках капіталу, за винятком випадків припинення зазначеної діяльності за рішенням суду;</w:t>
            </w:r>
          </w:p>
          <w:p w:rsidR="005F40BA" w:rsidRPr="004F00E9" w:rsidRDefault="005F40BA" w:rsidP="00765B8D">
            <w:pPr>
              <w:pStyle w:val="rvps2"/>
              <w:shd w:val="clear" w:color="auto" w:fill="FFFFFF"/>
              <w:spacing w:before="0" w:beforeAutospacing="0" w:after="0" w:afterAutospacing="0"/>
              <w:ind w:firstLine="170"/>
              <w:jc w:val="both"/>
            </w:pPr>
            <w:bookmarkStart w:id="3" w:name="n179"/>
            <w:bookmarkEnd w:id="3"/>
            <w:r w:rsidRPr="004F00E9">
              <w:t xml:space="preserve">3) </w:t>
            </w:r>
            <w:r w:rsidRPr="004F00E9">
              <w:rPr>
                <w:b/>
              </w:rPr>
              <w:t>для інвестиційних фірм:</w:t>
            </w:r>
            <w:r w:rsidRPr="004F00E9">
              <w:t xml:space="preserve"> копії документів, що підтверджують виконання (припинення) зобов’язань ліцензіата перед клієнтами, які обслуговувались ним на дату прийняття рішення про припинення діяльності (у разі наявності таких клієнтів) або документів, які підтверджують передання всіх прав та зобов’язань ліцензіата, що припинився шляхом приєднання до іншого ліцензіата, пов’язаних з провадженням ним діяльності з торгівлі фінансовими інструментами, цьому ліцензіату - правонаступнику, якщо він має відповідну(і) ліцензію(ї);</w:t>
            </w:r>
          </w:p>
          <w:p w:rsidR="005F40BA" w:rsidRPr="004F00E9" w:rsidRDefault="005F40BA" w:rsidP="00765B8D">
            <w:pPr>
              <w:pStyle w:val="rvps2"/>
              <w:shd w:val="clear" w:color="auto" w:fill="FFFFFF"/>
              <w:spacing w:before="0" w:beforeAutospacing="0" w:after="0" w:afterAutospacing="0"/>
              <w:ind w:firstLine="170"/>
              <w:jc w:val="both"/>
            </w:pPr>
            <w:bookmarkStart w:id="4" w:name="n180"/>
            <w:bookmarkEnd w:id="4"/>
            <w:r w:rsidRPr="004F00E9">
              <w:t xml:space="preserve">4) для ліцензіата, який здійснює </w:t>
            </w:r>
            <w:r w:rsidRPr="004F00E9">
              <w:rPr>
                <w:b/>
              </w:rPr>
              <w:t>професійну діяльність на ринках капіталу - клірингову діяльність:</w:t>
            </w:r>
          </w:p>
          <w:p w:rsidR="005F40BA" w:rsidRPr="004F00E9" w:rsidRDefault="005F40BA" w:rsidP="00765B8D">
            <w:pPr>
              <w:pStyle w:val="rvps2"/>
              <w:shd w:val="clear" w:color="auto" w:fill="FFFFFF"/>
              <w:spacing w:before="0" w:beforeAutospacing="0" w:after="0" w:afterAutospacing="0"/>
              <w:ind w:firstLine="170"/>
              <w:jc w:val="both"/>
            </w:pPr>
            <w:bookmarkStart w:id="5" w:name="n181"/>
            <w:bookmarkEnd w:id="5"/>
            <w:r w:rsidRPr="004F00E9">
              <w:t>перелік учасників клірингу, яким на дату прийняття рішення про припинення діяльності було відкрито у внутрішній системі обліку особи, яка провадить клірингову діяльність, кліринговий рахунок;</w:t>
            </w:r>
          </w:p>
          <w:p w:rsidR="005F40BA" w:rsidRPr="004F00E9" w:rsidRDefault="005F40BA" w:rsidP="00765B8D">
            <w:pPr>
              <w:pStyle w:val="rvps2"/>
              <w:shd w:val="clear" w:color="auto" w:fill="FFFFFF"/>
              <w:spacing w:before="0" w:beforeAutospacing="0" w:after="0" w:afterAutospacing="0"/>
              <w:ind w:firstLine="170"/>
              <w:jc w:val="both"/>
            </w:pPr>
            <w:bookmarkStart w:id="6" w:name="n182"/>
            <w:bookmarkEnd w:id="6"/>
            <w:r w:rsidRPr="004F00E9">
              <w:t>копії документів, що підтверджують припинення виконання ліцензіатом функцій особи, яка провадить клірингову діяльність, а саме:</w:t>
            </w:r>
          </w:p>
          <w:p w:rsidR="005F40BA" w:rsidRPr="004F00E9" w:rsidRDefault="005F40BA" w:rsidP="00765B8D">
            <w:pPr>
              <w:pStyle w:val="rvps2"/>
              <w:shd w:val="clear" w:color="auto" w:fill="FFFFFF"/>
              <w:spacing w:before="0" w:beforeAutospacing="0" w:after="0" w:afterAutospacing="0"/>
              <w:ind w:firstLine="170"/>
              <w:jc w:val="both"/>
            </w:pPr>
            <w:bookmarkStart w:id="7" w:name="n183"/>
            <w:bookmarkEnd w:id="7"/>
            <w:r w:rsidRPr="004F00E9">
              <w:t>документів, які підтверджують роз</w:t>
            </w:r>
            <w:r w:rsidR="00887D87">
              <w:t xml:space="preserve">ірвання договорів, </w:t>
            </w:r>
            <w:r w:rsidRPr="004F00E9">
              <w:t>які передбачені внутрішніми документами ліцензіата щодо провадження клірингової діяльності та припинення зобов’язань перед учасниками клірингу, або</w:t>
            </w:r>
          </w:p>
          <w:p w:rsidR="005F40BA" w:rsidRPr="004F00E9" w:rsidRDefault="005F40BA" w:rsidP="00765B8D">
            <w:pPr>
              <w:pStyle w:val="rvps2"/>
              <w:shd w:val="clear" w:color="auto" w:fill="FFFFFF"/>
              <w:spacing w:before="0" w:beforeAutospacing="0" w:after="0" w:afterAutospacing="0"/>
              <w:ind w:firstLine="170"/>
              <w:jc w:val="both"/>
            </w:pPr>
            <w:bookmarkStart w:id="8" w:name="n184"/>
            <w:bookmarkEnd w:id="8"/>
            <w:r w:rsidRPr="004F00E9">
              <w:t>документів, які підтверджують передання всіх прав та зобов’язань ліцензіата, що припинився шляхом приєднання до іншого ліцензіата, пов’язаних з провадженням ним клірингової діяльності, цьому ліцензіату - правонаступнику, якщо він має відповідну ліцензію.</w:t>
            </w:r>
          </w:p>
          <w:p w:rsidR="005F40BA" w:rsidRPr="004F00E9" w:rsidRDefault="005F40BA" w:rsidP="00765B8D">
            <w:pPr>
              <w:pStyle w:val="rvps2"/>
              <w:shd w:val="clear" w:color="auto" w:fill="FFFFFF"/>
              <w:spacing w:before="0" w:beforeAutospacing="0" w:after="0" w:afterAutospacing="0"/>
              <w:ind w:firstLine="170"/>
              <w:jc w:val="both"/>
            </w:pPr>
            <w:bookmarkStart w:id="9" w:name="n185"/>
            <w:bookmarkEnd w:id="9"/>
            <w:r w:rsidRPr="004F00E9">
              <w:t xml:space="preserve">У разі неможливості розірвання договорів, укладених з учасниками клірингу (зокрема, з причини припинення учасника </w:t>
            </w:r>
            <w:r w:rsidRPr="004F00E9">
              <w:lastRenderedPageBreak/>
              <w:t>клірингу, відсутності учасника клірингу за його місцезнаходженням), надається перелік таких учасників клірингу, письмове пояснення ліцензіата із зазначенням причин неможливості розірвання договорів та документи, які підтверджують дії ліцензіата щодо вказаних учасників клірингу;</w:t>
            </w:r>
          </w:p>
          <w:p w:rsidR="005F40BA" w:rsidRPr="004F00E9" w:rsidRDefault="005F40BA" w:rsidP="00765B8D">
            <w:pPr>
              <w:pStyle w:val="rvps2"/>
              <w:shd w:val="clear" w:color="auto" w:fill="FFFFFF"/>
              <w:spacing w:before="0" w:beforeAutospacing="0" w:after="0" w:afterAutospacing="0"/>
              <w:ind w:firstLine="170"/>
              <w:jc w:val="both"/>
              <w:rPr>
                <w:b/>
              </w:rPr>
            </w:pPr>
            <w:bookmarkStart w:id="10" w:name="n186"/>
            <w:bookmarkEnd w:id="10"/>
            <w:r w:rsidRPr="004F00E9">
              <w:t xml:space="preserve">5) для депозитарної установи, яка подала заяву на анулювання ліцензії на </w:t>
            </w:r>
            <w:r w:rsidRPr="004F00E9">
              <w:rPr>
                <w:b/>
              </w:rPr>
              <w:t>провадження професійної діяльності на ринках капіталу - депозитарної діяльності депозитарної установи:</w:t>
            </w:r>
          </w:p>
          <w:p w:rsidR="00896965" w:rsidRDefault="00896965" w:rsidP="00765B8D">
            <w:pPr>
              <w:pStyle w:val="rvps2"/>
              <w:shd w:val="clear" w:color="auto" w:fill="FFFFFF"/>
              <w:spacing w:before="0" w:beforeAutospacing="0" w:after="0" w:afterAutospacing="0"/>
              <w:ind w:firstLine="170"/>
              <w:jc w:val="both"/>
              <w:rPr>
                <w:color w:val="333333"/>
              </w:rPr>
            </w:pPr>
            <w:bookmarkStart w:id="11" w:name="n187"/>
            <w:bookmarkEnd w:id="11"/>
            <w:r>
              <w:rPr>
                <w:color w:val="333333"/>
              </w:rPr>
              <w:t>для депозитарної установи, яка подала заяву на анулювання ліцензії на провадження професійної діяльності на ринках капіталу - депозитарної діяльності депозитарної установи:</w:t>
            </w:r>
          </w:p>
          <w:p w:rsidR="00896965" w:rsidRDefault="00896965" w:rsidP="00765B8D">
            <w:pPr>
              <w:pStyle w:val="rvps2"/>
              <w:shd w:val="clear" w:color="auto" w:fill="FFFFFF"/>
              <w:spacing w:before="0" w:beforeAutospacing="0" w:after="0" w:afterAutospacing="0"/>
              <w:ind w:firstLine="170"/>
              <w:jc w:val="both"/>
              <w:rPr>
                <w:color w:val="333333"/>
              </w:rPr>
            </w:pPr>
            <w:r>
              <w:rPr>
                <w:color w:val="333333"/>
              </w:rPr>
              <w:t>копії актів приймання-передавання документів, передбачених нормативно-правовим актом НКЦПФР, що регулює питання припинення провадження професійної діяльності на ринках капіталу - депозитарної діяльності, якщо не всі депоненти, емітенти, номінальні утримувачі, з якими ліцензіатом укладені відповідні договори, закрили рахунки у цінних паперах у строк, установлений нормативно-правовим актом НКЦПФР, що регулює питання припинення провадження професійної діяльності на ринках капіталу - депозитарної діяльності;</w:t>
            </w:r>
          </w:p>
          <w:p w:rsidR="00896965" w:rsidRDefault="00896965" w:rsidP="00765B8D">
            <w:pPr>
              <w:pStyle w:val="rvps2"/>
              <w:shd w:val="clear" w:color="auto" w:fill="FFFFFF"/>
              <w:spacing w:before="0" w:beforeAutospacing="0" w:after="0" w:afterAutospacing="0"/>
              <w:ind w:firstLine="170"/>
              <w:jc w:val="both"/>
              <w:rPr>
                <w:color w:val="333333"/>
              </w:rPr>
            </w:pPr>
            <w:bookmarkStart w:id="12" w:name="n457"/>
            <w:bookmarkEnd w:id="12"/>
            <w:r>
              <w:rPr>
                <w:color w:val="333333"/>
              </w:rPr>
              <w:t>довідки, видані Центральним депозитарієм та Національним банком України, про відсутність цінних паперів на рахунку (рахунках) ліцензіата у Центральному депозитарії та Національному банку України відповідно, з якими були укладені депозитарні договори (подаються у разі передання ліцензіатом прав на цінні папери депонентів, власників, що не мають статусу депонентів, номінальних утримувачів, що в установленому порядку не закрили своїх рахунків у цінних паперах у ліцензіата, на подальший облік та обслуговування до депозитарної установи-правонаступника).</w:t>
            </w:r>
          </w:p>
          <w:p w:rsidR="00896965" w:rsidRDefault="00896965" w:rsidP="00765B8D">
            <w:pPr>
              <w:pStyle w:val="rvps2"/>
              <w:shd w:val="clear" w:color="auto" w:fill="FFFFFF"/>
              <w:spacing w:before="0" w:beforeAutospacing="0" w:after="0" w:afterAutospacing="0"/>
              <w:ind w:firstLine="170"/>
              <w:jc w:val="both"/>
              <w:rPr>
                <w:color w:val="333333"/>
              </w:rPr>
            </w:pPr>
            <w:bookmarkStart w:id="13" w:name="n458"/>
            <w:bookmarkStart w:id="14" w:name="n189"/>
            <w:bookmarkEnd w:id="13"/>
            <w:bookmarkEnd w:id="14"/>
            <w:r>
              <w:rPr>
                <w:color w:val="333333"/>
              </w:rPr>
              <w:t>У разі наявності у депозитарної установи ліцензії на провадження професійної діяльності на ринках капіталу - депозитарної діяльності, а саме діяльності із зберігання активів інститутів спільного інвестування та/або зберігання активів пенсійних фондів депозитарна установа разом із заявою на анулювання ліцензії на провадження професійної діяльності на ринках капіталу - депозитарної діяльності, а саме депозитарної діяльності депозитарної установи надає заяви на анулювання інших видів депозитарної діяльності.</w:t>
            </w:r>
          </w:p>
          <w:p w:rsidR="00896965" w:rsidRPr="00896965" w:rsidRDefault="00896965" w:rsidP="00765B8D">
            <w:pPr>
              <w:pStyle w:val="rvps2"/>
              <w:shd w:val="clear" w:color="auto" w:fill="FFFFFF"/>
              <w:spacing w:before="0" w:beforeAutospacing="0" w:after="0" w:afterAutospacing="0"/>
              <w:ind w:firstLine="170"/>
              <w:jc w:val="both"/>
              <w:rPr>
                <w:b/>
                <w:color w:val="333333"/>
              </w:rPr>
            </w:pPr>
            <w:bookmarkStart w:id="15" w:name="n190"/>
            <w:bookmarkEnd w:id="15"/>
            <w:r>
              <w:rPr>
                <w:color w:val="333333"/>
              </w:rPr>
              <w:t xml:space="preserve">Для депозитарної установи, яка подала заяву на анулювання ліцензії </w:t>
            </w:r>
            <w:r w:rsidRPr="00896965">
              <w:rPr>
                <w:b/>
                <w:color w:val="333333"/>
              </w:rPr>
              <w:t>на провадження професійної діяльності на ринках капіталу -</w:t>
            </w:r>
            <w:r>
              <w:rPr>
                <w:color w:val="333333"/>
              </w:rPr>
              <w:t xml:space="preserve"> </w:t>
            </w:r>
            <w:r w:rsidRPr="00896965">
              <w:rPr>
                <w:b/>
                <w:color w:val="333333"/>
              </w:rPr>
              <w:t>депозитарної діяльності, а саме діяльності із зберігання активів інститутів спільного інвестування та/або зберігання активів пенсійних фондів:</w:t>
            </w:r>
          </w:p>
          <w:p w:rsidR="00896965" w:rsidRDefault="00896965" w:rsidP="00765B8D">
            <w:pPr>
              <w:pStyle w:val="rvps2"/>
              <w:shd w:val="clear" w:color="auto" w:fill="FFFFFF"/>
              <w:spacing w:before="0" w:beforeAutospacing="0" w:after="0" w:afterAutospacing="0"/>
              <w:ind w:firstLine="170"/>
              <w:jc w:val="both"/>
              <w:rPr>
                <w:color w:val="333333"/>
              </w:rPr>
            </w:pPr>
            <w:bookmarkStart w:id="16" w:name="n191"/>
            <w:bookmarkEnd w:id="16"/>
            <w:r>
              <w:rPr>
                <w:color w:val="333333"/>
              </w:rPr>
              <w:t>копії документів, які підтверджують розірвання договорів про обслуговування зберігачем активів інститутів спільного інвестування та/або договорів про обслуговування пенсійного фонду зберігачем, та документів, які підтверджують передачу активів фондів іншим депозитарним установам;</w:t>
            </w:r>
          </w:p>
          <w:p w:rsidR="005F40BA" w:rsidRPr="004F00E9" w:rsidRDefault="005F40BA" w:rsidP="00765B8D">
            <w:pPr>
              <w:pStyle w:val="rvps2"/>
              <w:shd w:val="clear" w:color="auto" w:fill="FFFFFF"/>
              <w:spacing w:before="0" w:beforeAutospacing="0" w:after="0" w:afterAutospacing="0"/>
              <w:ind w:firstLine="170"/>
              <w:jc w:val="both"/>
              <w:rPr>
                <w:b/>
              </w:rPr>
            </w:pPr>
            <w:bookmarkStart w:id="17" w:name="n192"/>
            <w:bookmarkEnd w:id="17"/>
            <w:r w:rsidRPr="004F00E9">
              <w:t xml:space="preserve">6) </w:t>
            </w:r>
            <w:r w:rsidRPr="004F00E9">
              <w:rPr>
                <w:b/>
              </w:rPr>
              <w:t>для оператора організованого ринку капіталу:</w:t>
            </w:r>
          </w:p>
          <w:p w:rsidR="005F40BA" w:rsidRPr="004F00E9" w:rsidRDefault="005F40BA" w:rsidP="00765B8D">
            <w:pPr>
              <w:pStyle w:val="rvps2"/>
              <w:shd w:val="clear" w:color="auto" w:fill="FFFFFF"/>
              <w:spacing w:before="0" w:beforeAutospacing="0" w:after="0" w:afterAutospacing="0"/>
              <w:ind w:firstLine="170"/>
              <w:jc w:val="both"/>
            </w:pPr>
            <w:bookmarkStart w:id="18" w:name="n193"/>
            <w:bookmarkEnd w:id="18"/>
            <w:r w:rsidRPr="004F00E9">
              <w:lastRenderedPageBreak/>
              <w:t>копії документів, що підтверджують припинення зобов’язань, безпосередньо пов’язаних із здійсненням професійної діяльності на ринках капіталів, за договорами з особами, які провадять клірингову діяльність, Центральним депозитарієм цінних паперів, Національним банком України;</w:t>
            </w:r>
          </w:p>
          <w:p w:rsidR="005F40BA" w:rsidRPr="004F00E9" w:rsidRDefault="005F40BA" w:rsidP="00765B8D">
            <w:pPr>
              <w:pStyle w:val="rvps2"/>
              <w:shd w:val="clear" w:color="auto" w:fill="FFFFFF"/>
              <w:spacing w:before="0" w:beforeAutospacing="0" w:after="0" w:afterAutospacing="0"/>
              <w:ind w:firstLine="170"/>
              <w:jc w:val="both"/>
            </w:pPr>
            <w:bookmarkStart w:id="19" w:name="n194"/>
            <w:bookmarkEnd w:id="19"/>
            <w:r w:rsidRPr="004F00E9">
              <w:t>копії документів, що підтверджують припинення зобов’язань з учасниками торгів на такому організованому ринку капіталу;</w:t>
            </w:r>
          </w:p>
          <w:p w:rsidR="005F40BA" w:rsidRPr="004F00E9" w:rsidRDefault="005F40BA" w:rsidP="00765B8D">
            <w:pPr>
              <w:pStyle w:val="rvps2"/>
              <w:shd w:val="clear" w:color="auto" w:fill="FFFFFF"/>
              <w:spacing w:before="0" w:beforeAutospacing="0" w:after="0" w:afterAutospacing="0"/>
              <w:ind w:firstLine="170"/>
              <w:jc w:val="both"/>
              <w:rPr>
                <w:b/>
              </w:rPr>
            </w:pPr>
            <w:r w:rsidRPr="004F00E9">
              <w:t xml:space="preserve">7) </w:t>
            </w:r>
            <w:r w:rsidRPr="004F00E9">
              <w:rPr>
                <w:b/>
              </w:rPr>
              <w:t>для ліцензіатів, які здійснюють професійну діяльність на ринках капіталу - діяльність з управління активами інституційних інвесторів, а саме - діяльність з управління іпотечним покриттям:</w:t>
            </w:r>
          </w:p>
          <w:p w:rsidR="005F40BA" w:rsidRPr="004F00E9" w:rsidRDefault="005F40BA" w:rsidP="00765B8D">
            <w:pPr>
              <w:pStyle w:val="rvps2"/>
              <w:shd w:val="clear" w:color="auto" w:fill="FFFFFF"/>
              <w:spacing w:before="0" w:beforeAutospacing="0" w:after="0" w:afterAutospacing="0"/>
              <w:ind w:firstLine="170"/>
              <w:jc w:val="both"/>
            </w:pPr>
            <w:bookmarkStart w:id="20" w:name="n196"/>
            <w:bookmarkEnd w:id="20"/>
            <w:r w:rsidRPr="004F00E9">
              <w:t>перелік емітентів, з якими на дату прийняття рішення про припинення діяльності ліцензіат мав договори на управління іпотечним покриттям;</w:t>
            </w:r>
          </w:p>
          <w:p w:rsidR="005F40BA" w:rsidRPr="004F00E9" w:rsidRDefault="005F40BA" w:rsidP="00765B8D">
            <w:pPr>
              <w:pStyle w:val="rvps2"/>
              <w:shd w:val="clear" w:color="auto" w:fill="FFFFFF"/>
              <w:spacing w:before="0" w:beforeAutospacing="0" w:after="0" w:afterAutospacing="0"/>
              <w:ind w:firstLine="170"/>
              <w:jc w:val="both"/>
            </w:pPr>
            <w:bookmarkStart w:id="21" w:name="n197"/>
            <w:bookmarkEnd w:id="21"/>
            <w:r w:rsidRPr="004F00E9">
              <w:t>копії документів, що підтверджують розірвання договору про управління іпотечним покриттям, засвідчені ліцензіатом (щодо кожного емітента, з яким укладено договір) або документів, які підтверджують передання всіх прав та зобов’язань ліцензіата, що припинився шляхом приєднання до іншого ліцензіата, пов’язаних з провадженням ним діяльності з управління іпотечним покриттям, цьому ліцензіату - правонаступнику, якщо він має відповідну ліцензію;</w:t>
            </w:r>
          </w:p>
          <w:p w:rsidR="005F40BA" w:rsidRPr="004F00E9" w:rsidRDefault="005F40BA" w:rsidP="00765B8D">
            <w:pPr>
              <w:shd w:val="clear" w:color="auto" w:fill="FFFFFF"/>
              <w:ind w:firstLine="170"/>
              <w:jc w:val="both"/>
            </w:pPr>
            <w:r w:rsidRPr="004F00E9">
              <w:t xml:space="preserve">До заяви про </w:t>
            </w:r>
            <w:r w:rsidR="003925F1">
              <w:t>припинення дії</w:t>
            </w:r>
            <w:r w:rsidRPr="004F00E9">
              <w:t xml:space="preserve"> ліцензії</w:t>
            </w:r>
            <w:r w:rsidRPr="004F00E9">
              <w:rPr>
                <w:b/>
              </w:rPr>
              <w:t xml:space="preserve"> на провадження професійної діяльності на організованих товарних ринках - діяльності з організації торгівлі продукцією на товарних біржах</w:t>
            </w:r>
            <w:r w:rsidRPr="004F00E9">
              <w:t>, додаються такі документи:</w:t>
            </w:r>
          </w:p>
          <w:p w:rsidR="005F40BA" w:rsidRPr="004F00E9" w:rsidRDefault="005F40BA" w:rsidP="00765B8D">
            <w:pPr>
              <w:shd w:val="clear" w:color="auto" w:fill="FFFFFF"/>
              <w:ind w:firstLine="170"/>
              <w:jc w:val="both"/>
            </w:pPr>
            <w:bookmarkStart w:id="22" w:name="n106"/>
            <w:bookmarkEnd w:id="22"/>
            <w:r w:rsidRPr="004F00E9">
              <w:t>рішення уповноваженого органу ліцензіата про припинення провадження діяльності з організації торгівлі продукцією та/або припинення ліцензіата як юридичної особи (рішення про звернення до НКЦПФР про анулювання ліцензії);</w:t>
            </w:r>
          </w:p>
          <w:p w:rsidR="005F40BA" w:rsidRPr="004F00E9" w:rsidRDefault="005F40BA" w:rsidP="00765B8D">
            <w:pPr>
              <w:shd w:val="clear" w:color="auto" w:fill="FFFFFF"/>
              <w:ind w:firstLine="170"/>
              <w:jc w:val="both"/>
            </w:pPr>
            <w:bookmarkStart w:id="23" w:name="n107"/>
            <w:bookmarkEnd w:id="23"/>
            <w:r w:rsidRPr="004F00E9">
              <w:t>документи, що підтверджують припинення зобов’язань за договорами з особами, які провадять клірингову діяльність, крім випадків провадження клірингової діяльності товарною біржею самостійно відповідно до ліцензії на провадження клірингової діяльності з визначення зобов’язань, виданої НКЦПФР;</w:t>
            </w:r>
          </w:p>
          <w:p w:rsidR="005F40BA" w:rsidRPr="004F00E9" w:rsidRDefault="005F40BA" w:rsidP="00765B8D">
            <w:pPr>
              <w:shd w:val="clear" w:color="auto" w:fill="FFFFFF"/>
              <w:ind w:firstLine="170"/>
              <w:jc w:val="both"/>
            </w:pPr>
            <w:bookmarkStart w:id="24" w:name="n108"/>
            <w:bookmarkEnd w:id="24"/>
            <w:r w:rsidRPr="004F00E9">
              <w:t>документи, що підтверджують припинення зобов’язань з учасниками біржових торгів.</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lastRenderedPageBreak/>
              <w:t>9</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Платність (безоплатність) надання адміністративної послуги</w:t>
            </w:r>
          </w:p>
        </w:tc>
        <w:tc>
          <w:tcPr>
            <w:tcW w:w="3588"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Безоплатна</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10</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Порядок та спосіб подання документів</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5F40BA" w:rsidP="00887D87">
            <w:pPr>
              <w:pStyle w:val="rvps2"/>
              <w:shd w:val="clear" w:color="auto" w:fill="FFFFFF"/>
              <w:spacing w:before="0" w:beforeAutospacing="0" w:after="0" w:afterAutospacing="0"/>
              <w:ind w:firstLine="170"/>
              <w:jc w:val="both"/>
            </w:pPr>
            <w:r w:rsidRPr="004F00E9">
              <w:rPr>
                <w:shd w:val="clear" w:color="auto" w:fill="FFFFFF"/>
              </w:rPr>
              <w:t xml:space="preserve">Для </w:t>
            </w:r>
            <w:r w:rsidR="00F977E9">
              <w:rPr>
                <w:shd w:val="clear" w:color="auto" w:fill="FFFFFF"/>
              </w:rPr>
              <w:t>припинення дії</w:t>
            </w:r>
            <w:r w:rsidRPr="004F00E9">
              <w:rPr>
                <w:shd w:val="clear" w:color="auto" w:fill="FFFFFF"/>
              </w:rPr>
              <w:t xml:space="preserve"> ліцензії за власною ініціативою ліцензіат надає офіційним каналом зв’язку в електронній формі з використанням електронного підпису чи печатки, що базується на кваліфікованому сертифікаті відкритого ключа відповідно до вимог законодавства про електронний документообіг та електронні довірчі послуги, до НКЦПФР заяву про анулювання ліцензії, складену українською мовою</w:t>
            </w:r>
            <w:r w:rsidRPr="004F00E9">
              <w:t>.</w:t>
            </w:r>
          </w:p>
          <w:p w:rsidR="005F40BA" w:rsidRPr="004F00E9" w:rsidRDefault="005F40BA" w:rsidP="00765B8D">
            <w:pPr>
              <w:pStyle w:val="rvps2"/>
              <w:shd w:val="clear" w:color="auto" w:fill="FFFFFF"/>
              <w:spacing w:before="0" w:beforeAutospacing="0" w:after="0" w:afterAutospacing="0"/>
              <w:ind w:firstLine="170"/>
              <w:jc w:val="both"/>
            </w:pPr>
            <w:r w:rsidRPr="004F00E9">
              <w:t xml:space="preserve">Приймання НКЦПФР від заявника та відправлення НКЦПФР заявнику документів, передбачених Положенням, здійснюється </w:t>
            </w:r>
            <w:r w:rsidRPr="004F00E9">
              <w:lastRenderedPageBreak/>
              <w:t xml:space="preserve">у вигляді електронних документів з урахуванням вимог законодавства у сфері електронного документообігу </w:t>
            </w:r>
            <w:r w:rsidR="00765B8D" w:rsidRPr="00765B8D">
              <w:t>засобами КІС за покликанням: kis.nssmc.gov.ua. Взаємодія між НКЦПФР і заявником здійснюється засобами КІС відповідно до документу нормативно-технічного характеру затвердженого НКЦПФР.</w:t>
            </w: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lastRenderedPageBreak/>
              <w:t>11</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Строк надання адміністративної послуги</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5F40BA" w:rsidP="00357DB3">
            <w:pPr>
              <w:pStyle w:val="a9"/>
              <w:jc w:val="both"/>
              <w:rPr>
                <w:rStyle w:val="rvts0"/>
                <w:sz w:val="25"/>
                <w:szCs w:val="25"/>
                <w:shd w:val="clear" w:color="auto" w:fill="FFFFFF"/>
              </w:rPr>
            </w:pPr>
            <w:r w:rsidRPr="004F00E9">
              <w:rPr>
                <w:shd w:val="clear" w:color="auto" w:fill="FFFFFF"/>
              </w:rPr>
              <w:t xml:space="preserve">НКЦПФР у разі отримання в установленому порядку заяви про </w:t>
            </w:r>
            <w:r w:rsidR="00357DB3" w:rsidRPr="00357DB3">
              <w:rPr>
                <w:shd w:val="clear" w:color="auto" w:fill="FFFFFF"/>
              </w:rPr>
              <w:t>припине</w:t>
            </w:r>
            <w:r w:rsidRPr="004F00E9">
              <w:rPr>
                <w:shd w:val="clear" w:color="auto" w:fill="FFFFFF"/>
              </w:rPr>
              <w:t xml:space="preserve">ння </w:t>
            </w:r>
            <w:r w:rsidR="00357DB3" w:rsidRPr="00357DB3">
              <w:rPr>
                <w:shd w:val="clear" w:color="auto" w:fill="FFFFFF"/>
              </w:rPr>
              <w:t>д</w:t>
            </w:r>
            <w:r w:rsidR="00357DB3">
              <w:rPr>
                <w:shd w:val="clear" w:color="auto" w:fill="FFFFFF"/>
              </w:rPr>
              <w:t xml:space="preserve">ії </w:t>
            </w:r>
            <w:r w:rsidRPr="004F00E9">
              <w:rPr>
                <w:shd w:val="clear" w:color="auto" w:fill="FFFFFF"/>
              </w:rPr>
              <w:t>ліцензії та усіх документів, повинна у строк не пізніше 30 календарних днів від дати надходження заяви та документів прийняти відповідне рішення.</w:t>
            </w:r>
          </w:p>
        </w:tc>
      </w:tr>
      <w:tr w:rsidR="005F40BA" w:rsidRPr="000C1F46" w:rsidTr="001047C7">
        <w:trPr>
          <w:trHeight w:val="627"/>
        </w:trPr>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12</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Результат надання адміністративної послуги</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357DB3" w:rsidP="00E34CAF">
            <w:pPr>
              <w:jc w:val="both"/>
              <w:rPr>
                <w:shd w:val="clear" w:color="auto" w:fill="FFFFFF"/>
              </w:rPr>
            </w:pPr>
            <w:r>
              <w:rPr>
                <w:shd w:val="clear" w:color="auto" w:fill="FFFFFF"/>
              </w:rPr>
              <w:t>Постанова</w:t>
            </w:r>
            <w:r w:rsidR="005F40BA" w:rsidRPr="004F00E9">
              <w:rPr>
                <w:shd w:val="clear" w:color="auto" w:fill="FFFFFF"/>
              </w:rPr>
              <w:t xml:space="preserve"> НКЦПФР про </w:t>
            </w:r>
            <w:r>
              <w:rPr>
                <w:shd w:val="clear" w:color="auto" w:fill="FFFFFF"/>
              </w:rPr>
              <w:t>припине</w:t>
            </w:r>
            <w:r w:rsidR="005F40BA" w:rsidRPr="004F00E9">
              <w:rPr>
                <w:shd w:val="clear" w:color="auto" w:fill="FFFFFF"/>
              </w:rPr>
              <w:t>ння</w:t>
            </w:r>
            <w:r w:rsidRPr="004F00E9">
              <w:rPr>
                <w:shd w:val="clear" w:color="auto" w:fill="FFFFFF"/>
              </w:rPr>
              <w:t xml:space="preserve"> </w:t>
            </w:r>
            <w:r>
              <w:rPr>
                <w:shd w:val="clear" w:color="auto" w:fill="FFFFFF"/>
              </w:rPr>
              <w:t>/</w:t>
            </w:r>
            <w:r w:rsidRPr="004F00E9">
              <w:rPr>
                <w:shd w:val="clear" w:color="auto" w:fill="FFFFFF"/>
              </w:rPr>
              <w:t>відмову</w:t>
            </w:r>
            <w:r>
              <w:rPr>
                <w:shd w:val="clear" w:color="auto" w:fill="FFFFFF"/>
              </w:rPr>
              <w:t xml:space="preserve"> в припиненні</w:t>
            </w:r>
            <w:r w:rsidR="005F40BA" w:rsidRPr="004F00E9">
              <w:rPr>
                <w:shd w:val="clear" w:color="auto" w:fill="FFFFFF"/>
              </w:rPr>
              <w:t xml:space="preserve"> </w:t>
            </w:r>
            <w:r>
              <w:rPr>
                <w:shd w:val="clear" w:color="auto" w:fill="FFFFFF"/>
              </w:rPr>
              <w:t xml:space="preserve">дії </w:t>
            </w:r>
            <w:r w:rsidR="005F40BA" w:rsidRPr="004F00E9">
              <w:rPr>
                <w:shd w:val="clear" w:color="auto" w:fill="FFFFFF"/>
              </w:rPr>
              <w:t>ліцензії.</w:t>
            </w:r>
          </w:p>
          <w:p w:rsidR="005F40BA" w:rsidRPr="004F00E9" w:rsidRDefault="005F40BA" w:rsidP="00E34CAF">
            <w:pPr>
              <w:jc w:val="both"/>
            </w:pPr>
          </w:p>
        </w:tc>
      </w:tr>
      <w:tr w:rsidR="005F40BA" w:rsidRPr="000C1F46" w:rsidTr="001047C7">
        <w:tc>
          <w:tcPr>
            <w:tcW w:w="245"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13</w:t>
            </w:r>
          </w:p>
        </w:tc>
        <w:tc>
          <w:tcPr>
            <w:tcW w:w="1167" w:type="pct"/>
            <w:tcBorders>
              <w:top w:val="single" w:sz="4" w:space="0" w:color="auto"/>
              <w:left w:val="single" w:sz="4" w:space="0" w:color="auto"/>
              <w:bottom w:val="single" w:sz="4" w:space="0" w:color="auto"/>
              <w:right w:val="single" w:sz="4" w:space="0" w:color="auto"/>
            </w:tcBorders>
          </w:tcPr>
          <w:p w:rsidR="005F40BA" w:rsidRPr="000C1F46" w:rsidRDefault="005F40BA" w:rsidP="00E34CAF">
            <w:pPr>
              <w:jc w:val="both"/>
            </w:pPr>
            <w:r w:rsidRPr="000C1F46">
              <w:t>Способи отримання відповіді (результату)</w:t>
            </w:r>
          </w:p>
        </w:tc>
        <w:tc>
          <w:tcPr>
            <w:tcW w:w="3588" w:type="pct"/>
            <w:tcBorders>
              <w:top w:val="single" w:sz="4" w:space="0" w:color="auto"/>
              <w:left w:val="single" w:sz="4" w:space="0" w:color="auto"/>
              <w:bottom w:val="single" w:sz="4" w:space="0" w:color="auto"/>
              <w:right w:val="single" w:sz="4" w:space="0" w:color="auto"/>
            </w:tcBorders>
          </w:tcPr>
          <w:p w:rsidR="005F40BA" w:rsidRPr="004F00E9" w:rsidRDefault="005F40BA" w:rsidP="00357DB3">
            <w:pPr>
              <w:jc w:val="both"/>
            </w:pPr>
            <w:r w:rsidRPr="004F00E9">
              <w:rPr>
                <w:shd w:val="clear" w:color="auto" w:fill="FFFFFF"/>
              </w:rPr>
              <w:t xml:space="preserve">Повідомлення про прийняття </w:t>
            </w:r>
            <w:r w:rsidR="00357DB3">
              <w:rPr>
                <w:shd w:val="clear" w:color="auto" w:fill="FFFFFF"/>
              </w:rPr>
              <w:t>постанови</w:t>
            </w:r>
            <w:r w:rsidR="00357DB3" w:rsidRPr="004F00E9">
              <w:rPr>
                <w:shd w:val="clear" w:color="auto" w:fill="FFFFFF"/>
              </w:rPr>
              <w:t xml:space="preserve"> НКЦПФР про </w:t>
            </w:r>
            <w:r w:rsidR="00357DB3">
              <w:rPr>
                <w:shd w:val="clear" w:color="auto" w:fill="FFFFFF"/>
              </w:rPr>
              <w:t>припине</w:t>
            </w:r>
            <w:r w:rsidR="00357DB3" w:rsidRPr="004F00E9">
              <w:rPr>
                <w:shd w:val="clear" w:color="auto" w:fill="FFFFFF"/>
              </w:rPr>
              <w:t xml:space="preserve">ння </w:t>
            </w:r>
            <w:r w:rsidR="00357DB3">
              <w:rPr>
                <w:shd w:val="clear" w:color="auto" w:fill="FFFFFF"/>
              </w:rPr>
              <w:t>/</w:t>
            </w:r>
            <w:r w:rsidR="00357DB3" w:rsidRPr="004F00E9">
              <w:rPr>
                <w:shd w:val="clear" w:color="auto" w:fill="FFFFFF"/>
              </w:rPr>
              <w:t>відмову</w:t>
            </w:r>
            <w:r w:rsidR="00357DB3">
              <w:rPr>
                <w:shd w:val="clear" w:color="auto" w:fill="FFFFFF"/>
              </w:rPr>
              <w:t xml:space="preserve"> в припиненні</w:t>
            </w:r>
            <w:r w:rsidR="00357DB3" w:rsidRPr="004F00E9">
              <w:rPr>
                <w:shd w:val="clear" w:color="auto" w:fill="FFFFFF"/>
              </w:rPr>
              <w:t xml:space="preserve"> </w:t>
            </w:r>
            <w:r w:rsidR="00357DB3">
              <w:rPr>
                <w:shd w:val="clear" w:color="auto" w:fill="FFFFFF"/>
              </w:rPr>
              <w:t xml:space="preserve">дії </w:t>
            </w:r>
            <w:r w:rsidR="00357DB3" w:rsidRPr="004F00E9">
              <w:rPr>
                <w:shd w:val="clear" w:color="auto" w:fill="FFFFFF"/>
              </w:rPr>
              <w:t>ліцензії</w:t>
            </w:r>
            <w:r w:rsidRPr="004F00E9">
              <w:rPr>
                <w:shd w:val="clear" w:color="auto" w:fill="FFFFFF"/>
              </w:rPr>
              <w:t xml:space="preserve"> надсилається заявникові офіційним каналом зв’язку шляхом направлення листа протягом п’яти робочих днів з дати прийняття відповідного рішення (підписується керівником структурного підрозділу НКЦПФР, що здійснює розгляд заяви </w:t>
            </w:r>
            <w:r w:rsidR="001B6737">
              <w:t>припине</w:t>
            </w:r>
            <w:r w:rsidR="001B6737" w:rsidRPr="004F00E9">
              <w:t xml:space="preserve">ння </w:t>
            </w:r>
            <w:r w:rsidR="001B6737">
              <w:t xml:space="preserve">дії </w:t>
            </w:r>
            <w:r w:rsidR="001B6737" w:rsidRPr="004F00E9">
              <w:t xml:space="preserve">ліцензії </w:t>
            </w:r>
            <w:r w:rsidRPr="004F00E9">
              <w:rPr>
                <w:shd w:val="clear" w:color="auto" w:fill="FFFFFF"/>
              </w:rPr>
              <w:t xml:space="preserve">та відповідних документів) з додаванням копії рішення НКЦПФР. </w:t>
            </w:r>
          </w:p>
        </w:tc>
      </w:tr>
    </w:tbl>
    <w:p w:rsidR="00C66D9D" w:rsidRDefault="00C66D9D" w:rsidP="004840A0">
      <w:pPr>
        <w:pStyle w:val="a5"/>
        <w:spacing w:before="0" w:beforeAutospacing="0" w:after="0" w:afterAutospacing="0"/>
        <w:jc w:val="both"/>
      </w:pPr>
      <w:bookmarkStart w:id="25" w:name="n229"/>
      <w:bookmarkEnd w:id="25"/>
    </w:p>
    <w:p w:rsidR="004840A0" w:rsidRDefault="004840A0" w:rsidP="004840A0">
      <w:pPr>
        <w:pStyle w:val="a5"/>
        <w:spacing w:before="0" w:beforeAutospacing="0" w:after="0" w:afterAutospacing="0"/>
        <w:jc w:val="both"/>
      </w:pPr>
      <w:r>
        <w:t xml:space="preserve">Примітки: </w:t>
      </w:r>
    </w:p>
    <w:p w:rsidR="004840A0" w:rsidRDefault="004840A0" w:rsidP="004840A0">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4840A0" w:rsidRDefault="004840A0" w:rsidP="004840A0">
      <w:pPr>
        <w:pStyle w:val="a5"/>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4840A0" w:rsidRDefault="004840A0" w:rsidP="004840A0">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4840A0" w:rsidRDefault="004840A0" w:rsidP="004840A0">
      <w:pPr>
        <w:pStyle w:val="a5"/>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FA72F5" w:rsidRDefault="00FA72F5" w:rsidP="00FA72F5">
      <w:pPr>
        <w:pStyle w:val="a5"/>
        <w:spacing w:before="0" w:beforeAutospacing="0" w:after="0" w:afterAutospacing="0"/>
        <w:jc w:val="both"/>
        <w:rPr>
          <w:sz w:val="28"/>
          <w:szCs w:val="28"/>
        </w:rPr>
      </w:pPr>
    </w:p>
    <w:p w:rsidR="004840A0" w:rsidRDefault="004840A0" w:rsidP="00FA72F5">
      <w:pPr>
        <w:pStyle w:val="a5"/>
        <w:spacing w:before="0" w:beforeAutospacing="0" w:after="0" w:afterAutospacing="0"/>
        <w:jc w:val="both"/>
        <w:rPr>
          <w:sz w:val="28"/>
          <w:szCs w:val="28"/>
        </w:rPr>
      </w:pPr>
    </w:p>
    <w:p w:rsidR="00FA72F5" w:rsidRPr="004F00E9" w:rsidRDefault="00FA72F5" w:rsidP="00C66D9D">
      <w:pPr>
        <w:pStyle w:val="a5"/>
        <w:spacing w:before="0" w:beforeAutospacing="0" w:after="0" w:afterAutospacing="0"/>
        <w:jc w:val="both"/>
      </w:pPr>
    </w:p>
    <w:sectPr w:rsidR="00FA72F5" w:rsidRPr="004F00E9" w:rsidSect="001047C7">
      <w:headerReference w:type="default" r:id="rId11"/>
      <w:pgSz w:w="11906" w:h="16838"/>
      <w:pgMar w:top="851" w:right="849" w:bottom="1276"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A7" w:rsidRDefault="00A46DA7" w:rsidP="00212F5F">
      <w:r>
        <w:separator/>
      </w:r>
    </w:p>
  </w:endnote>
  <w:endnote w:type="continuationSeparator" w:id="0">
    <w:p w:rsidR="00A46DA7" w:rsidRDefault="00A46DA7" w:rsidP="0021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A7" w:rsidRDefault="00A46DA7" w:rsidP="00212F5F">
      <w:r>
        <w:separator/>
      </w:r>
    </w:p>
  </w:footnote>
  <w:footnote w:type="continuationSeparator" w:id="0">
    <w:p w:rsidR="00A46DA7" w:rsidRDefault="00A46DA7" w:rsidP="0021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F5F" w:rsidRDefault="00212F5F">
    <w:pPr>
      <w:pStyle w:val="aa"/>
      <w:jc w:val="center"/>
    </w:pPr>
    <w:r>
      <w:fldChar w:fldCharType="begin"/>
    </w:r>
    <w:r>
      <w:instrText>PAGE   \* MERGEFORMAT</w:instrText>
    </w:r>
    <w:r>
      <w:fldChar w:fldCharType="separate"/>
    </w:r>
    <w:r w:rsidR="001047C7" w:rsidRPr="001047C7">
      <w:rPr>
        <w:noProof/>
        <w:lang w:val="ru-RU"/>
      </w:rPr>
      <w:t>5</w:t>
    </w:r>
    <w:r>
      <w:fldChar w:fldCharType="end"/>
    </w:r>
  </w:p>
  <w:p w:rsidR="00212F5F" w:rsidRDefault="00212F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0549"/>
    <w:rsid w:val="00004AAA"/>
    <w:rsid w:val="00010732"/>
    <w:rsid w:val="000349E5"/>
    <w:rsid w:val="00060C12"/>
    <w:rsid w:val="00087A75"/>
    <w:rsid w:val="00091720"/>
    <w:rsid w:val="000D6ABF"/>
    <w:rsid w:val="000F2D4A"/>
    <w:rsid w:val="000F6947"/>
    <w:rsid w:val="001047C7"/>
    <w:rsid w:val="00110FE2"/>
    <w:rsid w:val="00122248"/>
    <w:rsid w:val="00132756"/>
    <w:rsid w:val="00133A7B"/>
    <w:rsid w:val="00151E8A"/>
    <w:rsid w:val="00171089"/>
    <w:rsid w:val="0018272A"/>
    <w:rsid w:val="0018788D"/>
    <w:rsid w:val="001A0C67"/>
    <w:rsid w:val="001B049F"/>
    <w:rsid w:val="001B4B0F"/>
    <w:rsid w:val="001B6737"/>
    <w:rsid w:val="001C468B"/>
    <w:rsid w:val="001D04BE"/>
    <w:rsid w:val="001D3544"/>
    <w:rsid w:val="001F63DA"/>
    <w:rsid w:val="00203B1A"/>
    <w:rsid w:val="00212F5F"/>
    <w:rsid w:val="0022081E"/>
    <w:rsid w:val="0022603C"/>
    <w:rsid w:val="00234C1C"/>
    <w:rsid w:val="00240EBB"/>
    <w:rsid w:val="002A53D2"/>
    <w:rsid w:val="002D6969"/>
    <w:rsid w:val="002F6736"/>
    <w:rsid w:val="00307D02"/>
    <w:rsid w:val="00313CF2"/>
    <w:rsid w:val="003173B2"/>
    <w:rsid w:val="0032029E"/>
    <w:rsid w:val="003230DA"/>
    <w:rsid w:val="00343CB9"/>
    <w:rsid w:val="00357DB3"/>
    <w:rsid w:val="0036708C"/>
    <w:rsid w:val="00370383"/>
    <w:rsid w:val="00377E0A"/>
    <w:rsid w:val="003925F1"/>
    <w:rsid w:val="003A3CC7"/>
    <w:rsid w:val="003B665F"/>
    <w:rsid w:val="003B6975"/>
    <w:rsid w:val="004043F3"/>
    <w:rsid w:val="00463DFD"/>
    <w:rsid w:val="00473DA2"/>
    <w:rsid w:val="004840A0"/>
    <w:rsid w:val="00487DB1"/>
    <w:rsid w:val="004924E6"/>
    <w:rsid w:val="004960AD"/>
    <w:rsid w:val="004A2FAF"/>
    <w:rsid w:val="004A3DA0"/>
    <w:rsid w:val="004D4ED9"/>
    <w:rsid w:val="004F00E9"/>
    <w:rsid w:val="004F3102"/>
    <w:rsid w:val="00504102"/>
    <w:rsid w:val="00522C8C"/>
    <w:rsid w:val="00523932"/>
    <w:rsid w:val="0052545E"/>
    <w:rsid w:val="0054071B"/>
    <w:rsid w:val="00546400"/>
    <w:rsid w:val="00566EC9"/>
    <w:rsid w:val="00586273"/>
    <w:rsid w:val="005934D1"/>
    <w:rsid w:val="005970EA"/>
    <w:rsid w:val="00597485"/>
    <w:rsid w:val="005D2130"/>
    <w:rsid w:val="005F40BA"/>
    <w:rsid w:val="0060034D"/>
    <w:rsid w:val="00616B5D"/>
    <w:rsid w:val="00634117"/>
    <w:rsid w:val="00635B9C"/>
    <w:rsid w:val="00645D26"/>
    <w:rsid w:val="00650FBF"/>
    <w:rsid w:val="00655A0C"/>
    <w:rsid w:val="00657905"/>
    <w:rsid w:val="006601DA"/>
    <w:rsid w:val="0066047C"/>
    <w:rsid w:val="00663BA2"/>
    <w:rsid w:val="0066614A"/>
    <w:rsid w:val="0066688F"/>
    <w:rsid w:val="0067433D"/>
    <w:rsid w:val="00692A9F"/>
    <w:rsid w:val="006A1074"/>
    <w:rsid w:val="006A6F3C"/>
    <w:rsid w:val="006C180C"/>
    <w:rsid w:val="006C5065"/>
    <w:rsid w:val="006D7BCA"/>
    <w:rsid w:val="006E35E4"/>
    <w:rsid w:val="00743881"/>
    <w:rsid w:val="00743FC3"/>
    <w:rsid w:val="00765B8D"/>
    <w:rsid w:val="00766D68"/>
    <w:rsid w:val="0076731E"/>
    <w:rsid w:val="0078159B"/>
    <w:rsid w:val="00784293"/>
    <w:rsid w:val="00795B03"/>
    <w:rsid w:val="00796ED6"/>
    <w:rsid w:val="007A4557"/>
    <w:rsid w:val="007B005D"/>
    <w:rsid w:val="007B7746"/>
    <w:rsid w:val="007E4CE7"/>
    <w:rsid w:val="007F4CD7"/>
    <w:rsid w:val="007F5872"/>
    <w:rsid w:val="007F5B31"/>
    <w:rsid w:val="008219C3"/>
    <w:rsid w:val="008253ED"/>
    <w:rsid w:val="0084446E"/>
    <w:rsid w:val="00845D77"/>
    <w:rsid w:val="00846BBE"/>
    <w:rsid w:val="0085232C"/>
    <w:rsid w:val="00867A91"/>
    <w:rsid w:val="008827C5"/>
    <w:rsid w:val="00887D87"/>
    <w:rsid w:val="00896965"/>
    <w:rsid w:val="008A5623"/>
    <w:rsid w:val="008B0BB0"/>
    <w:rsid w:val="008B2AEC"/>
    <w:rsid w:val="008B30A9"/>
    <w:rsid w:val="008E22D1"/>
    <w:rsid w:val="008E35E3"/>
    <w:rsid w:val="008E62B7"/>
    <w:rsid w:val="008F147D"/>
    <w:rsid w:val="0092187D"/>
    <w:rsid w:val="009250DA"/>
    <w:rsid w:val="00944DCC"/>
    <w:rsid w:val="00954D11"/>
    <w:rsid w:val="009610FF"/>
    <w:rsid w:val="00967ADA"/>
    <w:rsid w:val="009825E2"/>
    <w:rsid w:val="00984F77"/>
    <w:rsid w:val="00986DB8"/>
    <w:rsid w:val="00991BD2"/>
    <w:rsid w:val="009A0A45"/>
    <w:rsid w:val="009A4080"/>
    <w:rsid w:val="009C110D"/>
    <w:rsid w:val="009D6BF0"/>
    <w:rsid w:val="009F060B"/>
    <w:rsid w:val="00A012DE"/>
    <w:rsid w:val="00A043E3"/>
    <w:rsid w:val="00A30ABF"/>
    <w:rsid w:val="00A342AD"/>
    <w:rsid w:val="00A40D45"/>
    <w:rsid w:val="00A46DA7"/>
    <w:rsid w:val="00A573EA"/>
    <w:rsid w:val="00A652E8"/>
    <w:rsid w:val="00AA78B5"/>
    <w:rsid w:val="00AB1216"/>
    <w:rsid w:val="00AB4C12"/>
    <w:rsid w:val="00AB77B2"/>
    <w:rsid w:val="00AC469E"/>
    <w:rsid w:val="00AC61B9"/>
    <w:rsid w:val="00AE43D4"/>
    <w:rsid w:val="00AE6078"/>
    <w:rsid w:val="00AE7062"/>
    <w:rsid w:val="00AF16B0"/>
    <w:rsid w:val="00AF1728"/>
    <w:rsid w:val="00B108E4"/>
    <w:rsid w:val="00B223FE"/>
    <w:rsid w:val="00B43FB9"/>
    <w:rsid w:val="00B54CEB"/>
    <w:rsid w:val="00B701E3"/>
    <w:rsid w:val="00BC7E02"/>
    <w:rsid w:val="00BE2D80"/>
    <w:rsid w:val="00BE45E1"/>
    <w:rsid w:val="00C01B3B"/>
    <w:rsid w:val="00C25216"/>
    <w:rsid w:val="00C3136C"/>
    <w:rsid w:val="00C66D9D"/>
    <w:rsid w:val="00C71124"/>
    <w:rsid w:val="00C9651D"/>
    <w:rsid w:val="00C96D37"/>
    <w:rsid w:val="00CE0705"/>
    <w:rsid w:val="00CE2D04"/>
    <w:rsid w:val="00CE3FBE"/>
    <w:rsid w:val="00CE5B92"/>
    <w:rsid w:val="00CF56EC"/>
    <w:rsid w:val="00CF6027"/>
    <w:rsid w:val="00D237D7"/>
    <w:rsid w:val="00D33917"/>
    <w:rsid w:val="00D505DC"/>
    <w:rsid w:val="00D6065C"/>
    <w:rsid w:val="00D60DEF"/>
    <w:rsid w:val="00D72095"/>
    <w:rsid w:val="00DB4B8D"/>
    <w:rsid w:val="00DC2CA9"/>
    <w:rsid w:val="00DE2995"/>
    <w:rsid w:val="00DF7D78"/>
    <w:rsid w:val="00E01AED"/>
    <w:rsid w:val="00E02A7D"/>
    <w:rsid w:val="00E151F5"/>
    <w:rsid w:val="00E22024"/>
    <w:rsid w:val="00E34CAF"/>
    <w:rsid w:val="00E41BBB"/>
    <w:rsid w:val="00E455C7"/>
    <w:rsid w:val="00E503F0"/>
    <w:rsid w:val="00E63310"/>
    <w:rsid w:val="00E646D2"/>
    <w:rsid w:val="00E708AE"/>
    <w:rsid w:val="00E71D9B"/>
    <w:rsid w:val="00E722BA"/>
    <w:rsid w:val="00E75851"/>
    <w:rsid w:val="00E82646"/>
    <w:rsid w:val="00E93DA2"/>
    <w:rsid w:val="00E94AF5"/>
    <w:rsid w:val="00E9522E"/>
    <w:rsid w:val="00EA3D20"/>
    <w:rsid w:val="00EB2F55"/>
    <w:rsid w:val="00ED7566"/>
    <w:rsid w:val="00EE62D7"/>
    <w:rsid w:val="00F07311"/>
    <w:rsid w:val="00F404BC"/>
    <w:rsid w:val="00F60902"/>
    <w:rsid w:val="00F635CE"/>
    <w:rsid w:val="00F7122C"/>
    <w:rsid w:val="00F743FA"/>
    <w:rsid w:val="00F92F9A"/>
    <w:rsid w:val="00F977E9"/>
    <w:rsid w:val="00FA2BE0"/>
    <w:rsid w:val="00FA72F5"/>
    <w:rsid w:val="00FA77D2"/>
    <w:rsid w:val="00FD7EE8"/>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DE4544-B3A9-4C2E-8FF5-C031BFB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paragraph" w:customStyle="1" w:styleId="tjbmf">
    <w:name w:val="tj bmf"/>
    <w:basedOn w:val="a"/>
    <w:rsid w:val="00692A9F"/>
    <w:pPr>
      <w:spacing w:before="100" w:beforeAutospacing="1" w:after="100" w:afterAutospacing="1"/>
    </w:pPr>
  </w:style>
  <w:style w:type="paragraph" w:styleId="a9">
    <w:name w:val="No Spacing"/>
    <w:uiPriority w:val="1"/>
    <w:qFormat/>
    <w:rsid w:val="000F6947"/>
    <w:rPr>
      <w:sz w:val="24"/>
      <w:szCs w:val="24"/>
    </w:rPr>
  </w:style>
  <w:style w:type="paragraph" w:styleId="aa">
    <w:name w:val="header"/>
    <w:basedOn w:val="a"/>
    <w:link w:val="ab"/>
    <w:uiPriority w:val="99"/>
    <w:rsid w:val="000F6947"/>
    <w:pPr>
      <w:tabs>
        <w:tab w:val="center" w:pos="4819"/>
        <w:tab w:val="right" w:pos="9639"/>
      </w:tabs>
    </w:pPr>
  </w:style>
  <w:style w:type="character" w:customStyle="1" w:styleId="ab">
    <w:name w:val="Верхній колонтитул Знак"/>
    <w:link w:val="aa"/>
    <w:uiPriority w:val="99"/>
    <w:rsid w:val="000F6947"/>
    <w:rPr>
      <w:sz w:val="24"/>
      <w:szCs w:val="24"/>
    </w:rPr>
  </w:style>
  <w:style w:type="character" w:styleId="ac">
    <w:name w:val="Strong"/>
    <w:uiPriority w:val="22"/>
    <w:qFormat/>
    <w:rsid w:val="00E45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49">
      <w:bodyDiv w:val="1"/>
      <w:marLeft w:val="0"/>
      <w:marRight w:val="0"/>
      <w:marTop w:val="0"/>
      <w:marBottom w:val="0"/>
      <w:divBdr>
        <w:top w:val="none" w:sz="0" w:space="0" w:color="auto"/>
        <w:left w:val="none" w:sz="0" w:space="0" w:color="auto"/>
        <w:bottom w:val="none" w:sz="0" w:space="0" w:color="auto"/>
        <w:right w:val="none" w:sz="0" w:space="0" w:color="auto"/>
      </w:divBdr>
    </w:div>
    <w:div w:id="42943915">
      <w:bodyDiv w:val="1"/>
      <w:marLeft w:val="0"/>
      <w:marRight w:val="0"/>
      <w:marTop w:val="0"/>
      <w:marBottom w:val="0"/>
      <w:divBdr>
        <w:top w:val="none" w:sz="0" w:space="0" w:color="auto"/>
        <w:left w:val="none" w:sz="0" w:space="0" w:color="auto"/>
        <w:bottom w:val="none" w:sz="0" w:space="0" w:color="auto"/>
        <w:right w:val="none" w:sz="0" w:space="0" w:color="auto"/>
      </w:divBdr>
    </w:div>
    <w:div w:id="74130008">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405615728">
      <w:bodyDiv w:val="1"/>
      <w:marLeft w:val="0"/>
      <w:marRight w:val="0"/>
      <w:marTop w:val="0"/>
      <w:marBottom w:val="0"/>
      <w:divBdr>
        <w:top w:val="none" w:sz="0" w:space="0" w:color="auto"/>
        <w:left w:val="none" w:sz="0" w:space="0" w:color="auto"/>
        <w:bottom w:val="none" w:sz="0" w:space="0" w:color="auto"/>
        <w:right w:val="none" w:sz="0" w:space="0" w:color="auto"/>
      </w:divBdr>
    </w:div>
    <w:div w:id="427039601">
      <w:bodyDiv w:val="1"/>
      <w:marLeft w:val="0"/>
      <w:marRight w:val="0"/>
      <w:marTop w:val="0"/>
      <w:marBottom w:val="0"/>
      <w:divBdr>
        <w:top w:val="none" w:sz="0" w:space="0" w:color="auto"/>
        <w:left w:val="none" w:sz="0" w:space="0" w:color="auto"/>
        <w:bottom w:val="none" w:sz="0" w:space="0" w:color="auto"/>
        <w:right w:val="none" w:sz="0" w:space="0" w:color="auto"/>
      </w:divBdr>
    </w:div>
    <w:div w:id="455102376">
      <w:bodyDiv w:val="1"/>
      <w:marLeft w:val="0"/>
      <w:marRight w:val="0"/>
      <w:marTop w:val="0"/>
      <w:marBottom w:val="0"/>
      <w:divBdr>
        <w:top w:val="none" w:sz="0" w:space="0" w:color="auto"/>
        <w:left w:val="none" w:sz="0" w:space="0" w:color="auto"/>
        <w:bottom w:val="none" w:sz="0" w:space="0" w:color="auto"/>
        <w:right w:val="none" w:sz="0" w:space="0" w:color="auto"/>
      </w:divBdr>
    </w:div>
    <w:div w:id="485753658">
      <w:bodyDiv w:val="1"/>
      <w:marLeft w:val="0"/>
      <w:marRight w:val="0"/>
      <w:marTop w:val="0"/>
      <w:marBottom w:val="0"/>
      <w:divBdr>
        <w:top w:val="none" w:sz="0" w:space="0" w:color="auto"/>
        <w:left w:val="none" w:sz="0" w:space="0" w:color="auto"/>
        <w:bottom w:val="none" w:sz="0" w:space="0" w:color="auto"/>
        <w:right w:val="none" w:sz="0" w:space="0" w:color="auto"/>
      </w:divBdr>
    </w:div>
    <w:div w:id="580722888">
      <w:bodyDiv w:val="1"/>
      <w:marLeft w:val="0"/>
      <w:marRight w:val="0"/>
      <w:marTop w:val="0"/>
      <w:marBottom w:val="0"/>
      <w:divBdr>
        <w:top w:val="none" w:sz="0" w:space="0" w:color="auto"/>
        <w:left w:val="none" w:sz="0" w:space="0" w:color="auto"/>
        <w:bottom w:val="none" w:sz="0" w:space="0" w:color="auto"/>
        <w:right w:val="none" w:sz="0" w:space="0" w:color="auto"/>
      </w:divBdr>
    </w:div>
    <w:div w:id="1018311848">
      <w:bodyDiv w:val="1"/>
      <w:marLeft w:val="0"/>
      <w:marRight w:val="0"/>
      <w:marTop w:val="0"/>
      <w:marBottom w:val="0"/>
      <w:divBdr>
        <w:top w:val="none" w:sz="0" w:space="0" w:color="auto"/>
        <w:left w:val="none" w:sz="0" w:space="0" w:color="auto"/>
        <w:bottom w:val="none" w:sz="0" w:space="0" w:color="auto"/>
        <w:right w:val="none" w:sz="0" w:space="0" w:color="auto"/>
      </w:divBdr>
    </w:div>
    <w:div w:id="1212884696">
      <w:bodyDiv w:val="1"/>
      <w:marLeft w:val="0"/>
      <w:marRight w:val="0"/>
      <w:marTop w:val="0"/>
      <w:marBottom w:val="0"/>
      <w:divBdr>
        <w:top w:val="none" w:sz="0" w:space="0" w:color="auto"/>
        <w:left w:val="none" w:sz="0" w:space="0" w:color="auto"/>
        <w:bottom w:val="none" w:sz="0" w:space="0" w:color="auto"/>
        <w:right w:val="none" w:sz="0" w:space="0" w:color="auto"/>
      </w:divBdr>
    </w:div>
    <w:div w:id="1592736518">
      <w:bodyDiv w:val="1"/>
      <w:marLeft w:val="0"/>
      <w:marRight w:val="0"/>
      <w:marTop w:val="0"/>
      <w:marBottom w:val="0"/>
      <w:divBdr>
        <w:top w:val="none" w:sz="0" w:space="0" w:color="auto"/>
        <w:left w:val="none" w:sz="0" w:space="0" w:color="auto"/>
        <w:bottom w:val="none" w:sz="0" w:space="0" w:color="auto"/>
        <w:right w:val="none" w:sz="0" w:space="0" w:color="auto"/>
      </w:divBdr>
    </w:div>
    <w:div w:id="1665359301">
      <w:bodyDiv w:val="1"/>
      <w:marLeft w:val="0"/>
      <w:marRight w:val="0"/>
      <w:marTop w:val="0"/>
      <w:marBottom w:val="0"/>
      <w:divBdr>
        <w:top w:val="none" w:sz="0" w:space="0" w:color="auto"/>
        <w:left w:val="none" w:sz="0" w:space="0" w:color="auto"/>
        <w:bottom w:val="none" w:sz="0" w:space="0" w:color="auto"/>
        <w:right w:val="none" w:sz="0" w:space="0" w:color="auto"/>
      </w:divBdr>
    </w:div>
    <w:div w:id="16859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0.rada.gov.ua/laws/show/5178-17" TargetMode="External"/><Relationship Id="rId4" Type="http://schemas.openxmlformats.org/officeDocument/2006/relationships/settings" Target="settings.xml"/><Relationship Id="rId9" Type="http://schemas.openxmlformats.org/officeDocument/2006/relationships/hyperlink" Target="https://services.nssmc.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A4D7-9AF9-43CB-BE2C-EE94E20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7696</Words>
  <Characters>4388</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Reanimator Extreme Edition</Company>
  <LinksUpToDate>false</LinksUpToDate>
  <CharactersWithSpaces>12060</CharactersWithSpaces>
  <SharedDoc>false</SharedDoc>
  <HLinks>
    <vt:vector size="18" baseType="variant">
      <vt:variant>
        <vt:i4>2621483</vt:i4>
      </vt:variant>
      <vt:variant>
        <vt:i4>6</vt:i4>
      </vt:variant>
      <vt:variant>
        <vt:i4>0</vt:i4>
      </vt:variant>
      <vt:variant>
        <vt:i4>5</vt:i4>
      </vt:variant>
      <vt:variant>
        <vt:lpwstr>http://zakon0.rada.gov.ua/laws/show/5178-17</vt:lpwstr>
      </vt:variant>
      <vt:variant>
        <vt:lpwstr/>
      </vt:variant>
      <vt:variant>
        <vt:i4>2556019</vt:i4>
      </vt:variant>
      <vt:variant>
        <vt:i4>3</vt:i4>
      </vt:variant>
      <vt:variant>
        <vt:i4>0</vt:i4>
      </vt:variant>
      <vt:variant>
        <vt:i4>5</vt:i4>
      </vt:variant>
      <vt:variant>
        <vt:lpwstr>https://services.nssmc.gov.ua/</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3</cp:revision>
  <cp:lastPrinted>2018-08-13T10:30:00Z</cp:lastPrinted>
  <dcterms:created xsi:type="dcterms:W3CDTF">2025-03-28T13:50:00Z</dcterms:created>
  <dcterms:modified xsi:type="dcterms:W3CDTF">2025-03-28T13:51:00Z</dcterms:modified>
</cp:coreProperties>
</file>