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C3" w:rsidRPr="00070B0F" w:rsidRDefault="00375DC3" w:rsidP="00070B0F">
      <w:pPr>
        <w:ind w:left="4820"/>
        <w:jc w:val="right"/>
        <w:rPr>
          <w:sz w:val="24"/>
          <w:szCs w:val="24"/>
          <w:lang w:val="ru-RU"/>
        </w:rPr>
      </w:pPr>
      <w:r w:rsidRPr="00070B0F">
        <w:rPr>
          <w:sz w:val="24"/>
          <w:szCs w:val="24"/>
        </w:rPr>
        <w:t xml:space="preserve">Додаток </w:t>
      </w:r>
      <w:r w:rsidRPr="00070B0F">
        <w:rPr>
          <w:sz w:val="24"/>
          <w:szCs w:val="24"/>
          <w:lang w:val="ru-RU"/>
        </w:rPr>
        <w:t>31</w:t>
      </w:r>
    </w:p>
    <w:p w:rsidR="00375DC3" w:rsidRPr="00284805" w:rsidRDefault="00375DC3" w:rsidP="00070B0F">
      <w:pPr>
        <w:ind w:left="4820"/>
        <w:jc w:val="both"/>
        <w:rPr>
          <w:sz w:val="24"/>
          <w:szCs w:val="24"/>
        </w:rPr>
      </w:pPr>
      <w:r w:rsidRPr="00070B0F">
        <w:rPr>
          <w:sz w:val="24"/>
          <w:szCs w:val="24"/>
        </w:rPr>
        <w:t xml:space="preserve">до розпорядження Голови Національної </w:t>
      </w:r>
      <w:r w:rsidRPr="00284805">
        <w:rPr>
          <w:sz w:val="24"/>
          <w:szCs w:val="24"/>
        </w:rPr>
        <w:t>комісії з цінних паперів та фондового ринку</w:t>
      </w:r>
    </w:p>
    <w:p w:rsidR="009B3CDD" w:rsidRPr="00284805" w:rsidRDefault="00284805" w:rsidP="00070B0F">
      <w:pPr>
        <w:tabs>
          <w:tab w:val="left" w:pos="5459"/>
          <w:tab w:val="left" w:pos="6480"/>
          <w:tab w:val="left" w:pos="8320"/>
          <w:tab w:val="left" w:pos="9366"/>
        </w:tabs>
        <w:ind w:left="4820"/>
        <w:rPr>
          <w:sz w:val="24"/>
          <w:szCs w:val="24"/>
        </w:rPr>
      </w:pPr>
      <w:r w:rsidRPr="00284805">
        <w:rPr>
          <w:sz w:val="24"/>
          <w:szCs w:val="24"/>
        </w:rPr>
        <w:t>від 25.03.2025 № 22/20/1911/С04</w:t>
      </w:r>
    </w:p>
    <w:p w:rsidR="009B3CDD" w:rsidRPr="00A22345" w:rsidRDefault="009B3CDD" w:rsidP="00312442">
      <w:pPr>
        <w:spacing w:before="4"/>
        <w:ind w:left="4820"/>
        <w:rPr>
          <w:sz w:val="28"/>
        </w:rPr>
      </w:pPr>
    </w:p>
    <w:p w:rsidR="009B3CDD" w:rsidRPr="00A22345" w:rsidRDefault="00A71B54">
      <w:pPr>
        <w:pStyle w:val="a3"/>
        <w:ind w:left="174" w:right="179"/>
        <w:jc w:val="center"/>
      </w:pPr>
      <w:r w:rsidRPr="00A22345">
        <w:t>ІНФОРМАЦІЙНА</w:t>
      </w:r>
      <w:r w:rsidRPr="00A22345">
        <w:rPr>
          <w:spacing w:val="-4"/>
        </w:rPr>
        <w:t xml:space="preserve"> </w:t>
      </w:r>
      <w:r w:rsidRPr="00A22345">
        <w:t>КАРТКА</w:t>
      </w:r>
    </w:p>
    <w:p w:rsidR="009B3CDD" w:rsidRPr="00A22345" w:rsidRDefault="00A71B54">
      <w:pPr>
        <w:pStyle w:val="a3"/>
        <w:spacing w:before="2"/>
        <w:ind w:left="174" w:right="179"/>
        <w:jc w:val="center"/>
      </w:pPr>
      <w:r w:rsidRPr="00A22345">
        <w:t>адміністративної</w:t>
      </w:r>
      <w:r w:rsidRPr="00A22345">
        <w:rPr>
          <w:spacing w:val="-5"/>
        </w:rPr>
        <w:t xml:space="preserve"> </w:t>
      </w:r>
      <w:r w:rsidRPr="00A22345">
        <w:t>послуги</w:t>
      </w:r>
    </w:p>
    <w:p w:rsidR="009B3CDD" w:rsidRPr="00A22345" w:rsidRDefault="009B3CDD">
      <w:pPr>
        <w:spacing w:before="10"/>
        <w:rPr>
          <w:b/>
          <w:sz w:val="27"/>
        </w:rPr>
      </w:pPr>
    </w:p>
    <w:p w:rsidR="00C15D3A" w:rsidRPr="00070B0F" w:rsidRDefault="00C15D3A" w:rsidP="00C15D3A">
      <w:pPr>
        <w:autoSpaceDE/>
        <w:autoSpaceDN/>
        <w:jc w:val="center"/>
        <w:rPr>
          <w:b/>
          <w:sz w:val="28"/>
          <w:szCs w:val="28"/>
          <w:lang w:eastAsia="ru-RU"/>
        </w:rPr>
      </w:pPr>
      <w:r w:rsidRPr="00070B0F">
        <w:rPr>
          <w:sz w:val="28"/>
          <w:szCs w:val="28"/>
          <w:lang w:eastAsia="ru-RU"/>
        </w:rPr>
        <w:t>«</w:t>
      </w:r>
      <w:r w:rsidRPr="00070B0F">
        <w:rPr>
          <w:b/>
          <w:sz w:val="28"/>
          <w:szCs w:val="28"/>
          <w:lang w:eastAsia="ru-RU"/>
        </w:rPr>
        <w:t>Реєстрація регламенту корпоративного інвестиційного фонду та внесення відомостей про корпоративний інвестиційний фонд до Єдиного державного реєстру інститутів спільного інвестування з видачею свідоцтва про внесення відомостей про корпоративний інвестиційний фонд до Єдиного державного реєстру інститутів спільного інвестування та реєстрація звіту про результати приватного розміщення акцій серед засновників корпоративного інвестиційного фонду з видачею свідоцтва про реєстрацію випуску акцій»</w:t>
      </w:r>
    </w:p>
    <w:p w:rsidR="009B3CDD" w:rsidRPr="00C15D3A" w:rsidRDefault="009B3CDD" w:rsidP="00C15D3A">
      <w:pPr>
        <w:spacing w:before="1" w:after="1"/>
        <w:jc w:val="center"/>
        <w:rPr>
          <w:b/>
          <w:sz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70"/>
        <w:gridCol w:w="6720"/>
      </w:tblGrid>
      <w:tr w:rsidR="003E5699" w:rsidRPr="00A22345" w:rsidTr="00070B0F">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tcPr>
          <w:p w:rsidR="003E5699" w:rsidRPr="00A22345" w:rsidRDefault="003E5699" w:rsidP="00F9605E">
            <w:pPr>
              <w:jc w:val="center"/>
              <w:rPr>
                <w:sz w:val="24"/>
                <w:szCs w:val="24"/>
              </w:rPr>
            </w:pPr>
            <w:r w:rsidRPr="00A22345">
              <w:rPr>
                <w:b/>
                <w:sz w:val="24"/>
                <w:szCs w:val="24"/>
              </w:rPr>
              <w:t>Інформація про суб’єкта надання адміністративної послуги</w:t>
            </w:r>
          </w:p>
        </w:tc>
      </w:tr>
      <w:tr w:rsidR="00375DC3" w:rsidRPr="00A22345" w:rsidTr="00070B0F">
        <w:tc>
          <w:tcPr>
            <w:tcW w:w="244" w:type="pct"/>
            <w:tcBorders>
              <w:top w:val="single" w:sz="4" w:space="0" w:color="auto"/>
              <w:left w:val="single" w:sz="4" w:space="0" w:color="auto"/>
              <w:bottom w:val="single" w:sz="4" w:space="0" w:color="auto"/>
              <w:right w:val="single" w:sz="4" w:space="0" w:color="auto"/>
            </w:tcBorders>
          </w:tcPr>
          <w:p w:rsidR="00375DC3" w:rsidRPr="00A22345" w:rsidRDefault="00375DC3" w:rsidP="00375DC3">
            <w:pPr>
              <w:jc w:val="both"/>
              <w:rPr>
                <w:sz w:val="24"/>
                <w:szCs w:val="24"/>
              </w:rPr>
            </w:pPr>
            <w:r w:rsidRPr="00A22345">
              <w:rPr>
                <w:sz w:val="24"/>
                <w:szCs w:val="24"/>
              </w:rPr>
              <w:t>1</w:t>
            </w:r>
          </w:p>
        </w:tc>
        <w:tc>
          <w:tcPr>
            <w:tcW w:w="1160" w:type="pct"/>
            <w:tcBorders>
              <w:top w:val="single" w:sz="4" w:space="0" w:color="auto"/>
              <w:left w:val="single" w:sz="4" w:space="0" w:color="auto"/>
              <w:bottom w:val="single" w:sz="4" w:space="0" w:color="auto"/>
              <w:right w:val="single" w:sz="4" w:space="0" w:color="auto"/>
            </w:tcBorders>
          </w:tcPr>
          <w:p w:rsidR="00375DC3" w:rsidRPr="00A22345" w:rsidRDefault="00375DC3" w:rsidP="00375DC3">
            <w:pPr>
              <w:jc w:val="both"/>
              <w:rPr>
                <w:sz w:val="24"/>
                <w:szCs w:val="24"/>
              </w:rPr>
            </w:pPr>
            <w:r w:rsidRPr="00A22345">
              <w:rPr>
                <w:sz w:val="24"/>
                <w:szCs w:val="24"/>
              </w:rPr>
              <w:t>Найменування суб’єкта</w:t>
            </w:r>
          </w:p>
        </w:tc>
        <w:tc>
          <w:tcPr>
            <w:tcW w:w="3597" w:type="pct"/>
            <w:tcBorders>
              <w:top w:val="single" w:sz="4" w:space="0" w:color="auto"/>
              <w:left w:val="single" w:sz="4" w:space="0" w:color="auto"/>
              <w:bottom w:val="single" w:sz="4" w:space="0" w:color="auto"/>
              <w:right w:val="single" w:sz="4" w:space="0" w:color="auto"/>
            </w:tcBorders>
          </w:tcPr>
          <w:p w:rsidR="00375DC3" w:rsidRPr="00523932" w:rsidRDefault="00375DC3" w:rsidP="00375DC3">
            <w:pPr>
              <w:ind w:left="34"/>
              <w:jc w:val="both"/>
              <w:rPr>
                <w:shd w:val="clear" w:color="auto" w:fill="FFFFFF"/>
                <w:lang w:eastAsia="ru-RU"/>
              </w:rPr>
            </w:pPr>
            <w:r w:rsidRPr="00523932">
              <w:rPr>
                <w:shd w:val="clear" w:color="auto" w:fill="FFFFFF"/>
                <w:lang w:eastAsia="ru-RU"/>
              </w:rPr>
              <w:t>Національна комісія з цінних паперів та фондового ринку</w:t>
            </w:r>
          </w:p>
        </w:tc>
      </w:tr>
      <w:tr w:rsidR="003E5699" w:rsidRPr="00A22345" w:rsidTr="00070B0F">
        <w:tc>
          <w:tcPr>
            <w:tcW w:w="244"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2</w:t>
            </w:r>
          </w:p>
        </w:tc>
        <w:tc>
          <w:tcPr>
            <w:tcW w:w="1160"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Місцезнаходження</w:t>
            </w:r>
          </w:p>
        </w:tc>
        <w:tc>
          <w:tcPr>
            <w:tcW w:w="3597" w:type="pct"/>
            <w:tcBorders>
              <w:top w:val="single" w:sz="4" w:space="0" w:color="auto"/>
              <w:left w:val="single" w:sz="4" w:space="0" w:color="auto"/>
              <w:bottom w:val="single" w:sz="4" w:space="0" w:color="auto"/>
              <w:right w:val="single" w:sz="4" w:space="0" w:color="auto"/>
            </w:tcBorders>
          </w:tcPr>
          <w:p w:rsidR="003E5699" w:rsidRPr="00A22345" w:rsidRDefault="003E5699" w:rsidP="003E5699">
            <w:pPr>
              <w:ind w:left="34"/>
              <w:jc w:val="both"/>
              <w:rPr>
                <w:sz w:val="24"/>
                <w:szCs w:val="24"/>
                <w:shd w:val="clear" w:color="auto" w:fill="FFFFFF"/>
                <w:lang w:eastAsia="ru-RU"/>
              </w:rPr>
            </w:pPr>
            <w:r w:rsidRPr="00A22345">
              <w:rPr>
                <w:sz w:val="24"/>
                <w:szCs w:val="24"/>
                <w:shd w:val="clear" w:color="auto" w:fill="FFFFFF"/>
                <w:lang w:eastAsia="ru-RU"/>
              </w:rPr>
              <w:t xml:space="preserve">01010, м. Київ, вул. </w:t>
            </w:r>
            <w:r w:rsidR="00A22345" w:rsidRPr="00A22345">
              <w:rPr>
                <w:sz w:val="24"/>
                <w:szCs w:val="24"/>
                <w:shd w:val="clear" w:color="auto" w:fill="FFFFFF"/>
                <w:lang w:eastAsia="ru-RU"/>
              </w:rPr>
              <w:t>Князів Острозьких</w:t>
            </w:r>
            <w:r w:rsidRPr="00A22345">
              <w:rPr>
                <w:sz w:val="24"/>
                <w:szCs w:val="24"/>
                <w:shd w:val="clear" w:color="auto" w:fill="FFFFFF"/>
                <w:lang w:eastAsia="ru-RU"/>
              </w:rPr>
              <w:t>, 8, корп. 30, каб. 1003</w:t>
            </w:r>
          </w:p>
        </w:tc>
      </w:tr>
      <w:tr w:rsidR="00375DC3" w:rsidRPr="00A22345" w:rsidTr="00070B0F">
        <w:tc>
          <w:tcPr>
            <w:tcW w:w="244" w:type="pct"/>
            <w:tcBorders>
              <w:top w:val="single" w:sz="4" w:space="0" w:color="auto"/>
              <w:left w:val="single" w:sz="4" w:space="0" w:color="auto"/>
              <w:bottom w:val="single" w:sz="4" w:space="0" w:color="auto"/>
              <w:right w:val="single" w:sz="4" w:space="0" w:color="auto"/>
            </w:tcBorders>
          </w:tcPr>
          <w:p w:rsidR="00375DC3" w:rsidRPr="00A22345" w:rsidRDefault="00375DC3" w:rsidP="00375DC3">
            <w:pPr>
              <w:jc w:val="both"/>
              <w:rPr>
                <w:sz w:val="24"/>
                <w:szCs w:val="24"/>
              </w:rPr>
            </w:pPr>
            <w:r w:rsidRPr="00A22345">
              <w:rPr>
                <w:sz w:val="24"/>
                <w:szCs w:val="24"/>
              </w:rPr>
              <w:t>3</w:t>
            </w:r>
          </w:p>
        </w:tc>
        <w:tc>
          <w:tcPr>
            <w:tcW w:w="1160" w:type="pct"/>
            <w:tcBorders>
              <w:top w:val="single" w:sz="4" w:space="0" w:color="auto"/>
              <w:left w:val="single" w:sz="4" w:space="0" w:color="auto"/>
              <w:bottom w:val="single" w:sz="4" w:space="0" w:color="auto"/>
              <w:right w:val="single" w:sz="4" w:space="0" w:color="auto"/>
            </w:tcBorders>
          </w:tcPr>
          <w:p w:rsidR="00375DC3" w:rsidRPr="00A22345" w:rsidRDefault="00375DC3" w:rsidP="00375DC3">
            <w:pPr>
              <w:jc w:val="both"/>
              <w:rPr>
                <w:sz w:val="24"/>
                <w:szCs w:val="24"/>
              </w:rPr>
            </w:pPr>
            <w:r w:rsidRPr="00A22345">
              <w:rPr>
                <w:sz w:val="24"/>
                <w:szCs w:val="24"/>
              </w:rPr>
              <w:t xml:space="preserve">Режим роботи </w:t>
            </w:r>
          </w:p>
        </w:tc>
        <w:tc>
          <w:tcPr>
            <w:tcW w:w="3597" w:type="pct"/>
            <w:tcBorders>
              <w:top w:val="single" w:sz="4" w:space="0" w:color="auto"/>
              <w:left w:val="single" w:sz="4" w:space="0" w:color="auto"/>
              <w:bottom w:val="single" w:sz="4" w:space="0" w:color="auto"/>
              <w:right w:val="single" w:sz="4" w:space="0" w:color="auto"/>
            </w:tcBorders>
          </w:tcPr>
          <w:p w:rsidR="00375DC3" w:rsidRPr="00523932" w:rsidRDefault="00375DC3" w:rsidP="00375DC3">
            <w:pPr>
              <w:jc w:val="both"/>
            </w:pPr>
            <w:r w:rsidRPr="00523932">
              <w:t xml:space="preserve">Понеділок – четвер з 9:00 до 18:00; </w:t>
            </w:r>
          </w:p>
          <w:p w:rsidR="00375DC3" w:rsidRPr="00523932" w:rsidRDefault="00375DC3" w:rsidP="00375DC3">
            <w:pPr>
              <w:jc w:val="both"/>
            </w:pPr>
            <w:r w:rsidRPr="00523932">
              <w:t>п’ятниця з 9:00 до 16:45;</w:t>
            </w:r>
          </w:p>
          <w:p w:rsidR="00375DC3" w:rsidRPr="00523932" w:rsidRDefault="00375DC3" w:rsidP="00375DC3">
            <w:pPr>
              <w:jc w:val="both"/>
            </w:pPr>
            <w:r w:rsidRPr="00523932">
              <w:t>обідня перерва з 13:00 до 13:45 </w:t>
            </w:r>
          </w:p>
        </w:tc>
      </w:tr>
      <w:tr w:rsidR="00375DC3" w:rsidRPr="00A22345" w:rsidTr="00070B0F">
        <w:tc>
          <w:tcPr>
            <w:tcW w:w="244" w:type="pct"/>
            <w:tcBorders>
              <w:top w:val="single" w:sz="4" w:space="0" w:color="auto"/>
              <w:left w:val="single" w:sz="4" w:space="0" w:color="auto"/>
              <w:bottom w:val="single" w:sz="4" w:space="0" w:color="auto"/>
              <w:right w:val="single" w:sz="4" w:space="0" w:color="auto"/>
            </w:tcBorders>
          </w:tcPr>
          <w:p w:rsidR="00375DC3" w:rsidRPr="00A22345" w:rsidRDefault="00375DC3" w:rsidP="00375DC3">
            <w:pPr>
              <w:jc w:val="both"/>
              <w:rPr>
                <w:sz w:val="24"/>
                <w:szCs w:val="24"/>
              </w:rPr>
            </w:pPr>
            <w:r w:rsidRPr="00A22345">
              <w:rPr>
                <w:sz w:val="24"/>
                <w:szCs w:val="24"/>
              </w:rPr>
              <w:t>4</w:t>
            </w:r>
          </w:p>
        </w:tc>
        <w:tc>
          <w:tcPr>
            <w:tcW w:w="1160" w:type="pct"/>
            <w:tcBorders>
              <w:top w:val="single" w:sz="4" w:space="0" w:color="auto"/>
              <w:left w:val="single" w:sz="4" w:space="0" w:color="auto"/>
              <w:bottom w:val="single" w:sz="4" w:space="0" w:color="auto"/>
              <w:right w:val="single" w:sz="4" w:space="0" w:color="auto"/>
            </w:tcBorders>
          </w:tcPr>
          <w:p w:rsidR="00375DC3" w:rsidRPr="00A22345" w:rsidRDefault="00375DC3" w:rsidP="00375DC3">
            <w:pPr>
              <w:jc w:val="both"/>
              <w:rPr>
                <w:sz w:val="24"/>
                <w:szCs w:val="24"/>
              </w:rPr>
            </w:pPr>
            <w:r>
              <w:rPr>
                <w:sz w:val="24"/>
                <w:szCs w:val="24"/>
              </w:rPr>
              <w:t xml:space="preserve">Телефон, адреса електронної пошти, </w:t>
            </w:r>
            <w:r w:rsidRPr="00A22345">
              <w:rPr>
                <w:rStyle w:val="spelle"/>
                <w:sz w:val="24"/>
                <w:szCs w:val="24"/>
              </w:rPr>
              <w:t>веб-сайт</w:t>
            </w:r>
            <w:r>
              <w:rPr>
                <w:rStyle w:val="spelle"/>
                <w:sz w:val="24"/>
                <w:szCs w:val="24"/>
              </w:rPr>
              <w:t>,</w:t>
            </w:r>
            <w:r>
              <w:rPr>
                <w:sz w:val="24"/>
                <w:szCs w:val="24"/>
              </w:rPr>
              <w:t xml:space="preserve"> посилання на засоби КІС</w:t>
            </w:r>
          </w:p>
        </w:tc>
        <w:tc>
          <w:tcPr>
            <w:tcW w:w="3597" w:type="pct"/>
            <w:tcBorders>
              <w:top w:val="single" w:sz="4" w:space="0" w:color="auto"/>
              <w:left w:val="single" w:sz="4" w:space="0" w:color="auto"/>
              <w:bottom w:val="single" w:sz="4" w:space="0" w:color="auto"/>
              <w:right w:val="single" w:sz="4" w:space="0" w:color="auto"/>
            </w:tcBorders>
          </w:tcPr>
          <w:p w:rsidR="00375DC3" w:rsidRDefault="00375DC3" w:rsidP="00375DC3">
            <w:pPr>
              <w:contextualSpacing/>
            </w:pPr>
            <w:r>
              <w:t xml:space="preserve">Телефон: (044) </w:t>
            </w:r>
            <w:r w:rsidRPr="005C7FC7">
              <w:t>280-85-95</w:t>
            </w:r>
          </w:p>
          <w:p w:rsidR="00375DC3" w:rsidRDefault="00375DC3" w:rsidP="00375DC3">
            <w:pPr>
              <w:contextualSpacing/>
            </w:pPr>
            <w:r>
              <w:t xml:space="preserve">Вебсайт: </w:t>
            </w:r>
            <w:hyperlink r:id="rId8" w:history="1">
              <w:r>
                <w:rPr>
                  <w:rStyle w:val="a6"/>
                </w:rPr>
                <w:t>https://www.nssmc.gov.ua/</w:t>
              </w:r>
            </w:hyperlink>
          </w:p>
          <w:p w:rsidR="00375DC3" w:rsidRPr="00523932" w:rsidRDefault="00375DC3" w:rsidP="00375DC3">
            <w:r>
              <w:t xml:space="preserve">Засоби комплексної інформаційної системи (КІС) </w:t>
            </w:r>
            <w:hyperlink r:id="rId9" w:history="1">
              <w:r>
                <w:rPr>
                  <w:rStyle w:val="a6"/>
                </w:rPr>
                <w:t>https://services.nssmc.gov.ua</w:t>
              </w:r>
            </w:hyperlink>
          </w:p>
        </w:tc>
      </w:tr>
      <w:tr w:rsidR="003E5699" w:rsidRPr="00A22345" w:rsidTr="00070B0F">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tcPr>
          <w:p w:rsidR="003E5699" w:rsidRPr="00A22345" w:rsidRDefault="003E5699" w:rsidP="00F9605E">
            <w:pPr>
              <w:jc w:val="center"/>
              <w:rPr>
                <w:b/>
                <w:sz w:val="24"/>
                <w:szCs w:val="24"/>
              </w:rPr>
            </w:pPr>
            <w:r w:rsidRPr="00A22345">
              <w:rPr>
                <w:b/>
                <w:sz w:val="24"/>
                <w:szCs w:val="24"/>
                <w:shd w:val="clear" w:color="auto" w:fill="FFFFFF"/>
              </w:rPr>
              <w:t>Нормативні акти, якими регламентується надання адміністративної послуги</w:t>
            </w:r>
          </w:p>
        </w:tc>
      </w:tr>
      <w:tr w:rsidR="003E5699" w:rsidRPr="00A22345" w:rsidTr="00070B0F">
        <w:tc>
          <w:tcPr>
            <w:tcW w:w="244"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5</w:t>
            </w:r>
          </w:p>
        </w:tc>
        <w:tc>
          <w:tcPr>
            <w:tcW w:w="1160"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Закони України</w:t>
            </w:r>
          </w:p>
        </w:tc>
        <w:tc>
          <w:tcPr>
            <w:tcW w:w="3597" w:type="pct"/>
            <w:tcBorders>
              <w:top w:val="single" w:sz="4" w:space="0" w:color="auto"/>
              <w:left w:val="single" w:sz="4" w:space="0" w:color="auto"/>
              <w:bottom w:val="single" w:sz="4" w:space="0" w:color="auto"/>
              <w:right w:val="single" w:sz="4" w:space="0" w:color="auto"/>
            </w:tcBorders>
          </w:tcPr>
          <w:p w:rsidR="003E5699" w:rsidRPr="00A22345" w:rsidRDefault="003E5699" w:rsidP="003E5699">
            <w:pPr>
              <w:jc w:val="both"/>
              <w:rPr>
                <w:sz w:val="24"/>
                <w:szCs w:val="24"/>
              </w:rPr>
            </w:pPr>
            <w:r w:rsidRPr="00A22345">
              <w:rPr>
                <w:sz w:val="24"/>
                <w:szCs w:val="24"/>
              </w:rPr>
              <w:t>Закон України «Про інститути спільного інвестування»;</w:t>
            </w:r>
          </w:p>
          <w:p w:rsidR="003E5699" w:rsidRDefault="003E5699" w:rsidP="003E5699">
            <w:pPr>
              <w:jc w:val="both"/>
              <w:rPr>
                <w:sz w:val="24"/>
                <w:szCs w:val="24"/>
              </w:rPr>
            </w:pPr>
            <w:r w:rsidRPr="00A22345">
              <w:rPr>
                <w:sz w:val="24"/>
                <w:szCs w:val="24"/>
              </w:rPr>
              <w:t>Закон України «Про ринки капіталу та організовані товарні ринки»</w:t>
            </w:r>
            <w:r w:rsidR="00070B0F">
              <w:rPr>
                <w:sz w:val="24"/>
                <w:szCs w:val="24"/>
              </w:rPr>
              <w:t>;</w:t>
            </w:r>
          </w:p>
          <w:p w:rsidR="00070B0F" w:rsidRPr="00A22345" w:rsidRDefault="00070B0F" w:rsidP="003E5699">
            <w:pPr>
              <w:jc w:val="both"/>
              <w:rPr>
                <w:sz w:val="24"/>
                <w:szCs w:val="24"/>
              </w:rPr>
            </w:pPr>
            <w:r>
              <w:t>Закон України «Про адміністративну процедуру».</w:t>
            </w:r>
          </w:p>
        </w:tc>
      </w:tr>
      <w:tr w:rsidR="003E5699" w:rsidRPr="00A22345" w:rsidTr="00070B0F">
        <w:tc>
          <w:tcPr>
            <w:tcW w:w="244"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6</w:t>
            </w:r>
          </w:p>
        </w:tc>
        <w:tc>
          <w:tcPr>
            <w:tcW w:w="1160"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shd w:val="clear" w:color="auto" w:fill="FFFFFF"/>
              </w:rPr>
              <w:t>Акти Кабінету Міністрів України</w:t>
            </w:r>
          </w:p>
        </w:tc>
        <w:tc>
          <w:tcPr>
            <w:tcW w:w="3597"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Декрет</w:t>
            </w:r>
            <w:r w:rsidRPr="00A22345">
              <w:rPr>
                <w:spacing w:val="-1"/>
                <w:sz w:val="24"/>
                <w:szCs w:val="24"/>
              </w:rPr>
              <w:t xml:space="preserve"> </w:t>
            </w:r>
            <w:r w:rsidRPr="00A22345">
              <w:rPr>
                <w:sz w:val="24"/>
                <w:szCs w:val="24"/>
              </w:rPr>
              <w:t>Кабінету</w:t>
            </w:r>
            <w:r w:rsidRPr="00A22345">
              <w:rPr>
                <w:spacing w:val="-7"/>
                <w:sz w:val="24"/>
                <w:szCs w:val="24"/>
              </w:rPr>
              <w:t xml:space="preserve"> </w:t>
            </w:r>
            <w:r w:rsidRPr="00A22345">
              <w:rPr>
                <w:sz w:val="24"/>
                <w:szCs w:val="24"/>
              </w:rPr>
              <w:t>Міністрів</w:t>
            </w:r>
            <w:r w:rsidRPr="00A22345">
              <w:rPr>
                <w:spacing w:val="-3"/>
                <w:sz w:val="24"/>
                <w:szCs w:val="24"/>
              </w:rPr>
              <w:t xml:space="preserve"> </w:t>
            </w:r>
            <w:r w:rsidRPr="00A22345">
              <w:rPr>
                <w:sz w:val="24"/>
                <w:szCs w:val="24"/>
              </w:rPr>
              <w:t>України</w:t>
            </w:r>
            <w:r w:rsidRPr="00A22345">
              <w:rPr>
                <w:spacing w:val="3"/>
                <w:sz w:val="24"/>
                <w:szCs w:val="24"/>
              </w:rPr>
              <w:t xml:space="preserve"> </w:t>
            </w:r>
            <w:r w:rsidRPr="00A22345">
              <w:rPr>
                <w:sz w:val="24"/>
                <w:szCs w:val="24"/>
              </w:rPr>
              <w:t>«Про</w:t>
            </w:r>
            <w:r w:rsidRPr="00A22345">
              <w:rPr>
                <w:spacing w:val="-2"/>
                <w:sz w:val="24"/>
                <w:szCs w:val="24"/>
              </w:rPr>
              <w:t xml:space="preserve"> </w:t>
            </w:r>
            <w:r w:rsidRPr="00A22345">
              <w:rPr>
                <w:sz w:val="24"/>
                <w:szCs w:val="24"/>
              </w:rPr>
              <w:t>державне</w:t>
            </w:r>
            <w:r w:rsidRPr="00A22345">
              <w:rPr>
                <w:spacing w:val="-3"/>
                <w:sz w:val="24"/>
                <w:szCs w:val="24"/>
              </w:rPr>
              <w:t xml:space="preserve"> </w:t>
            </w:r>
            <w:r w:rsidRPr="00A22345">
              <w:rPr>
                <w:sz w:val="24"/>
                <w:szCs w:val="24"/>
              </w:rPr>
              <w:t>мито»</w:t>
            </w:r>
          </w:p>
        </w:tc>
      </w:tr>
      <w:tr w:rsidR="003E5699" w:rsidRPr="00A22345" w:rsidTr="00070B0F">
        <w:tc>
          <w:tcPr>
            <w:tcW w:w="244"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7</w:t>
            </w:r>
          </w:p>
        </w:tc>
        <w:tc>
          <w:tcPr>
            <w:tcW w:w="1160"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shd w:val="clear" w:color="auto" w:fill="FFFFFF"/>
              </w:rPr>
            </w:pPr>
            <w:r w:rsidRPr="00A22345">
              <w:rPr>
                <w:sz w:val="24"/>
                <w:szCs w:val="24"/>
                <w:shd w:val="clear" w:color="auto" w:fill="FFFFFF"/>
              </w:rPr>
              <w:t>Нормативні документи НКЦПФР</w:t>
            </w:r>
          </w:p>
        </w:tc>
        <w:tc>
          <w:tcPr>
            <w:tcW w:w="3597" w:type="pct"/>
            <w:tcBorders>
              <w:top w:val="single" w:sz="4" w:space="0" w:color="auto"/>
              <w:left w:val="single" w:sz="4" w:space="0" w:color="auto"/>
              <w:bottom w:val="single" w:sz="4" w:space="0" w:color="auto"/>
              <w:right w:val="single" w:sz="4" w:space="0" w:color="auto"/>
            </w:tcBorders>
          </w:tcPr>
          <w:p w:rsidR="003E5699" w:rsidRDefault="003E5699" w:rsidP="003E5699">
            <w:pPr>
              <w:jc w:val="both"/>
              <w:rPr>
                <w:sz w:val="24"/>
                <w:szCs w:val="24"/>
              </w:rPr>
            </w:pPr>
            <w:r w:rsidRPr="00A22345">
              <w:rPr>
                <w:sz w:val="24"/>
                <w:szCs w:val="24"/>
              </w:rPr>
              <w:t>Положення про реєстрацію регламенту інститутів спільного інвестування та ведення Єдиного державного реєстру інститутів спільного інвестування, затверджене рішенням НКЦПФР від 18.06.2013 року № 1047, зареєстроване в Міністерстві юстиції України 17.07.2013 ро</w:t>
            </w:r>
            <w:r w:rsidR="00AF3DD2">
              <w:rPr>
                <w:sz w:val="24"/>
                <w:szCs w:val="24"/>
              </w:rPr>
              <w:t>ку за № 1198/23730 (із змінами) (далі – Положення 1047).</w:t>
            </w:r>
          </w:p>
          <w:p w:rsidR="000F7915" w:rsidRPr="00A22345" w:rsidRDefault="000F7915" w:rsidP="003E5699">
            <w:pPr>
              <w:jc w:val="both"/>
              <w:rPr>
                <w:sz w:val="24"/>
                <w:szCs w:val="24"/>
              </w:rPr>
            </w:pPr>
            <w:r>
              <w:rPr>
                <w:sz w:val="24"/>
                <w:szCs w:val="24"/>
              </w:rPr>
              <w:t>Розміри</w:t>
            </w:r>
            <w:r w:rsidRPr="00A22345">
              <w:rPr>
                <w:sz w:val="24"/>
                <w:szCs w:val="24"/>
              </w:rPr>
              <w:t xml:space="preserve"> плати за реєстраційні дії щодо учасників ринків капіталу та інших осіб</w:t>
            </w:r>
            <w:r>
              <w:rPr>
                <w:sz w:val="24"/>
                <w:szCs w:val="24"/>
              </w:rPr>
              <w:t xml:space="preserve">, </w:t>
            </w:r>
            <w:r w:rsidRPr="00A22345">
              <w:rPr>
                <w:sz w:val="24"/>
                <w:szCs w:val="24"/>
              </w:rPr>
              <w:t>затвер</w:t>
            </w:r>
            <w:r>
              <w:rPr>
                <w:sz w:val="24"/>
                <w:szCs w:val="24"/>
              </w:rPr>
              <w:t>джене</w:t>
            </w:r>
            <w:r w:rsidRPr="00A22345">
              <w:rPr>
                <w:sz w:val="24"/>
                <w:szCs w:val="24"/>
              </w:rPr>
              <w:t xml:space="preserve"> Рішення</w:t>
            </w:r>
            <w:r>
              <w:rPr>
                <w:sz w:val="24"/>
                <w:szCs w:val="24"/>
              </w:rPr>
              <w:t>м</w:t>
            </w:r>
            <w:r w:rsidRPr="00A22345">
              <w:rPr>
                <w:sz w:val="24"/>
                <w:szCs w:val="24"/>
              </w:rPr>
              <w:t xml:space="preserve"> Н</w:t>
            </w:r>
            <w:r>
              <w:rPr>
                <w:sz w:val="24"/>
                <w:szCs w:val="24"/>
              </w:rPr>
              <w:t xml:space="preserve">КЦПФР від  13.06.2022 № 620, </w:t>
            </w:r>
            <w:r w:rsidRPr="00A22345">
              <w:rPr>
                <w:sz w:val="24"/>
                <w:szCs w:val="24"/>
              </w:rPr>
              <w:t>зареєстроване в Міністерстві юстиції Укра</w:t>
            </w:r>
            <w:r>
              <w:rPr>
                <w:sz w:val="24"/>
                <w:szCs w:val="24"/>
              </w:rPr>
              <w:t xml:space="preserve">їни 10.08.2022 за № 909/38245. </w:t>
            </w:r>
          </w:p>
        </w:tc>
      </w:tr>
      <w:tr w:rsidR="003E5699" w:rsidRPr="00A22345" w:rsidTr="00070B0F">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3E5699" w:rsidRPr="00A22345" w:rsidRDefault="003E5699" w:rsidP="00F9605E">
            <w:pPr>
              <w:jc w:val="center"/>
              <w:rPr>
                <w:sz w:val="24"/>
                <w:szCs w:val="24"/>
              </w:rPr>
            </w:pPr>
            <w:r w:rsidRPr="00A22345">
              <w:rPr>
                <w:b/>
                <w:sz w:val="24"/>
                <w:szCs w:val="24"/>
              </w:rPr>
              <w:t>Умови отримання адміністративної послуги</w:t>
            </w:r>
          </w:p>
        </w:tc>
      </w:tr>
      <w:tr w:rsidR="003E5699" w:rsidRPr="00A22345" w:rsidTr="00070B0F">
        <w:tc>
          <w:tcPr>
            <w:tcW w:w="244"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8</w:t>
            </w:r>
          </w:p>
        </w:tc>
        <w:tc>
          <w:tcPr>
            <w:tcW w:w="1160"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 xml:space="preserve">Перелік документів, необхідних для отримання адміністративної </w:t>
            </w:r>
            <w:r w:rsidRPr="00A22345">
              <w:rPr>
                <w:sz w:val="24"/>
                <w:szCs w:val="24"/>
              </w:rPr>
              <w:lastRenderedPageBreak/>
              <w:t>послуги, вимоги до них</w:t>
            </w:r>
          </w:p>
        </w:tc>
        <w:tc>
          <w:tcPr>
            <w:tcW w:w="3597" w:type="pct"/>
            <w:tcBorders>
              <w:top w:val="single" w:sz="4" w:space="0" w:color="auto"/>
              <w:left w:val="single" w:sz="4" w:space="0" w:color="auto"/>
              <w:bottom w:val="single" w:sz="4" w:space="0" w:color="auto"/>
              <w:right w:val="single" w:sz="4" w:space="0" w:color="auto"/>
            </w:tcBorders>
          </w:tcPr>
          <w:p w:rsidR="00C15D3A" w:rsidRPr="00C15D3A" w:rsidRDefault="00C15D3A" w:rsidP="00C15D3A">
            <w:pPr>
              <w:widowControl/>
              <w:shd w:val="clear" w:color="auto" w:fill="FFFFFF"/>
              <w:autoSpaceDE/>
              <w:autoSpaceDN/>
              <w:spacing w:after="150"/>
              <w:ind w:firstLine="450"/>
              <w:jc w:val="both"/>
              <w:rPr>
                <w:b/>
                <w:color w:val="333333"/>
                <w:sz w:val="24"/>
                <w:szCs w:val="24"/>
                <w:lang w:eastAsia="uk-UA"/>
              </w:rPr>
            </w:pPr>
            <w:bookmarkStart w:id="0" w:name="n65"/>
            <w:bookmarkEnd w:id="0"/>
            <w:r w:rsidRPr="00C15D3A">
              <w:rPr>
                <w:b/>
                <w:color w:val="333333"/>
                <w:sz w:val="24"/>
                <w:szCs w:val="24"/>
                <w:lang w:eastAsia="uk-UA"/>
              </w:rPr>
              <w:lastRenderedPageBreak/>
              <w:t>Корпоративний фонд з метою реєстрації звіту про результати приватного розміщення акцій серед засновників корпоративного фонду, регламенту корпоративного фонду та внесення відомостей про корпоративний фонд до Реєстру подає до НКЦПФР такі документи:</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1" w:name="n548"/>
            <w:bookmarkEnd w:id="1"/>
            <w:r w:rsidRPr="00C15D3A">
              <w:rPr>
                <w:color w:val="333333"/>
                <w:sz w:val="24"/>
                <w:szCs w:val="24"/>
                <w:lang w:eastAsia="uk-UA"/>
              </w:rPr>
              <w:lastRenderedPageBreak/>
              <w:t>1) заяву про реєстрацію звіту про результати приватного розміщення акцій серед засновників корпоративного фонду, регламенту корпоративного фонду та внесення відомостей про корпоративний фонд до Реєстру, створену в електронній формі згідно з </w:t>
            </w:r>
            <w:hyperlink r:id="rId10" w:anchor="n687" w:history="1">
              <w:r w:rsidRPr="00C15D3A">
                <w:rPr>
                  <w:color w:val="006600"/>
                  <w:sz w:val="24"/>
                  <w:szCs w:val="24"/>
                  <w:u w:val="single"/>
                  <w:lang w:eastAsia="uk-UA"/>
                </w:rPr>
                <w:t>додатком 1</w:t>
              </w:r>
            </w:hyperlink>
            <w:r>
              <w:rPr>
                <w:color w:val="333333"/>
                <w:sz w:val="24"/>
                <w:szCs w:val="24"/>
                <w:lang w:eastAsia="uk-UA"/>
              </w:rPr>
              <w:t> до</w:t>
            </w:r>
            <w:r w:rsidRPr="00C15D3A">
              <w:rPr>
                <w:color w:val="333333"/>
                <w:sz w:val="24"/>
                <w:szCs w:val="24"/>
                <w:lang w:eastAsia="uk-UA"/>
              </w:rPr>
              <w:t xml:space="preserve"> Положення</w:t>
            </w:r>
            <w:r>
              <w:rPr>
                <w:color w:val="333333"/>
                <w:sz w:val="24"/>
                <w:szCs w:val="24"/>
                <w:lang w:eastAsia="uk-UA"/>
              </w:rPr>
              <w:t xml:space="preserve"> 1047</w:t>
            </w:r>
            <w:r w:rsidRPr="00C15D3A">
              <w:rPr>
                <w:color w:val="333333"/>
                <w:sz w:val="24"/>
                <w:szCs w:val="24"/>
                <w:lang w:eastAsia="uk-UA"/>
              </w:rPr>
              <w:t>;</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2" w:name="n549"/>
            <w:bookmarkEnd w:id="2"/>
            <w:r w:rsidRPr="00C15D3A">
              <w:rPr>
                <w:color w:val="333333"/>
                <w:sz w:val="24"/>
                <w:szCs w:val="24"/>
                <w:lang w:eastAsia="uk-UA"/>
              </w:rPr>
              <w:t>2) протокол (витяг з протоколу) установчих зборів корпоративного фонду, підписаний засновниками (уповноваженими особами засновників - юридичних осіб), або рішення одноосібного засновника, підписане засновником (уповноваженою особою засновника - юридичної особи). У разі якщо одноосібним засновником є фізична особа, її підпис підлягає нотаріальному засвідченню.</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3" w:name="n550"/>
            <w:bookmarkEnd w:id="3"/>
            <w:r w:rsidRPr="00C15D3A">
              <w:rPr>
                <w:color w:val="333333"/>
                <w:sz w:val="24"/>
                <w:szCs w:val="24"/>
                <w:lang w:eastAsia="uk-UA"/>
              </w:rPr>
              <w:t>Протокол (витяг з протоколу) установчих зборів (рішення одноосібного засновника) корпоративного фонду має містити рішення про:</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4" w:name="n551"/>
            <w:bookmarkEnd w:id="4"/>
            <w:r w:rsidRPr="00C15D3A">
              <w:rPr>
                <w:color w:val="333333"/>
                <w:sz w:val="24"/>
                <w:szCs w:val="24"/>
                <w:lang w:eastAsia="uk-UA"/>
              </w:rPr>
              <w:t>затвердження статуту корпоративного фонду;</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5" w:name="n552"/>
            <w:bookmarkEnd w:id="5"/>
            <w:r w:rsidRPr="00C15D3A">
              <w:rPr>
                <w:color w:val="333333"/>
                <w:sz w:val="24"/>
                <w:szCs w:val="24"/>
                <w:lang w:eastAsia="uk-UA"/>
              </w:rPr>
              <w:t>створення наглядової ради корпоративного фонду та обрання її членів (у разі її створення);</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6" w:name="n553"/>
            <w:bookmarkEnd w:id="6"/>
            <w:r w:rsidRPr="00C15D3A">
              <w:rPr>
                <w:color w:val="333333"/>
                <w:sz w:val="24"/>
                <w:szCs w:val="24"/>
                <w:lang w:eastAsia="uk-UA"/>
              </w:rPr>
              <w:t>уповноваження представника (представників) на вчинення дій, пов’язаних із створенням корпоративного фонду;</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7" w:name="n554"/>
            <w:bookmarkEnd w:id="7"/>
            <w:r w:rsidRPr="00C15D3A">
              <w:rPr>
                <w:color w:val="333333"/>
                <w:sz w:val="24"/>
                <w:szCs w:val="24"/>
                <w:lang w:eastAsia="uk-UA"/>
              </w:rPr>
              <w:t>затвердження результатів приватного розміщення акцій корпоративного фонду серед засновників;</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8" w:name="n555"/>
            <w:bookmarkEnd w:id="8"/>
            <w:r w:rsidRPr="00C15D3A">
              <w:rPr>
                <w:color w:val="333333"/>
                <w:sz w:val="24"/>
                <w:szCs w:val="24"/>
                <w:lang w:eastAsia="uk-UA"/>
              </w:rPr>
              <w:t>затвердження проєктів договорів з компанією з управління активами та зберігачем активів корпоративного фонду (у разі укладення договору зі зберігачем);</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9" w:name="n556"/>
            <w:bookmarkEnd w:id="9"/>
            <w:r w:rsidRPr="00C15D3A">
              <w:rPr>
                <w:color w:val="333333"/>
                <w:sz w:val="24"/>
                <w:szCs w:val="24"/>
                <w:lang w:eastAsia="uk-UA"/>
              </w:rPr>
              <w:t>3) протокол (витяг з протоколу) наглядової ради корпоративного фонду, який містить рішення щодо затвердження регламенту та інвестиційної декларації, а також інформацію про уповноважену особу корпоративного фонду на підписання та подання до НКЦПФР зая</w:t>
            </w:r>
            <w:r>
              <w:rPr>
                <w:color w:val="333333"/>
                <w:sz w:val="24"/>
                <w:szCs w:val="24"/>
                <w:lang w:eastAsia="uk-UA"/>
              </w:rPr>
              <w:t>ви, вказаної у підпункті 1</w:t>
            </w:r>
            <w:r w:rsidRPr="00C15D3A">
              <w:rPr>
                <w:color w:val="333333"/>
                <w:sz w:val="24"/>
                <w:szCs w:val="24"/>
                <w:lang w:eastAsia="uk-UA"/>
              </w:rPr>
              <w:t xml:space="preserve"> пункту</w:t>
            </w:r>
            <w:r>
              <w:rPr>
                <w:color w:val="333333"/>
                <w:sz w:val="24"/>
                <w:szCs w:val="24"/>
                <w:lang w:eastAsia="uk-UA"/>
              </w:rPr>
              <w:t xml:space="preserve"> 2 Положення 1047</w:t>
            </w:r>
            <w:r w:rsidRPr="00C15D3A">
              <w:rPr>
                <w:color w:val="333333"/>
                <w:sz w:val="24"/>
                <w:szCs w:val="24"/>
                <w:lang w:eastAsia="uk-UA"/>
              </w:rPr>
              <w:t>, із зазначенням її прізвища, власного імені та по батькові (за наявності), підписаний головуючим на засіданні наглядової ради, або рішення одноосібного учасника корпоративного фонду щодо затвердження регламенту та інвестиційної декларації, підписане одноосібним учасником (уповноваженою особою засновника - юридичної особи). У разі якщо одноосібним засновником є фізична особа, її підпис підлягає нотаріальному засвідченню;</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10" w:name="n557"/>
            <w:bookmarkEnd w:id="10"/>
            <w:r w:rsidRPr="00C15D3A">
              <w:rPr>
                <w:color w:val="333333"/>
                <w:sz w:val="24"/>
                <w:szCs w:val="24"/>
                <w:lang w:eastAsia="uk-UA"/>
              </w:rPr>
              <w:t>4) звіт про результати приватного розміщення акцій серед засновників корпоративного фонду, створений в електронній формі, засвідчений Центральним депозитарієм цінних паперів (далі - Центральний депозитарій) шляхом накладання кваліфікованого електронного підпису або удосконаленого електронного підпису, що базується на кваліфікованому сертифікаті електронного підпису уповноваженої особи Центрального депозитарію, який повинен містити ідентифікаційні дані юридичної особи - Центрального депозитарію, представником якої є така особа (повне або офіційне скорочене найменування та ідентифікаційний код юридичної особи), згідно з </w:t>
            </w:r>
            <w:hyperlink r:id="rId11" w:anchor="n689" w:history="1">
              <w:r w:rsidRPr="00C15D3A">
                <w:rPr>
                  <w:color w:val="006600"/>
                  <w:sz w:val="24"/>
                  <w:szCs w:val="24"/>
                  <w:u w:val="single"/>
                  <w:lang w:eastAsia="uk-UA"/>
                </w:rPr>
                <w:t>додатком 2</w:t>
              </w:r>
            </w:hyperlink>
            <w:r>
              <w:rPr>
                <w:color w:val="333333"/>
                <w:sz w:val="24"/>
                <w:szCs w:val="24"/>
                <w:lang w:eastAsia="uk-UA"/>
              </w:rPr>
              <w:t> до</w:t>
            </w:r>
            <w:r w:rsidRPr="00C15D3A">
              <w:rPr>
                <w:color w:val="333333"/>
                <w:sz w:val="24"/>
                <w:szCs w:val="24"/>
                <w:lang w:eastAsia="uk-UA"/>
              </w:rPr>
              <w:t xml:space="preserve"> Положення</w:t>
            </w:r>
            <w:r>
              <w:rPr>
                <w:color w:val="333333"/>
                <w:sz w:val="24"/>
                <w:szCs w:val="24"/>
                <w:lang w:eastAsia="uk-UA"/>
              </w:rPr>
              <w:t xml:space="preserve"> 1047</w:t>
            </w:r>
            <w:r w:rsidRPr="00C15D3A">
              <w:rPr>
                <w:color w:val="333333"/>
                <w:sz w:val="24"/>
                <w:szCs w:val="24"/>
                <w:lang w:eastAsia="uk-UA"/>
              </w:rPr>
              <w:t>;</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11" w:name="n558"/>
            <w:bookmarkEnd w:id="11"/>
            <w:r w:rsidRPr="00C15D3A">
              <w:rPr>
                <w:color w:val="333333"/>
                <w:sz w:val="24"/>
                <w:szCs w:val="24"/>
                <w:lang w:eastAsia="uk-UA"/>
              </w:rPr>
              <w:lastRenderedPageBreak/>
              <w:t>5) статут корпоративного фонду згідно вимог </w:t>
            </w:r>
            <w:hyperlink r:id="rId12" w:anchor="n528" w:history="1">
              <w:r w:rsidRPr="00C15D3A">
                <w:rPr>
                  <w:color w:val="006600"/>
                  <w:sz w:val="24"/>
                  <w:szCs w:val="24"/>
                  <w:u w:val="single"/>
                  <w:lang w:eastAsia="uk-UA"/>
                </w:rPr>
                <w:t>пункту 13</w:t>
              </w:r>
            </w:hyperlink>
            <w:r w:rsidR="00D6022A">
              <w:rPr>
                <w:color w:val="333333"/>
                <w:sz w:val="24"/>
                <w:szCs w:val="24"/>
                <w:lang w:eastAsia="uk-UA"/>
              </w:rPr>
              <w:t> розділу I</w:t>
            </w:r>
            <w:r w:rsidRPr="00C15D3A">
              <w:rPr>
                <w:color w:val="333333"/>
                <w:sz w:val="24"/>
                <w:szCs w:val="24"/>
                <w:lang w:eastAsia="uk-UA"/>
              </w:rPr>
              <w:t xml:space="preserve"> Положення</w:t>
            </w:r>
            <w:r w:rsidR="00D6022A">
              <w:rPr>
                <w:color w:val="333333"/>
                <w:sz w:val="24"/>
                <w:szCs w:val="24"/>
                <w:lang w:eastAsia="uk-UA"/>
              </w:rPr>
              <w:t xml:space="preserve"> 1047</w:t>
            </w:r>
            <w:r w:rsidRPr="00C15D3A">
              <w:rPr>
                <w:color w:val="333333"/>
                <w:sz w:val="24"/>
                <w:szCs w:val="24"/>
                <w:lang w:eastAsia="uk-UA"/>
              </w:rPr>
              <w:t>;</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12" w:name="n559"/>
            <w:bookmarkEnd w:id="12"/>
            <w:r w:rsidRPr="00C15D3A">
              <w:rPr>
                <w:color w:val="333333"/>
                <w:sz w:val="24"/>
                <w:szCs w:val="24"/>
                <w:lang w:eastAsia="uk-UA"/>
              </w:rPr>
              <w:t>6) платіжний(і) документ(и) із зазначенням скороченого найменування корпоративного фонду, коду класифікації доходів бюджету, що підтверджує внесення заявником плати за реєстрацію регламенту корпоративного фонду та внесення відомостей про корпоративний фонд до Реєстру з видачею свідоцтва про внесення відомостей про інститут спільного інвестування до Реєстру та за реєстрацію звіту про результати приватного розміщення акцій з метою формування початкового статутного капіталу корпоративного фонду з видачею свідоцтва про реєстрацію випуску акцій з відміткою банку про його прийняття;</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13" w:name="n560"/>
            <w:bookmarkEnd w:id="13"/>
            <w:r w:rsidRPr="00C15D3A">
              <w:rPr>
                <w:color w:val="333333"/>
                <w:sz w:val="24"/>
                <w:szCs w:val="24"/>
                <w:lang w:eastAsia="uk-UA"/>
              </w:rPr>
              <w:t>7) регламент, зміст якого має відповідати вимогам </w:t>
            </w:r>
            <w:hyperlink r:id="rId13" w:anchor="n568" w:history="1">
              <w:r w:rsidRPr="00C15D3A">
                <w:rPr>
                  <w:color w:val="006600"/>
                  <w:sz w:val="24"/>
                  <w:szCs w:val="24"/>
                  <w:u w:val="single"/>
                  <w:lang w:eastAsia="uk-UA"/>
                </w:rPr>
                <w:t>пункту 3</w:t>
              </w:r>
            </w:hyperlink>
            <w:r w:rsidR="00D6022A">
              <w:rPr>
                <w:color w:val="333333"/>
                <w:sz w:val="24"/>
                <w:szCs w:val="24"/>
                <w:lang w:eastAsia="uk-UA"/>
              </w:rPr>
              <w:t> </w:t>
            </w:r>
            <w:r w:rsidRPr="00C15D3A">
              <w:rPr>
                <w:color w:val="333333"/>
                <w:sz w:val="24"/>
                <w:szCs w:val="24"/>
                <w:lang w:eastAsia="uk-UA"/>
              </w:rPr>
              <w:t xml:space="preserve"> розділу</w:t>
            </w:r>
            <w:r w:rsidR="00D6022A">
              <w:rPr>
                <w:color w:val="333333"/>
                <w:sz w:val="24"/>
                <w:szCs w:val="24"/>
                <w:lang w:eastAsia="uk-UA"/>
              </w:rPr>
              <w:t xml:space="preserve"> ІІ Положення 1047</w:t>
            </w:r>
            <w:r w:rsidRPr="00C15D3A">
              <w:rPr>
                <w:color w:val="333333"/>
                <w:sz w:val="24"/>
                <w:szCs w:val="24"/>
                <w:lang w:eastAsia="uk-UA"/>
              </w:rPr>
              <w:t>, затверджений наглядовою радою (одноосібним учасником) корпоративного фонду, створений в електронній формі як окремий файл у форматі Word (.doc) чи Word (.docx), із застосуванням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голови наглядової ради (уповноваженого члена наглядової ради / одноосібного учасника (уповноваженої особи одноосібного учасника - юридичної особи) корпоративного фонду;</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14" w:name="n561"/>
            <w:bookmarkEnd w:id="14"/>
            <w:r w:rsidRPr="00C15D3A">
              <w:rPr>
                <w:color w:val="333333"/>
                <w:sz w:val="24"/>
                <w:szCs w:val="24"/>
                <w:lang w:eastAsia="uk-UA"/>
              </w:rPr>
              <w:t>8) довідку про пов’язаних осіб корпоративного фонду згідно з </w:t>
            </w:r>
            <w:hyperlink r:id="rId14" w:anchor="n691" w:history="1">
              <w:r w:rsidRPr="00C15D3A">
                <w:rPr>
                  <w:color w:val="006600"/>
                  <w:sz w:val="24"/>
                  <w:szCs w:val="24"/>
                  <w:u w:val="single"/>
                  <w:lang w:eastAsia="uk-UA"/>
                </w:rPr>
                <w:t>додатком 3</w:t>
              </w:r>
            </w:hyperlink>
            <w:r w:rsidR="00D6022A">
              <w:rPr>
                <w:color w:val="333333"/>
                <w:sz w:val="24"/>
                <w:szCs w:val="24"/>
                <w:lang w:eastAsia="uk-UA"/>
              </w:rPr>
              <w:t> до</w:t>
            </w:r>
            <w:r w:rsidRPr="00C15D3A">
              <w:rPr>
                <w:color w:val="333333"/>
                <w:sz w:val="24"/>
                <w:szCs w:val="24"/>
                <w:lang w:eastAsia="uk-UA"/>
              </w:rPr>
              <w:t xml:space="preserve"> Положення</w:t>
            </w:r>
            <w:r w:rsidR="00D6022A">
              <w:rPr>
                <w:color w:val="333333"/>
                <w:sz w:val="24"/>
                <w:szCs w:val="24"/>
                <w:lang w:eastAsia="uk-UA"/>
              </w:rPr>
              <w:t xml:space="preserve"> 1047</w:t>
            </w:r>
            <w:r w:rsidRPr="00C15D3A">
              <w:rPr>
                <w:color w:val="333333"/>
                <w:sz w:val="24"/>
                <w:szCs w:val="24"/>
                <w:lang w:eastAsia="uk-UA"/>
              </w:rPr>
              <w:t>, складену в електронній формі. Ця довідка складається не раніше ніж за 7 робочих днів до дати її подання;</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15" w:name="n562"/>
            <w:bookmarkEnd w:id="15"/>
            <w:r w:rsidRPr="00C15D3A">
              <w:rPr>
                <w:color w:val="333333"/>
                <w:sz w:val="24"/>
                <w:szCs w:val="24"/>
                <w:lang w:eastAsia="uk-UA"/>
              </w:rPr>
              <w:t>9) договір про управління активами з компанією з управління активами;</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16" w:name="n563"/>
            <w:bookmarkEnd w:id="16"/>
            <w:r w:rsidRPr="00C15D3A">
              <w:rPr>
                <w:color w:val="333333"/>
                <w:sz w:val="24"/>
                <w:szCs w:val="24"/>
                <w:lang w:eastAsia="uk-UA"/>
              </w:rPr>
              <w:t>10) договір зі зберігачем, погоджений компанією з управління активами (подається у разі укладення такого договору);</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17" w:name="n564"/>
            <w:bookmarkEnd w:id="17"/>
            <w:r w:rsidRPr="00C15D3A">
              <w:rPr>
                <w:color w:val="333333"/>
                <w:sz w:val="24"/>
                <w:szCs w:val="24"/>
                <w:lang w:eastAsia="uk-UA"/>
              </w:rPr>
              <w:t>11) виписку банку щодо внесення засновником(ами) корпоративного фонду коштів на тимчасовий рахунок;</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18" w:name="n565"/>
            <w:bookmarkEnd w:id="18"/>
            <w:r w:rsidRPr="00C15D3A">
              <w:rPr>
                <w:color w:val="333333"/>
                <w:sz w:val="24"/>
                <w:szCs w:val="24"/>
                <w:lang w:eastAsia="uk-UA"/>
              </w:rPr>
              <w:t>12) довідку у довільній формі про відсутність пов’язаності зберігача з компанією з управління активами та засновником(ами) корпоративного фонду (у разі укладання договору зі зберігачем), створену в електронній формі. Ця довідка складається не раніше ніж за 7 робочих днів до дати її подання;</w:t>
            </w:r>
          </w:p>
          <w:p w:rsidR="00C15D3A" w:rsidRPr="00C15D3A" w:rsidRDefault="00C15D3A" w:rsidP="00C15D3A">
            <w:pPr>
              <w:widowControl/>
              <w:shd w:val="clear" w:color="auto" w:fill="FFFFFF"/>
              <w:autoSpaceDE/>
              <w:autoSpaceDN/>
              <w:spacing w:after="150"/>
              <w:ind w:firstLine="450"/>
              <w:jc w:val="both"/>
              <w:rPr>
                <w:color w:val="333333"/>
                <w:sz w:val="24"/>
                <w:szCs w:val="24"/>
                <w:lang w:eastAsia="uk-UA"/>
              </w:rPr>
            </w:pPr>
            <w:bookmarkStart w:id="19" w:name="n566"/>
            <w:bookmarkEnd w:id="19"/>
            <w:r w:rsidRPr="00C15D3A">
              <w:rPr>
                <w:color w:val="333333"/>
                <w:sz w:val="24"/>
                <w:szCs w:val="24"/>
                <w:lang w:eastAsia="uk-UA"/>
              </w:rPr>
              <w:t>13) протокол зборів засновників корпоративного фонду, підписаний засновниками (уповноваженими особами засновників - юридичних осіб), або рішення одноосібного засновника, підписане засновником (уповноваженою особою засновника - юридичної особи). У разі якщо одноосібним засновником є фізична особа, її підпис підлягає нотаріальному засвідченню.</w:t>
            </w:r>
          </w:p>
          <w:p w:rsidR="003E5699" w:rsidRPr="00D6022A" w:rsidRDefault="00C15D3A" w:rsidP="00E54884">
            <w:pPr>
              <w:widowControl/>
              <w:shd w:val="clear" w:color="auto" w:fill="FFFFFF"/>
              <w:autoSpaceDE/>
              <w:autoSpaceDN/>
              <w:spacing w:after="150"/>
              <w:ind w:firstLine="450"/>
              <w:jc w:val="both"/>
              <w:rPr>
                <w:color w:val="333333"/>
                <w:sz w:val="24"/>
                <w:szCs w:val="24"/>
                <w:lang w:eastAsia="uk-UA"/>
              </w:rPr>
            </w:pPr>
            <w:r w:rsidRPr="00D6022A">
              <w:rPr>
                <w:color w:val="333333"/>
                <w:sz w:val="24"/>
                <w:szCs w:val="24"/>
                <w:shd w:val="clear" w:color="auto" w:fill="FFFFFF"/>
              </w:rPr>
              <w:t>Подається в разі зміни дати проведення установчих зборів засновників та/або зміни банку, в якому буде відкритий тимчасовий рахунок.</w:t>
            </w:r>
          </w:p>
        </w:tc>
      </w:tr>
      <w:tr w:rsidR="003E5699" w:rsidRPr="00A22345" w:rsidTr="00070B0F">
        <w:tc>
          <w:tcPr>
            <w:tcW w:w="244"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lastRenderedPageBreak/>
              <w:t>9</w:t>
            </w:r>
          </w:p>
        </w:tc>
        <w:tc>
          <w:tcPr>
            <w:tcW w:w="1160"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Платність (безоплатність) надання адміністративної послуги</w:t>
            </w:r>
          </w:p>
        </w:tc>
        <w:tc>
          <w:tcPr>
            <w:tcW w:w="3597" w:type="pct"/>
            <w:tcBorders>
              <w:top w:val="single" w:sz="4" w:space="0" w:color="auto"/>
              <w:left w:val="single" w:sz="4" w:space="0" w:color="auto"/>
              <w:bottom w:val="single" w:sz="4" w:space="0" w:color="auto"/>
              <w:right w:val="single" w:sz="4" w:space="0" w:color="auto"/>
            </w:tcBorders>
          </w:tcPr>
          <w:p w:rsidR="003E5699" w:rsidRPr="00F249ED" w:rsidRDefault="00B5318E" w:rsidP="00B5318E">
            <w:pPr>
              <w:ind w:firstLine="170"/>
              <w:jc w:val="both"/>
              <w:rPr>
                <w:sz w:val="24"/>
                <w:szCs w:val="24"/>
              </w:rPr>
            </w:pPr>
            <w:r>
              <w:rPr>
                <w:sz w:val="24"/>
                <w:szCs w:val="24"/>
              </w:rPr>
              <w:t xml:space="preserve">Платна - </w:t>
            </w:r>
            <w:r w:rsidR="00C15D3A">
              <w:rPr>
                <w:sz w:val="24"/>
                <w:szCs w:val="24"/>
              </w:rPr>
              <w:t>14</w:t>
            </w:r>
            <w:r w:rsidR="00E54884" w:rsidRPr="00F249ED">
              <w:rPr>
                <w:sz w:val="24"/>
                <w:szCs w:val="24"/>
              </w:rPr>
              <w:t xml:space="preserve"> 000 грн</w:t>
            </w:r>
            <w:r w:rsidR="00C15D3A">
              <w:rPr>
                <w:sz w:val="24"/>
                <w:szCs w:val="24"/>
              </w:rPr>
              <w:t>.</w:t>
            </w:r>
          </w:p>
          <w:p w:rsidR="003E5699" w:rsidRPr="00F249ED" w:rsidRDefault="00B5318E" w:rsidP="00B5318E">
            <w:pPr>
              <w:ind w:firstLine="170"/>
              <w:jc w:val="both"/>
              <w:rPr>
                <w:sz w:val="24"/>
                <w:szCs w:val="24"/>
              </w:rPr>
            </w:pPr>
            <w:r>
              <w:rPr>
                <w:sz w:val="24"/>
                <w:szCs w:val="24"/>
              </w:rPr>
              <w:t xml:space="preserve">Оплата здійснюється за кодом </w:t>
            </w:r>
            <w:r w:rsidR="003E5699" w:rsidRPr="00F249ED">
              <w:rPr>
                <w:sz w:val="24"/>
                <w:szCs w:val="24"/>
              </w:rPr>
              <w:t>бюджетної</w:t>
            </w:r>
            <w:r w:rsidR="003E5699" w:rsidRPr="00F249ED">
              <w:rPr>
                <w:spacing w:val="1"/>
                <w:sz w:val="24"/>
                <w:szCs w:val="24"/>
              </w:rPr>
              <w:t xml:space="preserve"> </w:t>
            </w:r>
            <w:r w:rsidR="003E5699" w:rsidRPr="00F249ED">
              <w:rPr>
                <w:sz w:val="24"/>
                <w:szCs w:val="24"/>
              </w:rPr>
              <w:t>класифікації</w:t>
            </w:r>
            <w:r w:rsidR="003E5699" w:rsidRPr="00F249ED">
              <w:rPr>
                <w:spacing w:val="1"/>
                <w:sz w:val="24"/>
                <w:szCs w:val="24"/>
              </w:rPr>
              <w:t xml:space="preserve"> </w:t>
            </w:r>
            <w:r w:rsidR="003E5699" w:rsidRPr="00F249ED">
              <w:rPr>
                <w:sz w:val="24"/>
                <w:szCs w:val="24"/>
              </w:rPr>
              <w:t>22010900</w:t>
            </w:r>
            <w:r>
              <w:rPr>
                <w:sz w:val="24"/>
                <w:szCs w:val="24"/>
              </w:rPr>
              <w:t xml:space="preserve"> </w:t>
            </w:r>
            <w:r w:rsidRPr="00F249ED">
              <w:rPr>
                <w:sz w:val="24"/>
                <w:szCs w:val="24"/>
              </w:rPr>
              <w:t>на</w:t>
            </w:r>
            <w:r w:rsidRPr="00F249ED">
              <w:rPr>
                <w:spacing w:val="1"/>
                <w:sz w:val="24"/>
                <w:szCs w:val="24"/>
              </w:rPr>
              <w:t xml:space="preserve"> </w:t>
            </w:r>
            <w:r w:rsidRPr="00F249ED">
              <w:rPr>
                <w:sz w:val="24"/>
                <w:szCs w:val="24"/>
              </w:rPr>
              <w:t>рахунки</w:t>
            </w:r>
            <w:r w:rsidRPr="00F249ED">
              <w:rPr>
                <w:spacing w:val="1"/>
                <w:sz w:val="24"/>
                <w:szCs w:val="24"/>
              </w:rPr>
              <w:t xml:space="preserve"> </w:t>
            </w:r>
            <w:r w:rsidRPr="00F249ED">
              <w:rPr>
                <w:sz w:val="24"/>
                <w:szCs w:val="24"/>
              </w:rPr>
              <w:t>місцевих</w:t>
            </w:r>
            <w:r w:rsidRPr="00F249ED">
              <w:rPr>
                <w:spacing w:val="1"/>
                <w:sz w:val="24"/>
                <w:szCs w:val="24"/>
              </w:rPr>
              <w:t xml:space="preserve"> </w:t>
            </w:r>
            <w:r w:rsidRPr="00F249ED">
              <w:rPr>
                <w:sz w:val="24"/>
                <w:szCs w:val="24"/>
              </w:rPr>
              <w:t>або</w:t>
            </w:r>
            <w:r w:rsidRPr="00F249ED">
              <w:rPr>
                <w:spacing w:val="1"/>
                <w:sz w:val="24"/>
                <w:szCs w:val="24"/>
              </w:rPr>
              <w:t xml:space="preserve"> </w:t>
            </w:r>
            <w:r w:rsidRPr="00F249ED">
              <w:rPr>
                <w:sz w:val="24"/>
                <w:szCs w:val="24"/>
              </w:rPr>
              <w:t>районних</w:t>
            </w:r>
            <w:r w:rsidRPr="00F249ED">
              <w:rPr>
                <w:spacing w:val="-57"/>
                <w:sz w:val="24"/>
                <w:szCs w:val="24"/>
              </w:rPr>
              <w:t xml:space="preserve"> </w:t>
            </w:r>
            <w:r w:rsidRPr="00F249ED">
              <w:rPr>
                <w:sz w:val="24"/>
                <w:szCs w:val="24"/>
              </w:rPr>
              <w:t>казначейств</w:t>
            </w:r>
            <w:r w:rsidRPr="00F249ED">
              <w:rPr>
                <w:spacing w:val="-2"/>
                <w:sz w:val="24"/>
                <w:szCs w:val="24"/>
              </w:rPr>
              <w:t xml:space="preserve"> </w:t>
            </w:r>
            <w:r w:rsidRPr="00F249ED">
              <w:rPr>
                <w:sz w:val="24"/>
                <w:szCs w:val="24"/>
              </w:rPr>
              <w:t>(за</w:t>
            </w:r>
            <w:r w:rsidRPr="00F249ED">
              <w:rPr>
                <w:spacing w:val="-2"/>
                <w:sz w:val="24"/>
                <w:szCs w:val="24"/>
              </w:rPr>
              <w:t xml:space="preserve"> </w:t>
            </w:r>
            <w:r w:rsidRPr="00F249ED">
              <w:rPr>
                <w:sz w:val="24"/>
                <w:szCs w:val="24"/>
              </w:rPr>
              <w:t>місцем державної</w:t>
            </w:r>
            <w:r w:rsidRPr="00F249ED">
              <w:rPr>
                <w:spacing w:val="-1"/>
                <w:sz w:val="24"/>
                <w:szCs w:val="24"/>
              </w:rPr>
              <w:t xml:space="preserve"> </w:t>
            </w:r>
            <w:r w:rsidRPr="00F249ED">
              <w:rPr>
                <w:sz w:val="24"/>
                <w:szCs w:val="24"/>
              </w:rPr>
              <w:t>реєстрації заявника).</w:t>
            </w:r>
          </w:p>
        </w:tc>
      </w:tr>
      <w:tr w:rsidR="003E5699" w:rsidRPr="00A22345" w:rsidTr="00070B0F">
        <w:tc>
          <w:tcPr>
            <w:tcW w:w="244"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10</w:t>
            </w:r>
          </w:p>
        </w:tc>
        <w:tc>
          <w:tcPr>
            <w:tcW w:w="1160"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Порядок та спосіб подання документів</w:t>
            </w:r>
          </w:p>
        </w:tc>
        <w:tc>
          <w:tcPr>
            <w:tcW w:w="3597" w:type="pct"/>
            <w:tcBorders>
              <w:top w:val="single" w:sz="4" w:space="0" w:color="auto"/>
              <w:left w:val="single" w:sz="4" w:space="0" w:color="auto"/>
              <w:bottom w:val="single" w:sz="4" w:space="0" w:color="auto"/>
              <w:right w:val="single" w:sz="4" w:space="0" w:color="auto"/>
            </w:tcBorders>
          </w:tcPr>
          <w:p w:rsidR="003E5699" w:rsidRPr="00F249ED" w:rsidRDefault="00E54884" w:rsidP="003E5699">
            <w:pPr>
              <w:pStyle w:val="rvps2"/>
              <w:jc w:val="both"/>
            </w:pPr>
            <w:r w:rsidRPr="00F249ED">
              <w:rPr>
                <w:color w:val="222222"/>
                <w:shd w:val="clear" w:color="auto" w:fill="FFFFFF"/>
              </w:rPr>
              <w:t>Документи, необхідні для надання адміністративної послуги, подаються засобами інтегрованої підсистеми надання адміністративних послуг в електронній формі комплексної інформаційної системи НКЦПФР (КІС) з урахуванням вимог законодавства про електронні документи та електронний документообіг.</w:t>
            </w:r>
          </w:p>
        </w:tc>
      </w:tr>
      <w:tr w:rsidR="003E5699" w:rsidRPr="00A22345" w:rsidTr="00070B0F">
        <w:tc>
          <w:tcPr>
            <w:tcW w:w="244"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11</w:t>
            </w:r>
          </w:p>
        </w:tc>
        <w:tc>
          <w:tcPr>
            <w:tcW w:w="1160"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Строк надання адміністративної послуги</w:t>
            </w:r>
          </w:p>
        </w:tc>
        <w:tc>
          <w:tcPr>
            <w:tcW w:w="3597" w:type="pct"/>
            <w:tcBorders>
              <w:top w:val="single" w:sz="4" w:space="0" w:color="auto"/>
              <w:left w:val="single" w:sz="4" w:space="0" w:color="auto"/>
              <w:bottom w:val="single" w:sz="4" w:space="0" w:color="auto"/>
              <w:right w:val="single" w:sz="4" w:space="0" w:color="auto"/>
            </w:tcBorders>
          </w:tcPr>
          <w:p w:rsidR="00B3044A" w:rsidRDefault="00B3044A" w:rsidP="00B3044A">
            <w:pPr>
              <w:widowControl/>
              <w:shd w:val="clear" w:color="auto" w:fill="FFFFFF"/>
              <w:autoSpaceDE/>
              <w:autoSpaceDN/>
              <w:spacing w:before="24" w:after="24"/>
              <w:jc w:val="both"/>
              <w:rPr>
                <w:color w:val="222222"/>
                <w:sz w:val="24"/>
                <w:szCs w:val="24"/>
                <w:lang w:eastAsia="uk-UA"/>
              </w:rPr>
            </w:pPr>
            <w:r w:rsidRPr="00B3044A">
              <w:rPr>
                <w:color w:val="222222"/>
                <w:sz w:val="24"/>
                <w:szCs w:val="24"/>
                <w:lang w:eastAsia="uk-UA"/>
              </w:rPr>
              <w:t>Протягом 30 робочих днів після подання відповідної заяви та всіх необхідних документів для здійснення зазначених дій згі</w:t>
            </w:r>
            <w:r w:rsidRPr="00F249ED">
              <w:rPr>
                <w:color w:val="222222"/>
                <w:sz w:val="24"/>
                <w:szCs w:val="24"/>
                <w:lang w:eastAsia="uk-UA"/>
              </w:rPr>
              <w:t>дно з Положенням 1047</w:t>
            </w:r>
            <w:r w:rsidRPr="00B3044A">
              <w:rPr>
                <w:color w:val="222222"/>
                <w:sz w:val="24"/>
                <w:szCs w:val="24"/>
                <w:lang w:eastAsia="uk-UA"/>
              </w:rPr>
              <w:t>.</w:t>
            </w:r>
          </w:p>
          <w:p w:rsidR="00B5318E" w:rsidRPr="00B3044A" w:rsidRDefault="00B5318E" w:rsidP="00B3044A">
            <w:pPr>
              <w:widowControl/>
              <w:shd w:val="clear" w:color="auto" w:fill="FFFFFF"/>
              <w:autoSpaceDE/>
              <w:autoSpaceDN/>
              <w:spacing w:before="24" w:after="24"/>
              <w:jc w:val="both"/>
              <w:rPr>
                <w:color w:val="222222"/>
                <w:sz w:val="24"/>
                <w:szCs w:val="24"/>
                <w:lang w:eastAsia="uk-UA"/>
              </w:rPr>
            </w:pPr>
          </w:p>
          <w:p w:rsidR="003E5699" w:rsidRPr="00F249ED" w:rsidRDefault="00B3044A" w:rsidP="003E5699">
            <w:pPr>
              <w:jc w:val="both"/>
              <w:rPr>
                <w:rStyle w:val="rvts0"/>
                <w:sz w:val="24"/>
                <w:szCs w:val="24"/>
              </w:rPr>
            </w:pPr>
            <w:r w:rsidRPr="00F249ED">
              <w:rPr>
                <w:color w:val="222222"/>
                <w:sz w:val="24"/>
                <w:szCs w:val="24"/>
                <w:shd w:val="clear" w:color="auto" w:fill="FFFFFF"/>
                <w:lang w:eastAsia="uk-UA"/>
              </w:rPr>
              <w:t>За письмовим зверненням заявника, поданим до НКЦПФР офіційним каналом зв'язку протягом строку розгляду його заяви та відповідних документів, про відмову від розгляду НКЦПФР цієї заяви у зв'язку з відмовою від отримання відповідної адміністративної послуги згідно з поданою заявою або з метою доопрацювання поданих документів, НКЦПФР з дати отримання такого звернення припиняє розгляд поданих відповідно до  Положення 1047 документів та вважає їх такими, що повернуті заявнику. Після доопрацювання заявник подає документи у загальному порядку.</w:t>
            </w:r>
          </w:p>
        </w:tc>
      </w:tr>
      <w:tr w:rsidR="003E5699" w:rsidRPr="00A22345" w:rsidTr="00070B0F">
        <w:trPr>
          <w:trHeight w:val="627"/>
        </w:trPr>
        <w:tc>
          <w:tcPr>
            <w:tcW w:w="244"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12</w:t>
            </w:r>
          </w:p>
        </w:tc>
        <w:tc>
          <w:tcPr>
            <w:tcW w:w="1160"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Результат надання адміністративної послуги</w:t>
            </w:r>
          </w:p>
        </w:tc>
        <w:tc>
          <w:tcPr>
            <w:tcW w:w="3597" w:type="pct"/>
            <w:tcBorders>
              <w:top w:val="single" w:sz="4" w:space="0" w:color="auto"/>
              <w:left w:val="single" w:sz="4" w:space="0" w:color="auto"/>
              <w:bottom w:val="single" w:sz="4" w:space="0" w:color="auto"/>
              <w:right w:val="single" w:sz="4" w:space="0" w:color="auto"/>
            </w:tcBorders>
          </w:tcPr>
          <w:p w:rsidR="00B3044A" w:rsidRDefault="00770E15" w:rsidP="00B3044A">
            <w:pPr>
              <w:pStyle w:val="TableParagraph"/>
              <w:ind w:left="0"/>
              <w:rPr>
                <w:sz w:val="24"/>
                <w:szCs w:val="24"/>
              </w:rPr>
            </w:pPr>
            <w:r>
              <w:rPr>
                <w:sz w:val="24"/>
                <w:szCs w:val="24"/>
              </w:rPr>
              <w:t xml:space="preserve">Зареєстрований регламент </w:t>
            </w:r>
            <w:r w:rsidR="00C15D3A">
              <w:rPr>
                <w:sz w:val="24"/>
                <w:szCs w:val="24"/>
              </w:rPr>
              <w:t>корпоративного</w:t>
            </w:r>
            <w:r>
              <w:rPr>
                <w:sz w:val="24"/>
                <w:szCs w:val="24"/>
              </w:rPr>
              <w:t xml:space="preserve"> </w:t>
            </w:r>
            <w:r w:rsidR="00C15D3A">
              <w:rPr>
                <w:sz w:val="24"/>
                <w:szCs w:val="24"/>
              </w:rPr>
              <w:t xml:space="preserve">фонду, звіт про результати приватного розміщення акцій серед засновників корпоративного фонду </w:t>
            </w:r>
            <w:r w:rsidR="00B3044A" w:rsidRPr="00F249ED">
              <w:rPr>
                <w:sz w:val="24"/>
                <w:szCs w:val="24"/>
              </w:rPr>
              <w:t>в</w:t>
            </w:r>
            <w:r w:rsidR="00C15D3A">
              <w:rPr>
                <w:sz w:val="24"/>
                <w:szCs w:val="24"/>
              </w:rPr>
              <w:t xml:space="preserve"> </w:t>
            </w:r>
            <w:r w:rsidR="00B3044A" w:rsidRPr="00F249ED">
              <w:rPr>
                <w:sz w:val="24"/>
                <w:szCs w:val="24"/>
              </w:rPr>
              <w:t>електронному вигляді</w:t>
            </w:r>
            <w:r>
              <w:rPr>
                <w:sz w:val="24"/>
                <w:szCs w:val="24"/>
              </w:rPr>
              <w:t>;</w:t>
            </w:r>
          </w:p>
          <w:p w:rsidR="003E5699" w:rsidRPr="00F249ED" w:rsidRDefault="00770E15" w:rsidP="00F249ED">
            <w:pPr>
              <w:pStyle w:val="TableParagraph"/>
              <w:ind w:left="0"/>
              <w:rPr>
                <w:sz w:val="24"/>
                <w:szCs w:val="24"/>
              </w:rPr>
            </w:pPr>
            <w:r>
              <w:rPr>
                <w:sz w:val="24"/>
                <w:szCs w:val="24"/>
              </w:rPr>
              <w:t xml:space="preserve">Свідоцтво про внесення відомостей про інститут спільного інвестування до Реєстру в </w:t>
            </w:r>
            <w:r w:rsidRPr="00F249ED">
              <w:rPr>
                <w:sz w:val="24"/>
                <w:szCs w:val="24"/>
              </w:rPr>
              <w:t>електронному вигляді</w:t>
            </w:r>
            <w:r w:rsidR="00C15D3A">
              <w:rPr>
                <w:sz w:val="24"/>
                <w:szCs w:val="24"/>
              </w:rPr>
              <w:t xml:space="preserve"> та Свідоцтво про реєстрацію випуску акцій корпоративного фонду в електронному вигляді.</w:t>
            </w:r>
          </w:p>
        </w:tc>
      </w:tr>
      <w:tr w:rsidR="003E5699" w:rsidRPr="00A22345" w:rsidTr="00070B0F">
        <w:tc>
          <w:tcPr>
            <w:tcW w:w="244"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13</w:t>
            </w:r>
          </w:p>
        </w:tc>
        <w:tc>
          <w:tcPr>
            <w:tcW w:w="1160" w:type="pct"/>
            <w:tcBorders>
              <w:top w:val="single" w:sz="4" w:space="0" w:color="auto"/>
              <w:left w:val="single" w:sz="4" w:space="0" w:color="auto"/>
              <w:bottom w:val="single" w:sz="4" w:space="0" w:color="auto"/>
              <w:right w:val="single" w:sz="4" w:space="0" w:color="auto"/>
            </w:tcBorders>
          </w:tcPr>
          <w:p w:rsidR="003E5699" w:rsidRPr="00A22345" w:rsidRDefault="003E5699" w:rsidP="00F9605E">
            <w:pPr>
              <w:jc w:val="both"/>
              <w:rPr>
                <w:sz w:val="24"/>
                <w:szCs w:val="24"/>
              </w:rPr>
            </w:pPr>
            <w:r w:rsidRPr="00A22345">
              <w:rPr>
                <w:sz w:val="24"/>
                <w:szCs w:val="24"/>
              </w:rPr>
              <w:t>Способи отримання відповіді (результату)</w:t>
            </w:r>
          </w:p>
        </w:tc>
        <w:tc>
          <w:tcPr>
            <w:tcW w:w="3597" w:type="pct"/>
            <w:tcBorders>
              <w:top w:val="single" w:sz="4" w:space="0" w:color="auto"/>
              <w:left w:val="single" w:sz="4" w:space="0" w:color="auto"/>
              <w:bottom w:val="single" w:sz="4" w:space="0" w:color="auto"/>
              <w:right w:val="single" w:sz="4" w:space="0" w:color="auto"/>
            </w:tcBorders>
          </w:tcPr>
          <w:p w:rsidR="00F249ED" w:rsidRPr="00F249ED" w:rsidRDefault="00770E15" w:rsidP="00C15D3A">
            <w:pPr>
              <w:pStyle w:val="TableParagraph"/>
              <w:ind w:left="0"/>
              <w:rPr>
                <w:sz w:val="24"/>
                <w:szCs w:val="24"/>
              </w:rPr>
            </w:pPr>
            <w:r>
              <w:rPr>
                <w:sz w:val="24"/>
                <w:szCs w:val="24"/>
              </w:rPr>
              <w:t>Зареєстрований регламент</w:t>
            </w:r>
            <w:r w:rsidR="00C15D3A">
              <w:rPr>
                <w:sz w:val="24"/>
                <w:szCs w:val="24"/>
              </w:rPr>
              <w:t xml:space="preserve"> корпоративного фонду, звіт про результати приватного розміщення акцій серед засновників корпоративного фонду, Свідоцтво про внесення відомостей про інститут спільного інвестування до Реєстру в </w:t>
            </w:r>
            <w:r w:rsidR="00C15D3A" w:rsidRPr="00F249ED">
              <w:rPr>
                <w:sz w:val="24"/>
                <w:szCs w:val="24"/>
              </w:rPr>
              <w:t>електронному вигляді</w:t>
            </w:r>
            <w:r w:rsidR="00C15D3A">
              <w:rPr>
                <w:sz w:val="24"/>
                <w:szCs w:val="24"/>
              </w:rPr>
              <w:t xml:space="preserve"> та Свідоцтво про реєстрацію випуску акцій корпоративного фонду</w:t>
            </w:r>
            <w:r>
              <w:rPr>
                <w:sz w:val="24"/>
                <w:szCs w:val="24"/>
              </w:rPr>
              <w:t xml:space="preserve"> </w:t>
            </w:r>
            <w:r w:rsidR="00B5318E">
              <w:rPr>
                <w:sz w:val="24"/>
                <w:szCs w:val="24"/>
              </w:rPr>
              <w:t xml:space="preserve">в електронному вигляді </w:t>
            </w:r>
            <w:r>
              <w:rPr>
                <w:color w:val="222222"/>
                <w:sz w:val="24"/>
                <w:szCs w:val="24"/>
                <w:shd w:val="clear" w:color="auto" w:fill="FFFFFF"/>
              </w:rPr>
              <w:t>надсилаю</w:t>
            </w:r>
            <w:r w:rsidR="00B5318E">
              <w:rPr>
                <w:color w:val="222222"/>
                <w:sz w:val="24"/>
                <w:szCs w:val="24"/>
                <w:shd w:val="clear" w:color="auto" w:fill="FFFFFF"/>
              </w:rPr>
              <w:t>ться заявнику офіційним каналом звʼязку разом із відповідним супровідним листом</w:t>
            </w:r>
            <w:r w:rsidR="00890FD2">
              <w:rPr>
                <w:color w:val="222222"/>
                <w:sz w:val="24"/>
                <w:szCs w:val="24"/>
                <w:shd w:val="clear" w:color="auto" w:fill="FFFFFF"/>
              </w:rPr>
              <w:t>.</w:t>
            </w:r>
            <w:r w:rsidR="003E5699" w:rsidRPr="00F249ED">
              <w:rPr>
                <w:sz w:val="24"/>
                <w:szCs w:val="24"/>
              </w:rPr>
              <w:t xml:space="preserve"> </w:t>
            </w:r>
          </w:p>
          <w:p w:rsidR="003E5699" w:rsidRPr="00F249ED" w:rsidRDefault="00FE1292" w:rsidP="003E5699">
            <w:pPr>
              <w:jc w:val="both"/>
              <w:rPr>
                <w:sz w:val="24"/>
                <w:szCs w:val="24"/>
              </w:rPr>
            </w:pPr>
            <w:r>
              <w:rPr>
                <w:sz w:val="24"/>
                <w:szCs w:val="24"/>
              </w:rPr>
              <w:t>Уразі відмови в реєстрації заявник повідомляється офіційним каналом звʼязку протягом 3 робочих днів із зазначенням підстав такої відмови.</w:t>
            </w:r>
          </w:p>
        </w:tc>
      </w:tr>
    </w:tbl>
    <w:p w:rsidR="00371AAD" w:rsidRPr="00A22345" w:rsidRDefault="00371AAD" w:rsidP="00371AAD">
      <w:pPr>
        <w:rPr>
          <w:sz w:val="24"/>
        </w:rPr>
      </w:pPr>
    </w:p>
    <w:p w:rsidR="00375DC3" w:rsidRDefault="00375DC3" w:rsidP="00375DC3">
      <w:pPr>
        <w:jc w:val="both"/>
      </w:pPr>
      <w:r>
        <w:t xml:space="preserve">Примітки: </w:t>
      </w:r>
    </w:p>
    <w:p w:rsidR="00375DC3" w:rsidRDefault="00375DC3" w:rsidP="00375DC3">
      <w:pPr>
        <w:jc w:val="both"/>
      </w:pPr>
      <w:r>
        <w:t>Права та обов’язки заявника визначені в статті 28 Закону України «Про адміністративну процедуру».</w:t>
      </w:r>
    </w:p>
    <w:p w:rsidR="00375DC3" w:rsidRDefault="00375DC3" w:rsidP="00375DC3">
      <w:pPr>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375DC3" w:rsidRDefault="00375DC3" w:rsidP="00375DC3">
      <w:pPr>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375DC3" w:rsidRDefault="00375DC3" w:rsidP="00375DC3">
      <w:pPr>
        <w:pStyle w:val="ab"/>
        <w:spacing w:before="0" w:beforeAutospacing="0" w:after="0" w:afterAutospacing="0"/>
        <w:jc w:val="both"/>
      </w:pPr>
      <w:r>
        <w:t>Результати надання адміністративної послуги можуть бути оскаржені до суду в порядку, встановленому законом</w:t>
      </w:r>
    </w:p>
    <w:p w:rsidR="00375DC3" w:rsidRDefault="00375DC3" w:rsidP="00375DC3">
      <w:pPr>
        <w:pStyle w:val="ab"/>
        <w:spacing w:before="0" w:beforeAutospacing="0" w:after="0" w:afterAutospacing="0"/>
        <w:jc w:val="both"/>
      </w:pPr>
      <w:bookmarkStart w:id="20" w:name="_GoBack"/>
      <w:bookmarkEnd w:id="20"/>
    </w:p>
    <w:p w:rsidR="009B3CDD" w:rsidRPr="00A22345" w:rsidRDefault="009B3CDD" w:rsidP="00070B0F">
      <w:pPr>
        <w:jc w:val="both"/>
        <w:rPr>
          <w:sz w:val="26"/>
        </w:rPr>
      </w:pPr>
    </w:p>
    <w:sectPr w:rsidR="009B3CDD" w:rsidRPr="00A22345" w:rsidSect="004B671D">
      <w:headerReference w:type="default" r:id="rId15"/>
      <w:pgSz w:w="11910" w:h="16840"/>
      <w:pgMar w:top="568" w:right="853" w:bottom="568" w:left="1701"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EAF" w:rsidRDefault="00885EAF">
      <w:r>
        <w:separator/>
      </w:r>
    </w:p>
  </w:endnote>
  <w:endnote w:type="continuationSeparator" w:id="0">
    <w:p w:rsidR="00885EAF" w:rsidRDefault="0088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EAF" w:rsidRDefault="00885EAF">
      <w:r>
        <w:separator/>
      </w:r>
    </w:p>
  </w:footnote>
  <w:footnote w:type="continuationSeparator" w:id="0">
    <w:p w:rsidR="00885EAF" w:rsidRDefault="0088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757" w:rsidRDefault="00FC7757">
    <w:pPr>
      <w:pStyle w:val="a3"/>
      <w:spacing w:line="14" w:lineRule="auto"/>
      <w:rPr>
        <w:b w:val="0"/>
        <w:sz w:val="20"/>
      </w:rPr>
    </w:pPr>
  </w:p>
  <w:p w:rsidR="007E4992" w:rsidRDefault="00375DC3">
    <w:pPr>
      <w:pStyle w:val="a3"/>
      <w:spacing w:line="14" w:lineRule="auto"/>
      <w:rPr>
        <w:b w:val="0"/>
        <w:sz w:val="20"/>
      </w:rPr>
    </w:pPr>
    <w:r>
      <w:rPr>
        <w:noProof/>
        <w:lang w:eastAsia="uk-UA"/>
      </w:rPr>
      <mc:AlternateContent>
        <mc:Choice Requires="wps">
          <w:drawing>
            <wp:anchor distT="0" distB="0" distL="114300" distR="114300" simplePos="0" relativeHeight="251657728" behindDoc="1" locked="0" layoutInCell="1" allowOverlap="1">
              <wp:simplePos x="0" y="0"/>
              <wp:positionH relativeFrom="page">
                <wp:posOffset>3973830</wp:posOffset>
              </wp:positionH>
              <wp:positionV relativeFrom="page">
                <wp:posOffset>276860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92" w:rsidRDefault="007E4992">
                          <w:pPr>
                            <w:spacing w:before="10"/>
                            <w:ind w:left="60"/>
                            <w:rPr>
                              <w:sz w:val="24"/>
                            </w:rPr>
                          </w:pPr>
                          <w:r>
                            <w:fldChar w:fldCharType="begin"/>
                          </w:r>
                          <w:r>
                            <w:rPr>
                              <w:sz w:val="24"/>
                            </w:rPr>
                            <w:instrText xml:space="preserve"> PAGE </w:instrText>
                          </w:r>
                          <w:r>
                            <w:fldChar w:fldCharType="separate"/>
                          </w:r>
                          <w:r w:rsidR="004B671D">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9pt;margin-top:21.8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uuBbKt8AAAAJAQAA&#10;DwAAAGRycy9kb3ducmV2LnhtbEyPwU7DMBBE70j8g7VI3KhDCKZN41QVghMSahoOHJ14m1iN1yF2&#10;2/D3mBMcd3Y086bYzHZgZ5y8cSThfpEAQ2qdNtRJ+Khf75bAfFCk1eAIJXyjh015fVWoXLsLVXje&#10;h47FEPK5ktCHMOac+7ZHq/zCjUjxd3CTVSGeU8f1pC4x3A48TRLBrTIUG3o14nOP7XF/shK2n1S9&#10;mK/3ZlcdKlPXq4TexFHK25t5uwYWcA5/ZvjFj+hQRqbGnUh7NkgQ6WNEDxKyBwEsGkS2ikIj4SlL&#10;gZcF/7+g/AEAAP//AwBQSwECLQAUAAYACAAAACEAtoM4kv4AAADhAQAAEwAAAAAAAAAAAAAAAAAA&#10;AAAAW0NvbnRlbnRfVHlwZXNdLnhtbFBLAQItABQABgAIAAAAIQA4/SH/1gAAAJQBAAALAAAAAAAA&#10;AAAAAAAAAC8BAABfcmVscy8ucmVsc1BLAQItABQABgAIAAAAIQDO/NPzqwIAAKgFAAAOAAAAAAAA&#10;AAAAAAAAAC4CAABkcnMvZTJvRG9jLnhtbFBLAQItABQABgAIAAAAIQC64Fsq3wAAAAkBAAAPAAAA&#10;AAAAAAAAAAAAAAUFAABkcnMvZG93bnJldi54bWxQSwUGAAAAAAQABADzAAAAEQYAAAAA&#10;" filled="f" stroked="f">
              <v:textbox inset="0,0,0,0">
                <w:txbxContent>
                  <w:p w:rsidR="007E4992" w:rsidRDefault="007E4992">
                    <w:pPr>
                      <w:spacing w:before="10"/>
                      <w:ind w:left="60"/>
                      <w:rPr>
                        <w:sz w:val="24"/>
                      </w:rPr>
                    </w:pPr>
                    <w:r>
                      <w:fldChar w:fldCharType="begin"/>
                    </w:r>
                    <w:r>
                      <w:rPr>
                        <w:sz w:val="24"/>
                      </w:rPr>
                      <w:instrText xml:space="preserve"> PAGE </w:instrText>
                    </w:r>
                    <w:r>
                      <w:fldChar w:fldCharType="separate"/>
                    </w:r>
                    <w:r w:rsidR="004B671D">
                      <w:rPr>
                        <w:noProof/>
                        <w:sz w:val="24"/>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7450"/>
    <w:multiLevelType w:val="hybridMultilevel"/>
    <w:tmpl w:val="EACE8332"/>
    <w:lvl w:ilvl="0" w:tplc="8CEA714C">
      <w:numFmt w:val="bullet"/>
      <w:lvlText w:val="–"/>
      <w:lvlJc w:val="left"/>
      <w:pPr>
        <w:ind w:left="287" w:hanging="180"/>
      </w:pPr>
      <w:rPr>
        <w:rFonts w:ascii="Times New Roman" w:eastAsia="Times New Roman" w:hAnsi="Times New Roman" w:cs="Times New Roman" w:hint="default"/>
        <w:b/>
        <w:bCs/>
        <w:w w:val="100"/>
        <w:sz w:val="24"/>
        <w:szCs w:val="24"/>
        <w:lang w:val="uk-UA" w:eastAsia="en-US" w:bidi="ar-SA"/>
      </w:rPr>
    </w:lvl>
    <w:lvl w:ilvl="1" w:tplc="E54076C8">
      <w:start w:val="1"/>
      <w:numFmt w:val="decimal"/>
      <w:lvlText w:val="%2)"/>
      <w:lvlJc w:val="left"/>
      <w:pPr>
        <w:ind w:left="107" w:hanging="343"/>
      </w:pPr>
      <w:rPr>
        <w:rFonts w:ascii="Times New Roman" w:eastAsia="Times New Roman" w:hAnsi="Times New Roman" w:cs="Times New Roman" w:hint="default"/>
        <w:w w:val="100"/>
        <w:sz w:val="24"/>
        <w:szCs w:val="24"/>
        <w:lang w:val="uk-UA" w:eastAsia="en-US" w:bidi="ar-SA"/>
      </w:rPr>
    </w:lvl>
    <w:lvl w:ilvl="2" w:tplc="37D073CA">
      <w:numFmt w:val="bullet"/>
      <w:lvlText w:val="•"/>
      <w:lvlJc w:val="left"/>
      <w:pPr>
        <w:ind w:left="1015" w:hanging="343"/>
      </w:pPr>
      <w:rPr>
        <w:rFonts w:hint="default"/>
        <w:lang w:val="uk-UA" w:eastAsia="en-US" w:bidi="ar-SA"/>
      </w:rPr>
    </w:lvl>
    <w:lvl w:ilvl="3" w:tplc="995AAE68">
      <w:numFmt w:val="bullet"/>
      <w:lvlText w:val="•"/>
      <w:lvlJc w:val="left"/>
      <w:pPr>
        <w:ind w:left="1751" w:hanging="343"/>
      </w:pPr>
      <w:rPr>
        <w:rFonts w:hint="default"/>
        <w:lang w:val="uk-UA" w:eastAsia="en-US" w:bidi="ar-SA"/>
      </w:rPr>
    </w:lvl>
    <w:lvl w:ilvl="4" w:tplc="388EFEC2">
      <w:numFmt w:val="bullet"/>
      <w:lvlText w:val="•"/>
      <w:lvlJc w:val="left"/>
      <w:pPr>
        <w:ind w:left="2487" w:hanging="343"/>
      </w:pPr>
      <w:rPr>
        <w:rFonts w:hint="default"/>
        <w:lang w:val="uk-UA" w:eastAsia="en-US" w:bidi="ar-SA"/>
      </w:rPr>
    </w:lvl>
    <w:lvl w:ilvl="5" w:tplc="0EFAD952">
      <w:numFmt w:val="bullet"/>
      <w:lvlText w:val="•"/>
      <w:lvlJc w:val="left"/>
      <w:pPr>
        <w:ind w:left="3223" w:hanging="343"/>
      </w:pPr>
      <w:rPr>
        <w:rFonts w:hint="default"/>
        <w:lang w:val="uk-UA" w:eastAsia="en-US" w:bidi="ar-SA"/>
      </w:rPr>
    </w:lvl>
    <w:lvl w:ilvl="6" w:tplc="D1A40D36">
      <w:numFmt w:val="bullet"/>
      <w:lvlText w:val="•"/>
      <w:lvlJc w:val="left"/>
      <w:pPr>
        <w:ind w:left="3959" w:hanging="343"/>
      </w:pPr>
      <w:rPr>
        <w:rFonts w:hint="default"/>
        <w:lang w:val="uk-UA" w:eastAsia="en-US" w:bidi="ar-SA"/>
      </w:rPr>
    </w:lvl>
    <w:lvl w:ilvl="7" w:tplc="216C801A">
      <w:numFmt w:val="bullet"/>
      <w:lvlText w:val="•"/>
      <w:lvlJc w:val="left"/>
      <w:pPr>
        <w:ind w:left="4695" w:hanging="343"/>
      </w:pPr>
      <w:rPr>
        <w:rFonts w:hint="default"/>
        <w:lang w:val="uk-UA" w:eastAsia="en-US" w:bidi="ar-SA"/>
      </w:rPr>
    </w:lvl>
    <w:lvl w:ilvl="8" w:tplc="CAD04A7A">
      <w:numFmt w:val="bullet"/>
      <w:lvlText w:val="•"/>
      <w:lvlJc w:val="left"/>
      <w:pPr>
        <w:ind w:left="5431" w:hanging="343"/>
      </w:pPr>
      <w:rPr>
        <w:rFonts w:hint="default"/>
        <w:lang w:val="uk-UA" w:eastAsia="en-US" w:bidi="ar-SA"/>
      </w:rPr>
    </w:lvl>
  </w:abstractNum>
  <w:abstractNum w:abstractNumId="1" w15:restartNumberingAfterBreak="0">
    <w:nsid w:val="26EF6013"/>
    <w:multiLevelType w:val="hybridMultilevel"/>
    <w:tmpl w:val="1338C002"/>
    <w:lvl w:ilvl="0" w:tplc="9DA4066C">
      <w:start w:val="1"/>
      <w:numFmt w:val="decimal"/>
      <w:lvlText w:val="%1)"/>
      <w:lvlJc w:val="left"/>
      <w:pPr>
        <w:ind w:left="107" w:hanging="370"/>
      </w:pPr>
      <w:rPr>
        <w:rFonts w:ascii="Times New Roman" w:eastAsia="Times New Roman" w:hAnsi="Times New Roman" w:cs="Times New Roman" w:hint="default"/>
        <w:w w:val="100"/>
        <w:sz w:val="24"/>
        <w:szCs w:val="24"/>
        <w:lang w:val="uk-UA" w:eastAsia="en-US" w:bidi="ar-SA"/>
      </w:rPr>
    </w:lvl>
    <w:lvl w:ilvl="1" w:tplc="B81A4B4A">
      <w:numFmt w:val="bullet"/>
      <w:lvlText w:val="•"/>
      <w:lvlJc w:val="left"/>
      <w:pPr>
        <w:ind w:left="780" w:hanging="370"/>
      </w:pPr>
      <w:rPr>
        <w:rFonts w:hint="default"/>
        <w:lang w:val="uk-UA" w:eastAsia="en-US" w:bidi="ar-SA"/>
      </w:rPr>
    </w:lvl>
    <w:lvl w:ilvl="2" w:tplc="CD9425A6">
      <w:numFmt w:val="bullet"/>
      <w:lvlText w:val="•"/>
      <w:lvlJc w:val="left"/>
      <w:pPr>
        <w:ind w:left="1460" w:hanging="370"/>
      </w:pPr>
      <w:rPr>
        <w:rFonts w:hint="default"/>
        <w:lang w:val="uk-UA" w:eastAsia="en-US" w:bidi="ar-SA"/>
      </w:rPr>
    </w:lvl>
    <w:lvl w:ilvl="3" w:tplc="B8CC0A08">
      <w:numFmt w:val="bullet"/>
      <w:lvlText w:val="•"/>
      <w:lvlJc w:val="left"/>
      <w:pPr>
        <w:ind w:left="2140" w:hanging="370"/>
      </w:pPr>
      <w:rPr>
        <w:rFonts w:hint="default"/>
        <w:lang w:val="uk-UA" w:eastAsia="en-US" w:bidi="ar-SA"/>
      </w:rPr>
    </w:lvl>
    <w:lvl w:ilvl="4" w:tplc="2702CAB2">
      <w:numFmt w:val="bullet"/>
      <w:lvlText w:val="•"/>
      <w:lvlJc w:val="left"/>
      <w:pPr>
        <w:ind w:left="2821" w:hanging="370"/>
      </w:pPr>
      <w:rPr>
        <w:rFonts w:hint="default"/>
        <w:lang w:val="uk-UA" w:eastAsia="en-US" w:bidi="ar-SA"/>
      </w:rPr>
    </w:lvl>
    <w:lvl w:ilvl="5" w:tplc="C122B91E">
      <w:numFmt w:val="bullet"/>
      <w:lvlText w:val="•"/>
      <w:lvlJc w:val="left"/>
      <w:pPr>
        <w:ind w:left="3501" w:hanging="370"/>
      </w:pPr>
      <w:rPr>
        <w:rFonts w:hint="default"/>
        <w:lang w:val="uk-UA" w:eastAsia="en-US" w:bidi="ar-SA"/>
      </w:rPr>
    </w:lvl>
    <w:lvl w:ilvl="6" w:tplc="400460C0">
      <w:numFmt w:val="bullet"/>
      <w:lvlText w:val="•"/>
      <w:lvlJc w:val="left"/>
      <w:pPr>
        <w:ind w:left="4181" w:hanging="370"/>
      </w:pPr>
      <w:rPr>
        <w:rFonts w:hint="default"/>
        <w:lang w:val="uk-UA" w:eastAsia="en-US" w:bidi="ar-SA"/>
      </w:rPr>
    </w:lvl>
    <w:lvl w:ilvl="7" w:tplc="11C62C38">
      <w:numFmt w:val="bullet"/>
      <w:lvlText w:val="•"/>
      <w:lvlJc w:val="left"/>
      <w:pPr>
        <w:ind w:left="4862" w:hanging="370"/>
      </w:pPr>
      <w:rPr>
        <w:rFonts w:hint="default"/>
        <w:lang w:val="uk-UA" w:eastAsia="en-US" w:bidi="ar-SA"/>
      </w:rPr>
    </w:lvl>
    <w:lvl w:ilvl="8" w:tplc="E40A008C">
      <w:numFmt w:val="bullet"/>
      <w:lvlText w:val="•"/>
      <w:lvlJc w:val="left"/>
      <w:pPr>
        <w:ind w:left="5542" w:hanging="370"/>
      </w:pPr>
      <w:rPr>
        <w:rFonts w:hint="default"/>
        <w:lang w:val="uk-UA" w:eastAsia="en-US" w:bidi="ar-SA"/>
      </w:rPr>
    </w:lvl>
  </w:abstractNum>
  <w:abstractNum w:abstractNumId="2" w15:restartNumberingAfterBreak="0">
    <w:nsid w:val="3E0E565C"/>
    <w:multiLevelType w:val="hybridMultilevel"/>
    <w:tmpl w:val="A462CCA0"/>
    <w:lvl w:ilvl="0" w:tplc="98125F58">
      <w:start w:val="12"/>
      <w:numFmt w:val="decimal"/>
      <w:lvlText w:val="%1)"/>
      <w:lvlJc w:val="left"/>
      <w:pPr>
        <w:ind w:left="107" w:hanging="581"/>
      </w:pPr>
      <w:rPr>
        <w:rFonts w:ascii="Times New Roman" w:eastAsia="Times New Roman" w:hAnsi="Times New Roman" w:cs="Times New Roman" w:hint="default"/>
        <w:w w:val="99"/>
        <w:sz w:val="24"/>
        <w:szCs w:val="24"/>
        <w:lang w:val="uk-UA" w:eastAsia="en-US" w:bidi="ar-SA"/>
      </w:rPr>
    </w:lvl>
    <w:lvl w:ilvl="1" w:tplc="350098F4">
      <w:numFmt w:val="bullet"/>
      <w:lvlText w:val="•"/>
      <w:lvlJc w:val="left"/>
      <w:pPr>
        <w:ind w:left="780" w:hanging="581"/>
      </w:pPr>
      <w:rPr>
        <w:rFonts w:hint="default"/>
        <w:lang w:val="uk-UA" w:eastAsia="en-US" w:bidi="ar-SA"/>
      </w:rPr>
    </w:lvl>
    <w:lvl w:ilvl="2" w:tplc="6A5CADF4">
      <w:numFmt w:val="bullet"/>
      <w:lvlText w:val="•"/>
      <w:lvlJc w:val="left"/>
      <w:pPr>
        <w:ind w:left="1460" w:hanging="581"/>
      </w:pPr>
      <w:rPr>
        <w:rFonts w:hint="default"/>
        <w:lang w:val="uk-UA" w:eastAsia="en-US" w:bidi="ar-SA"/>
      </w:rPr>
    </w:lvl>
    <w:lvl w:ilvl="3" w:tplc="01C66902">
      <w:numFmt w:val="bullet"/>
      <w:lvlText w:val="•"/>
      <w:lvlJc w:val="left"/>
      <w:pPr>
        <w:ind w:left="2140" w:hanging="581"/>
      </w:pPr>
      <w:rPr>
        <w:rFonts w:hint="default"/>
        <w:lang w:val="uk-UA" w:eastAsia="en-US" w:bidi="ar-SA"/>
      </w:rPr>
    </w:lvl>
    <w:lvl w:ilvl="4" w:tplc="EB48A7F2">
      <w:numFmt w:val="bullet"/>
      <w:lvlText w:val="•"/>
      <w:lvlJc w:val="left"/>
      <w:pPr>
        <w:ind w:left="2821" w:hanging="581"/>
      </w:pPr>
      <w:rPr>
        <w:rFonts w:hint="default"/>
        <w:lang w:val="uk-UA" w:eastAsia="en-US" w:bidi="ar-SA"/>
      </w:rPr>
    </w:lvl>
    <w:lvl w:ilvl="5" w:tplc="9A5071FC">
      <w:numFmt w:val="bullet"/>
      <w:lvlText w:val="•"/>
      <w:lvlJc w:val="left"/>
      <w:pPr>
        <w:ind w:left="3501" w:hanging="581"/>
      </w:pPr>
      <w:rPr>
        <w:rFonts w:hint="default"/>
        <w:lang w:val="uk-UA" w:eastAsia="en-US" w:bidi="ar-SA"/>
      </w:rPr>
    </w:lvl>
    <w:lvl w:ilvl="6" w:tplc="43547CAC">
      <w:numFmt w:val="bullet"/>
      <w:lvlText w:val="•"/>
      <w:lvlJc w:val="left"/>
      <w:pPr>
        <w:ind w:left="4181" w:hanging="581"/>
      </w:pPr>
      <w:rPr>
        <w:rFonts w:hint="default"/>
        <w:lang w:val="uk-UA" w:eastAsia="en-US" w:bidi="ar-SA"/>
      </w:rPr>
    </w:lvl>
    <w:lvl w:ilvl="7" w:tplc="3314DBEA">
      <w:numFmt w:val="bullet"/>
      <w:lvlText w:val="•"/>
      <w:lvlJc w:val="left"/>
      <w:pPr>
        <w:ind w:left="4862" w:hanging="581"/>
      </w:pPr>
      <w:rPr>
        <w:rFonts w:hint="default"/>
        <w:lang w:val="uk-UA" w:eastAsia="en-US" w:bidi="ar-SA"/>
      </w:rPr>
    </w:lvl>
    <w:lvl w:ilvl="8" w:tplc="59A47B7E">
      <w:numFmt w:val="bullet"/>
      <w:lvlText w:val="•"/>
      <w:lvlJc w:val="left"/>
      <w:pPr>
        <w:ind w:left="5542" w:hanging="581"/>
      </w:pPr>
      <w:rPr>
        <w:rFonts w:hint="default"/>
        <w:lang w:val="uk-UA"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DD"/>
    <w:rsid w:val="00011BFC"/>
    <w:rsid w:val="00051A29"/>
    <w:rsid w:val="00070B0F"/>
    <w:rsid w:val="000B2E3F"/>
    <w:rsid w:val="000D3557"/>
    <w:rsid w:val="000D3FED"/>
    <w:rsid w:val="000D5A05"/>
    <w:rsid w:val="000D7604"/>
    <w:rsid w:val="000F7915"/>
    <w:rsid w:val="00102EAB"/>
    <w:rsid w:val="001E68F0"/>
    <w:rsid w:val="00217262"/>
    <w:rsid w:val="00284805"/>
    <w:rsid w:val="002E0E08"/>
    <w:rsid w:val="00312442"/>
    <w:rsid w:val="00371AAD"/>
    <w:rsid w:val="00375DC3"/>
    <w:rsid w:val="003B152B"/>
    <w:rsid w:val="003E5699"/>
    <w:rsid w:val="004309E0"/>
    <w:rsid w:val="004B57D9"/>
    <w:rsid w:val="004B5978"/>
    <w:rsid w:val="004B671D"/>
    <w:rsid w:val="004D232D"/>
    <w:rsid w:val="004F4287"/>
    <w:rsid w:val="005046BD"/>
    <w:rsid w:val="0054779A"/>
    <w:rsid w:val="005F43B4"/>
    <w:rsid w:val="00602995"/>
    <w:rsid w:val="006246D1"/>
    <w:rsid w:val="006264AD"/>
    <w:rsid w:val="00755CA0"/>
    <w:rsid w:val="00770E15"/>
    <w:rsid w:val="00790EEF"/>
    <w:rsid w:val="007E4992"/>
    <w:rsid w:val="007F1778"/>
    <w:rsid w:val="008370B8"/>
    <w:rsid w:val="00885EAF"/>
    <w:rsid w:val="00890FD2"/>
    <w:rsid w:val="008B60E5"/>
    <w:rsid w:val="008C43CC"/>
    <w:rsid w:val="00922CD9"/>
    <w:rsid w:val="009A2D0E"/>
    <w:rsid w:val="009B3CDD"/>
    <w:rsid w:val="00A22345"/>
    <w:rsid w:val="00A627D2"/>
    <w:rsid w:val="00A71B54"/>
    <w:rsid w:val="00A87411"/>
    <w:rsid w:val="00AB3FCE"/>
    <w:rsid w:val="00AF3DD2"/>
    <w:rsid w:val="00B04F08"/>
    <w:rsid w:val="00B3044A"/>
    <w:rsid w:val="00B5318E"/>
    <w:rsid w:val="00BB1D88"/>
    <w:rsid w:val="00C15D3A"/>
    <w:rsid w:val="00C90E41"/>
    <w:rsid w:val="00CE10F7"/>
    <w:rsid w:val="00D6022A"/>
    <w:rsid w:val="00DA101F"/>
    <w:rsid w:val="00DE1CA4"/>
    <w:rsid w:val="00E36540"/>
    <w:rsid w:val="00E406B4"/>
    <w:rsid w:val="00E54884"/>
    <w:rsid w:val="00F249ED"/>
    <w:rsid w:val="00F5723D"/>
    <w:rsid w:val="00F9605E"/>
    <w:rsid w:val="00FC7757"/>
    <w:rsid w:val="00FE1292"/>
    <w:rsid w:val="00FF4D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5676F5-0855-49D1-B255-5D2F8ABE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2">
    <w:name w:val="heading 2"/>
    <w:basedOn w:val="a"/>
    <w:link w:val="20"/>
    <w:uiPriority w:val="9"/>
    <w:qFormat/>
    <w:rsid w:val="00217262"/>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7"/>
      <w:jc w:val="both"/>
    </w:pPr>
  </w:style>
  <w:style w:type="character" w:customStyle="1" w:styleId="20">
    <w:name w:val="Заголовок 2 Знак"/>
    <w:link w:val="2"/>
    <w:uiPriority w:val="9"/>
    <w:rsid w:val="00217262"/>
    <w:rPr>
      <w:rFonts w:ascii="Times New Roman" w:eastAsia="Times New Roman" w:hAnsi="Times New Roman" w:cs="Times New Roman"/>
      <w:b/>
      <w:bCs/>
      <w:sz w:val="36"/>
      <w:szCs w:val="36"/>
      <w:lang w:val="ru-RU" w:eastAsia="ru-RU"/>
    </w:rPr>
  </w:style>
  <w:style w:type="character" w:styleId="a5">
    <w:name w:val="Strong"/>
    <w:uiPriority w:val="22"/>
    <w:qFormat/>
    <w:rsid w:val="00217262"/>
    <w:rPr>
      <w:b/>
      <w:bCs/>
    </w:rPr>
  </w:style>
  <w:style w:type="character" w:styleId="a6">
    <w:name w:val="Hyperlink"/>
    <w:rsid w:val="00312442"/>
    <w:rPr>
      <w:color w:val="0000FF"/>
      <w:u w:val="single"/>
    </w:rPr>
  </w:style>
  <w:style w:type="character" w:customStyle="1" w:styleId="spelle">
    <w:name w:val="spelle"/>
    <w:rsid w:val="003E5699"/>
  </w:style>
  <w:style w:type="character" w:customStyle="1" w:styleId="rvts0">
    <w:name w:val="rvts0"/>
    <w:rsid w:val="003E5699"/>
  </w:style>
  <w:style w:type="paragraph" w:customStyle="1" w:styleId="rvps2">
    <w:name w:val="rvps2"/>
    <w:basedOn w:val="a"/>
    <w:rsid w:val="003E5699"/>
    <w:pPr>
      <w:widowControl/>
      <w:autoSpaceDE/>
      <w:autoSpaceDN/>
      <w:spacing w:before="100" w:beforeAutospacing="1" w:after="100" w:afterAutospacing="1"/>
    </w:pPr>
    <w:rPr>
      <w:sz w:val="24"/>
      <w:szCs w:val="24"/>
      <w:lang w:eastAsia="uk-UA"/>
    </w:rPr>
  </w:style>
  <w:style w:type="paragraph" w:styleId="a7">
    <w:name w:val="header"/>
    <w:basedOn w:val="a"/>
    <w:link w:val="a8"/>
    <w:uiPriority w:val="99"/>
    <w:unhideWhenUsed/>
    <w:rsid w:val="00FC7757"/>
    <w:pPr>
      <w:tabs>
        <w:tab w:val="center" w:pos="4819"/>
        <w:tab w:val="right" w:pos="9639"/>
      </w:tabs>
    </w:pPr>
  </w:style>
  <w:style w:type="character" w:customStyle="1" w:styleId="a8">
    <w:name w:val="Верхній колонтитул Знак"/>
    <w:link w:val="a7"/>
    <w:uiPriority w:val="99"/>
    <w:rsid w:val="00FC7757"/>
    <w:rPr>
      <w:rFonts w:ascii="Times New Roman" w:eastAsia="Times New Roman" w:hAnsi="Times New Roman"/>
      <w:sz w:val="22"/>
      <w:szCs w:val="22"/>
      <w:lang w:eastAsia="en-US"/>
    </w:rPr>
  </w:style>
  <w:style w:type="paragraph" w:styleId="a9">
    <w:name w:val="footer"/>
    <w:basedOn w:val="a"/>
    <w:link w:val="aa"/>
    <w:uiPriority w:val="99"/>
    <w:unhideWhenUsed/>
    <w:rsid w:val="00FC7757"/>
    <w:pPr>
      <w:tabs>
        <w:tab w:val="center" w:pos="4819"/>
        <w:tab w:val="right" w:pos="9639"/>
      </w:tabs>
    </w:pPr>
  </w:style>
  <w:style w:type="character" w:customStyle="1" w:styleId="aa">
    <w:name w:val="Нижній колонтитул Знак"/>
    <w:link w:val="a9"/>
    <w:uiPriority w:val="99"/>
    <w:rsid w:val="00FC7757"/>
    <w:rPr>
      <w:rFonts w:ascii="Times New Roman" w:eastAsia="Times New Roman" w:hAnsi="Times New Roman"/>
      <w:sz w:val="22"/>
      <w:szCs w:val="22"/>
      <w:lang w:eastAsia="en-US"/>
    </w:rPr>
  </w:style>
  <w:style w:type="paragraph" w:styleId="ab">
    <w:name w:val="Normal (Web)"/>
    <w:basedOn w:val="a"/>
    <w:rsid w:val="00375DC3"/>
    <w:pPr>
      <w:widowControl/>
      <w:autoSpaceDE/>
      <w:autoSpaceDN/>
      <w:spacing w:before="100" w:beforeAutospacing="1" w:after="100" w:afterAutospacing="1"/>
    </w:pPr>
    <w:rPr>
      <w:sz w:val="24"/>
      <w:szCs w:val="24"/>
      <w:lang w:eastAsia="uk-UA"/>
    </w:rPr>
  </w:style>
  <w:style w:type="table" w:styleId="ac">
    <w:name w:val="Table Grid"/>
    <w:basedOn w:val="a1"/>
    <w:rsid w:val="00070B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68572">
      <w:bodyDiv w:val="1"/>
      <w:marLeft w:val="0"/>
      <w:marRight w:val="0"/>
      <w:marTop w:val="0"/>
      <w:marBottom w:val="0"/>
      <w:divBdr>
        <w:top w:val="none" w:sz="0" w:space="0" w:color="auto"/>
        <w:left w:val="none" w:sz="0" w:space="0" w:color="auto"/>
        <w:bottom w:val="none" w:sz="0" w:space="0" w:color="auto"/>
        <w:right w:val="none" w:sz="0" w:space="0" w:color="auto"/>
      </w:divBdr>
    </w:div>
    <w:div w:id="494691005">
      <w:bodyDiv w:val="1"/>
      <w:marLeft w:val="0"/>
      <w:marRight w:val="0"/>
      <w:marTop w:val="0"/>
      <w:marBottom w:val="0"/>
      <w:divBdr>
        <w:top w:val="none" w:sz="0" w:space="0" w:color="auto"/>
        <w:left w:val="none" w:sz="0" w:space="0" w:color="auto"/>
        <w:bottom w:val="none" w:sz="0" w:space="0" w:color="auto"/>
        <w:right w:val="none" w:sz="0" w:space="0" w:color="auto"/>
      </w:divBdr>
    </w:div>
    <w:div w:id="846478745">
      <w:bodyDiv w:val="1"/>
      <w:marLeft w:val="0"/>
      <w:marRight w:val="0"/>
      <w:marTop w:val="0"/>
      <w:marBottom w:val="0"/>
      <w:divBdr>
        <w:top w:val="none" w:sz="0" w:space="0" w:color="auto"/>
        <w:left w:val="none" w:sz="0" w:space="0" w:color="auto"/>
        <w:bottom w:val="none" w:sz="0" w:space="0" w:color="auto"/>
        <w:right w:val="none" w:sz="0" w:space="0" w:color="auto"/>
      </w:divBdr>
    </w:div>
    <w:div w:id="116362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ssmc.gov.ua/" TargetMode="External"/><Relationship Id="rId13" Type="http://schemas.openxmlformats.org/officeDocument/2006/relationships/hyperlink" Target="https://zakon.rada.gov.ua/laws/show/z1198-13?find=1&amp;text=30+%D1%80%D0%BE%D0%B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198-13?find=1&amp;text=30+%D1%80%D0%BE%D0%B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198-13?find=1&amp;text=30+%D1%80%D0%BE%D0%B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z1198-13?find=1&amp;text=30+%D1%80%D0%BE%D0%B1" TargetMode="External"/><Relationship Id="rId4" Type="http://schemas.openxmlformats.org/officeDocument/2006/relationships/settings" Target="settings.xml"/><Relationship Id="rId9" Type="http://schemas.openxmlformats.org/officeDocument/2006/relationships/hyperlink" Target="https://services.nssmc.gov.ua/login" TargetMode="External"/><Relationship Id="rId14" Type="http://schemas.openxmlformats.org/officeDocument/2006/relationships/hyperlink" Target="https://zakon.rada.gov.ua/laws/show/z1198-13?find=1&amp;text=30+%D1%80%D0%BE%D0%B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65D89-D786-4A78-B94F-DCA27352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7103</Words>
  <Characters>4049</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
  <LinksUpToDate>false</LinksUpToDate>
  <CharactersWithSpaces>11130</CharactersWithSpaces>
  <SharedDoc>false</SharedDoc>
  <HLinks>
    <vt:vector size="60" baseType="variant">
      <vt:variant>
        <vt:i4>7667767</vt:i4>
      </vt:variant>
      <vt:variant>
        <vt:i4>27</vt:i4>
      </vt:variant>
      <vt:variant>
        <vt:i4>0</vt:i4>
      </vt:variant>
      <vt:variant>
        <vt:i4>5</vt:i4>
      </vt:variant>
      <vt:variant>
        <vt:lpwstr>https://zakon.rada.gov.ua/laws/show/z1198-13?find=1&amp;text=30+%D1%80%D0%BE%D0%B1</vt:lpwstr>
      </vt:variant>
      <vt:variant>
        <vt:lpwstr>n691</vt:lpwstr>
      </vt:variant>
      <vt:variant>
        <vt:i4>8323128</vt:i4>
      </vt:variant>
      <vt:variant>
        <vt:i4>24</vt:i4>
      </vt:variant>
      <vt:variant>
        <vt:i4>0</vt:i4>
      </vt:variant>
      <vt:variant>
        <vt:i4>5</vt:i4>
      </vt:variant>
      <vt:variant>
        <vt:lpwstr>https://zakon.rada.gov.ua/laws/show/z1198-13?find=1&amp;text=30+%D1%80%D0%BE%D0%B1</vt:lpwstr>
      </vt:variant>
      <vt:variant>
        <vt:lpwstr>n568</vt:lpwstr>
      </vt:variant>
      <vt:variant>
        <vt:i4>8323132</vt:i4>
      </vt:variant>
      <vt:variant>
        <vt:i4>21</vt:i4>
      </vt:variant>
      <vt:variant>
        <vt:i4>0</vt:i4>
      </vt:variant>
      <vt:variant>
        <vt:i4>5</vt:i4>
      </vt:variant>
      <vt:variant>
        <vt:lpwstr>https://zakon.rada.gov.ua/laws/show/z1198-13?find=1&amp;text=30+%D1%80%D0%BE%D0%B1</vt:lpwstr>
      </vt:variant>
      <vt:variant>
        <vt:lpwstr>n528</vt:lpwstr>
      </vt:variant>
      <vt:variant>
        <vt:i4>8192054</vt:i4>
      </vt:variant>
      <vt:variant>
        <vt:i4>18</vt:i4>
      </vt:variant>
      <vt:variant>
        <vt:i4>0</vt:i4>
      </vt:variant>
      <vt:variant>
        <vt:i4>5</vt:i4>
      </vt:variant>
      <vt:variant>
        <vt:lpwstr>https://zakon.rada.gov.ua/laws/show/z1198-13?find=1&amp;text=30+%D1%80%D0%BE%D0%B1</vt:lpwstr>
      </vt:variant>
      <vt:variant>
        <vt:lpwstr>n689</vt:lpwstr>
      </vt:variant>
      <vt:variant>
        <vt:i4>7536694</vt:i4>
      </vt:variant>
      <vt:variant>
        <vt:i4>15</vt:i4>
      </vt:variant>
      <vt:variant>
        <vt:i4>0</vt:i4>
      </vt:variant>
      <vt:variant>
        <vt:i4>5</vt:i4>
      </vt:variant>
      <vt:variant>
        <vt:lpwstr>https://zakon.rada.gov.ua/laws/show/z1198-13?find=1&amp;text=30+%D1%80%D0%BE%D0%B1</vt:lpwstr>
      </vt:variant>
      <vt:variant>
        <vt:lpwstr>n687</vt:lpwstr>
      </vt:variant>
      <vt:variant>
        <vt:i4>2162808</vt:i4>
      </vt:variant>
      <vt:variant>
        <vt:i4>12</vt:i4>
      </vt:variant>
      <vt:variant>
        <vt:i4>0</vt:i4>
      </vt:variant>
      <vt:variant>
        <vt:i4>5</vt:i4>
      </vt:variant>
      <vt:variant>
        <vt:lpwstr>https://services.nssmc.gov.ua/login</vt:lpwstr>
      </vt:variant>
      <vt:variant>
        <vt:lpwstr/>
      </vt:variant>
      <vt:variant>
        <vt:i4>2162699</vt:i4>
      </vt:variant>
      <vt:variant>
        <vt:i4>9</vt:i4>
      </vt:variant>
      <vt:variant>
        <vt:i4>0</vt:i4>
      </vt:variant>
      <vt:variant>
        <vt:i4>5</vt:i4>
      </vt:variant>
      <vt:variant>
        <vt:lpwstr>mailto:natalia.rakovska@nssmc.gov.ua</vt:lpwstr>
      </vt:variant>
      <vt:variant>
        <vt:lpwstr/>
      </vt:variant>
      <vt:variant>
        <vt:i4>1376292</vt:i4>
      </vt:variant>
      <vt:variant>
        <vt:i4>6</vt:i4>
      </vt:variant>
      <vt:variant>
        <vt:i4>0</vt:i4>
      </vt:variant>
      <vt:variant>
        <vt:i4>5</vt:i4>
      </vt:variant>
      <vt:variant>
        <vt:lpwstr>mailto:hanna.humenna@nssmc.gov.ua</vt:lpwstr>
      </vt:variant>
      <vt:variant>
        <vt:lpwstr/>
      </vt:variant>
      <vt:variant>
        <vt:i4>3276822</vt:i4>
      </vt:variant>
      <vt:variant>
        <vt:i4>3</vt:i4>
      </vt:variant>
      <vt:variant>
        <vt:i4>0</vt:i4>
      </vt:variant>
      <vt:variant>
        <vt:i4>5</vt:i4>
      </vt:variant>
      <vt:variant>
        <vt:lpwstr>mailto:oksana.raievska@nssmc.gov.ua</vt:lpwstr>
      </vt:variant>
      <vt:variant>
        <vt:lpwstr/>
      </vt:variant>
      <vt:variant>
        <vt:i4>1966144</vt:i4>
      </vt:variant>
      <vt:variant>
        <vt:i4>0</vt:i4>
      </vt:variant>
      <vt:variant>
        <vt:i4>0</vt:i4>
      </vt:variant>
      <vt:variant>
        <vt:i4>5</vt:i4>
      </vt:variant>
      <vt:variant>
        <vt:lpwstr>http://www.nssmc.gov.ua/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2</cp:revision>
  <cp:lastPrinted>2024-12-23T12:49:00Z</cp:lastPrinted>
  <dcterms:created xsi:type="dcterms:W3CDTF">2025-03-31T08:45:00Z</dcterms:created>
  <dcterms:modified xsi:type="dcterms:W3CDTF">2025-03-31T08:45:00Z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Microsoft® Word 2010</vt:lpwstr>
  </property>
  <property fmtid="{D5CDD505-2E9C-101B-9397-08002B2CF9AE}" pid="4" name="LastSaved">
    <vt:filetime>2022-08-29T00:00:00Z</vt:filetime>
  </property>
</Properties>
</file>