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18" w:rsidRPr="003F02D7" w:rsidRDefault="00436218" w:rsidP="003F02D7">
      <w:pPr>
        <w:pStyle w:val="a5"/>
        <w:widowControl w:val="0"/>
        <w:spacing w:before="0" w:beforeAutospacing="0" w:after="0" w:afterAutospacing="0"/>
        <w:ind w:left="4678"/>
        <w:jc w:val="right"/>
      </w:pPr>
      <w:r w:rsidRPr="003F02D7">
        <w:t>Додаток 44</w:t>
      </w:r>
    </w:p>
    <w:p w:rsidR="00436218" w:rsidRPr="003F02D7" w:rsidRDefault="00436218" w:rsidP="003F02D7">
      <w:pPr>
        <w:pStyle w:val="a5"/>
        <w:widowControl w:val="0"/>
        <w:spacing w:before="0" w:beforeAutospacing="0" w:after="0" w:afterAutospacing="0"/>
        <w:ind w:left="4678"/>
        <w:jc w:val="both"/>
      </w:pPr>
      <w:r w:rsidRPr="003F02D7">
        <w:t xml:space="preserve">до розпорядження Голови Національної комісії з цінних паперів та фондового ринку </w:t>
      </w:r>
    </w:p>
    <w:p w:rsidR="00436218" w:rsidRDefault="003F02D7" w:rsidP="003F02D7">
      <w:pPr>
        <w:pStyle w:val="a5"/>
        <w:widowControl w:val="0"/>
        <w:spacing w:before="0" w:beforeAutospacing="0" w:after="0" w:afterAutospacing="0"/>
        <w:ind w:left="4678"/>
        <w:jc w:val="both"/>
        <w:rPr>
          <w:sz w:val="28"/>
          <w:szCs w:val="28"/>
        </w:rPr>
      </w:pPr>
      <w:r>
        <w:t>від 25.03.2025 № 22/20/1911/С04</w:t>
      </w:r>
    </w:p>
    <w:p w:rsidR="00385645" w:rsidRDefault="00385645" w:rsidP="001C4828">
      <w:pPr>
        <w:ind w:left="4820"/>
        <w:jc w:val="both"/>
        <w:rPr>
          <w:b/>
          <w:sz w:val="28"/>
          <w:szCs w:val="28"/>
        </w:rPr>
      </w:pPr>
    </w:p>
    <w:p w:rsidR="00436218" w:rsidRPr="001C4828" w:rsidRDefault="00436218" w:rsidP="001C4828">
      <w:pPr>
        <w:ind w:left="4820"/>
        <w:jc w:val="both"/>
        <w:rPr>
          <w:b/>
          <w:sz w:val="28"/>
          <w:szCs w:val="28"/>
        </w:rPr>
      </w:pPr>
    </w:p>
    <w:p w:rsidR="00E75851" w:rsidRPr="001C4828" w:rsidRDefault="00784293" w:rsidP="0036708C">
      <w:pPr>
        <w:jc w:val="center"/>
        <w:rPr>
          <w:b/>
          <w:sz w:val="28"/>
          <w:szCs w:val="28"/>
        </w:rPr>
      </w:pPr>
      <w:r w:rsidRPr="001C4828">
        <w:rPr>
          <w:b/>
          <w:sz w:val="28"/>
          <w:szCs w:val="28"/>
        </w:rPr>
        <w:t>ІНФОРМАЦІЙНА КАРТКА</w:t>
      </w:r>
    </w:p>
    <w:p w:rsidR="00784293" w:rsidRPr="001C4828" w:rsidRDefault="00E75851" w:rsidP="0036708C">
      <w:pPr>
        <w:jc w:val="center"/>
        <w:rPr>
          <w:b/>
          <w:sz w:val="28"/>
          <w:szCs w:val="28"/>
        </w:rPr>
      </w:pPr>
      <w:r w:rsidRPr="001C4828">
        <w:rPr>
          <w:b/>
          <w:sz w:val="28"/>
          <w:szCs w:val="28"/>
        </w:rPr>
        <w:t>адміністративної послуги</w:t>
      </w:r>
    </w:p>
    <w:p w:rsidR="001C4828" w:rsidRPr="001C4828" w:rsidRDefault="001C4828" w:rsidP="0036708C">
      <w:pPr>
        <w:jc w:val="center"/>
        <w:rPr>
          <w:b/>
          <w:sz w:val="28"/>
          <w:szCs w:val="28"/>
        </w:rPr>
      </w:pPr>
    </w:p>
    <w:p w:rsidR="00E75851" w:rsidRPr="001C4828" w:rsidRDefault="00663BA2" w:rsidP="0036708C">
      <w:pPr>
        <w:jc w:val="center"/>
        <w:rPr>
          <w:b/>
          <w:sz w:val="28"/>
          <w:szCs w:val="28"/>
        </w:rPr>
      </w:pPr>
      <w:r w:rsidRPr="001C4828">
        <w:rPr>
          <w:b/>
          <w:sz w:val="28"/>
          <w:szCs w:val="28"/>
        </w:rPr>
        <w:t>«</w:t>
      </w:r>
      <w:r w:rsidR="005A4FEA" w:rsidRPr="001C4828">
        <w:rPr>
          <w:b/>
          <w:sz w:val="28"/>
          <w:szCs w:val="28"/>
        </w:rPr>
        <w:t>Реєстрація реструктуризації</w:t>
      </w:r>
      <w:r w:rsidR="005A4FEA" w:rsidRPr="001C4828">
        <w:rPr>
          <w:b/>
          <w:i/>
          <w:sz w:val="28"/>
          <w:szCs w:val="28"/>
        </w:rPr>
        <w:t xml:space="preserve"> </w:t>
      </w:r>
      <w:r w:rsidR="005A4FEA" w:rsidRPr="001C4828">
        <w:rPr>
          <w:b/>
          <w:sz w:val="28"/>
          <w:szCs w:val="28"/>
        </w:rPr>
        <w:t>боргових зобов'язань за запозиченням шляхом розміщення облігацій внутрішніх місцевих позик</w:t>
      </w:r>
      <w:r w:rsidRPr="001C4828">
        <w:rPr>
          <w:b/>
          <w:sz w:val="28"/>
          <w:szCs w:val="28"/>
        </w:rPr>
        <w:t>»</w:t>
      </w:r>
    </w:p>
    <w:p w:rsidR="008E62B7" w:rsidRPr="001C4828" w:rsidRDefault="008E62B7" w:rsidP="0036708C">
      <w:pPr>
        <w:jc w:val="both"/>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718"/>
      </w:tblGrid>
      <w:tr w:rsidR="005A4FEA" w:rsidRPr="00E95295" w:rsidTr="00303DA3">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4FEA" w:rsidRPr="00E95295" w:rsidRDefault="005A4FEA" w:rsidP="005A4FEA">
            <w:pPr>
              <w:jc w:val="center"/>
            </w:pPr>
            <w:r w:rsidRPr="00E95295">
              <w:rPr>
                <w:b/>
              </w:rPr>
              <w:t>Інформація про суб’єкта надання адміністративної послуги</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1</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Найменування суб’єкта</w:t>
            </w:r>
          </w:p>
        </w:tc>
        <w:tc>
          <w:tcPr>
            <w:tcW w:w="3596" w:type="pct"/>
            <w:tcBorders>
              <w:top w:val="single" w:sz="4" w:space="0" w:color="auto"/>
              <w:left w:val="single" w:sz="4" w:space="0" w:color="auto"/>
              <w:bottom w:val="single" w:sz="4" w:space="0" w:color="auto"/>
              <w:right w:val="single" w:sz="4" w:space="0" w:color="auto"/>
            </w:tcBorders>
          </w:tcPr>
          <w:p w:rsidR="005A4FEA" w:rsidRPr="00E95295" w:rsidRDefault="005A4FEA" w:rsidP="00436218">
            <w:pPr>
              <w:ind w:left="34"/>
              <w:jc w:val="both"/>
              <w:rPr>
                <w:shd w:val="clear" w:color="auto" w:fill="FFFFFF"/>
                <w:lang w:eastAsia="ru-RU"/>
              </w:rPr>
            </w:pPr>
            <w:r w:rsidRPr="00E95295">
              <w:rPr>
                <w:shd w:val="clear" w:color="auto" w:fill="FFFFFF"/>
                <w:lang w:eastAsia="ru-RU"/>
              </w:rPr>
              <w:t xml:space="preserve">Національна комісія з цінних паперів та фондового ринку </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2</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Місцезнаходження</w:t>
            </w:r>
          </w:p>
        </w:tc>
        <w:tc>
          <w:tcPr>
            <w:tcW w:w="3596" w:type="pct"/>
            <w:tcBorders>
              <w:top w:val="single" w:sz="4" w:space="0" w:color="auto"/>
              <w:left w:val="single" w:sz="4" w:space="0" w:color="auto"/>
              <w:bottom w:val="single" w:sz="4" w:space="0" w:color="auto"/>
              <w:right w:val="single" w:sz="4" w:space="0" w:color="auto"/>
            </w:tcBorders>
          </w:tcPr>
          <w:p w:rsidR="005A4FEA" w:rsidRPr="00E95295" w:rsidRDefault="005A4FEA" w:rsidP="00A61D75">
            <w:pPr>
              <w:ind w:left="34"/>
              <w:jc w:val="both"/>
              <w:rPr>
                <w:shd w:val="clear" w:color="auto" w:fill="FFFFFF"/>
                <w:lang w:val="en-US" w:eastAsia="ru-RU"/>
              </w:rPr>
            </w:pPr>
            <w:r w:rsidRPr="00E95295">
              <w:rPr>
                <w:color w:val="000000"/>
              </w:rPr>
              <w:t xml:space="preserve">01010, м. Київ, вул. </w:t>
            </w:r>
            <w:r w:rsidR="0061512F" w:rsidRPr="00E95295">
              <w:rPr>
                <w:color w:val="000000"/>
              </w:rPr>
              <w:t>Князів Острозьких</w:t>
            </w:r>
            <w:r w:rsidRPr="00E95295">
              <w:rPr>
                <w:color w:val="000000"/>
              </w:rPr>
              <w:t>, 8, корп. 30</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3</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 xml:space="preserve">Режим роботи </w:t>
            </w:r>
          </w:p>
        </w:tc>
        <w:tc>
          <w:tcPr>
            <w:tcW w:w="3596"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 xml:space="preserve">Понеділок – четвер з 9:00 до 18:00; </w:t>
            </w:r>
          </w:p>
          <w:p w:rsidR="005A4FEA" w:rsidRPr="00E95295" w:rsidRDefault="005A4FEA" w:rsidP="005A4FEA">
            <w:r w:rsidRPr="00E95295">
              <w:t>п’ятниця з 9:00 до 16:45;</w:t>
            </w:r>
          </w:p>
          <w:p w:rsidR="005A4FEA" w:rsidRPr="00E95295" w:rsidRDefault="005A4FEA" w:rsidP="005A4FEA">
            <w:r w:rsidRPr="00E95295">
              <w:t>обідня перерва з 13:00 до 13:45 </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4</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 xml:space="preserve">Телефон/факс (довідки), адреса електронної пошти та </w:t>
            </w:r>
            <w:r w:rsidRPr="00E95295">
              <w:rPr>
                <w:rStyle w:val="spelle"/>
              </w:rPr>
              <w:t>веб-сайт</w:t>
            </w:r>
            <w:r w:rsidRPr="00E95295">
              <w:t xml:space="preserve"> </w:t>
            </w:r>
          </w:p>
        </w:tc>
        <w:tc>
          <w:tcPr>
            <w:tcW w:w="3596" w:type="pct"/>
            <w:tcBorders>
              <w:top w:val="single" w:sz="4" w:space="0" w:color="auto"/>
              <w:left w:val="single" w:sz="4" w:space="0" w:color="auto"/>
              <w:bottom w:val="single" w:sz="4" w:space="0" w:color="auto"/>
              <w:right w:val="single" w:sz="4" w:space="0" w:color="auto"/>
            </w:tcBorders>
          </w:tcPr>
          <w:p w:rsidR="00436218" w:rsidRDefault="00436218" w:rsidP="00436218">
            <w:r>
              <w:t>Телефон: 280-85-95</w:t>
            </w:r>
          </w:p>
          <w:p w:rsidR="00436218" w:rsidRDefault="00436218" w:rsidP="00436218">
            <w:r>
              <w:t xml:space="preserve">Вебсайт: </w:t>
            </w:r>
            <w:hyperlink r:id="rId7" w:history="1">
              <w:r>
                <w:rPr>
                  <w:rStyle w:val="a3"/>
                </w:rPr>
                <w:t>https://www.nssmc.gov.ua/</w:t>
              </w:r>
            </w:hyperlink>
          </w:p>
          <w:p w:rsidR="001C4828" w:rsidRPr="00436218" w:rsidRDefault="00436218" w:rsidP="00436218">
            <w:r>
              <w:t xml:space="preserve">Засоби комплексної інформаційної системи (КІС) </w:t>
            </w:r>
            <w:hyperlink r:id="rId8" w:history="1">
              <w:r>
                <w:rPr>
                  <w:rStyle w:val="a3"/>
                </w:rPr>
                <w:t>https://services.nssmc.gov.ua</w:t>
              </w:r>
            </w:hyperlink>
          </w:p>
        </w:tc>
      </w:tr>
      <w:tr w:rsidR="005A4FEA" w:rsidRPr="00E95295" w:rsidTr="00303DA3">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4FEA" w:rsidRPr="00E95295" w:rsidRDefault="005A4FEA" w:rsidP="005A4FEA">
            <w:pPr>
              <w:jc w:val="center"/>
              <w:rPr>
                <w:b/>
              </w:rPr>
            </w:pPr>
            <w:r w:rsidRPr="00E95295">
              <w:rPr>
                <w:b/>
                <w:color w:val="000000"/>
                <w:shd w:val="clear" w:color="auto" w:fill="FFFFFF"/>
              </w:rPr>
              <w:t>Нормативні акти, якими регламентується надання адміністративної послуги</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5</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Закони України</w:t>
            </w:r>
          </w:p>
        </w:tc>
        <w:tc>
          <w:tcPr>
            <w:tcW w:w="3596" w:type="pct"/>
            <w:tcBorders>
              <w:top w:val="single" w:sz="4" w:space="0" w:color="auto"/>
              <w:left w:val="single" w:sz="4" w:space="0" w:color="auto"/>
              <w:bottom w:val="single" w:sz="4" w:space="0" w:color="auto"/>
              <w:right w:val="single" w:sz="4" w:space="0" w:color="auto"/>
            </w:tcBorders>
          </w:tcPr>
          <w:p w:rsidR="005A4FEA" w:rsidRDefault="001B0369" w:rsidP="001C4828">
            <w:pPr>
              <w:jc w:val="both"/>
            </w:pPr>
            <w:r w:rsidRPr="00E95295">
              <w:t>Бюджетний кодекс України</w:t>
            </w:r>
          </w:p>
          <w:p w:rsidR="00562472" w:rsidRPr="00E95295" w:rsidRDefault="00562472" w:rsidP="001C4828">
            <w:pPr>
              <w:jc w:val="both"/>
            </w:pPr>
            <w:r>
              <w:t>Закон України «Про адміністративну процедуру»</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6</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rPr>
                <w:color w:val="000000"/>
                <w:shd w:val="clear" w:color="auto" w:fill="FFFFFF"/>
              </w:rPr>
              <w:t>Акти Кабінету Міністрів України</w:t>
            </w:r>
          </w:p>
        </w:tc>
        <w:tc>
          <w:tcPr>
            <w:tcW w:w="3596"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both"/>
            </w:pPr>
            <w:r w:rsidRPr="00E95295">
              <w:t>Постанова Кабінету Міністрів України від 16.02.2011 № 110 «Про затвердження Порядку здійснення місцевих запозичень»;</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7</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rPr>
                <w:color w:val="000000"/>
                <w:shd w:val="clear" w:color="auto" w:fill="FFFFFF"/>
              </w:rPr>
            </w:pPr>
            <w:r w:rsidRPr="00E95295">
              <w:rPr>
                <w:color w:val="000000"/>
                <w:shd w:val="clear" w:color="auto" w:fill="FFFFFF"/>
              </w:rPr>
              <w:t>Нормативні документи НКЦПФР</w:t>
            </w:r>
          </w:p>
        </w:tc>
        <w:tc>
          <w:tcPr>
            <w:tcW w:w="3596" w:type="pct"/>
            <w:tcBorders>
              <w:top w:val="single" w:sz="4" w:space="0" w:color="auto"/>
              <w:left w:val="single" w:sz="4" w:space="0" w:color="auto"/>
              <w:bottom w:val="single" w:sz="4" w:space="0" w:color="auto"/>
              <w:right w:val="single" w:sz="4" w:space="0" w:color="auto"/>
            </w:tcBorders>
          </w:tcPr>
          <w:p w:rsidR="005A4FEA" w:rsidRPr="00E95295" w:rsidRDefault="00477A1B" w:rsidP="00477A1B">
            <w:pPr>
              <w:jc w:val="both"/>
            </w:pPr>
            <w:r w:rsidRPr="00E95295">
              <w:t xml:space="preserve">Рішення  Національної комісії з цінних паперів та фондового ринку від </w:t>
            </w:r>
            <w:r w:rsidR="00766F1A" w:rsidRPr="00E95295">
              <w:t>14.06</w:t>
            </w:r>
            <w:r w:rsidR="005A4FEA" w:rsidRPr="00E95295">
              <w:t>.201</w:t>
            </w:r>
            <w:r w:rsidR="00766F1A" w:rsidRPr="00E95295">
              <w:t>8</w:t>
            </w:r>
            <w:r w:rsidR="005A4FEA" w:rsidRPr="00E95295">
              <w:t xml:space="preserve"> № </w:t>
            </w:r>
            <w:r w:rsidR="00766F1A" w:rsidRPr="00E95295">
              <w:t>391</w:t>
            </w:r>
            <w:r w:rsidR="005A4FEA" w:rsidRPr="00E95295">
              <w:t xml:space="preserve"> «Про затвердження Положення про порядок емісії облігацій внутрішніх місцевих позик та їх обігу», зареєстроване в Міністерстві юстиції України </w:t>
            </w:r>
            <w:r w:rsidR="00862F7E" w:rsidRPr="00E95295">
              <w:t>11</w:t>
            </w:r>
            <w:r w:rsidR="005A4FEA" w:rsidRPr="00E95295">
              <w:t>.0</w:t>
            </w:r>
            <w:r w:rsidR="00862F7E" w:rsidRPr="00E95295">
              <w:t>7</w:t>
            </w:r>
            <w:r w:rsidR="005A4FEA" w:rsidRPr="00E95295">
              <w:t>.201</w:t>
            </w:r>
            <w:r w:rsidR="00862F7E" w:rsidRPr="00E95295">
              <w:t>8</w:t>
            </w:r>
            <w:r w:rsidR="005A4FEA" w:rsidRPr="00E95295">
              <w:t xml:space="preserve"> за №</w:t>
            </w:r>
            <w:r w:rsidR="00862F7E" w:rsidRPr="00E95295">
              <w:t>808</w:t>
            </w:r>
            <w:r w:rsidR="005A4FEA" w:rsidRPr="00E95295">
              <w:t>/</w:t>
            </w:r>
            <w:r w:rsidR="00862F7E" w:rsidRPr="00E95295">
              <w:t>32260</w:t>
            </w:r>
            <w:r w:rsidR="00A56B71" w:rsidRPr="00E95295">
              <w:t xml:space="preserve"> (Далі – Положення 391)</w:t>
            </w:r>
            <w:bookmarkStart w:id="0" w:name="_GoBack"/>
            <w:bookmarkEnd w:id="0"/>
          </w:p>
          <w:p w:rsidR="00477A1B" w:rsidRPr="00E95295" w:rsidRDefault="00477A1B" w:rsidP="0021356A">
            <w:pPr>
              <w:jc w:val="both"/>
            </w:pPr>
            <w:r w:rsidRPr="00E95295">
              <w:t xml:space="preserve">Рішення  Національної комісії з цінних паперів та фондового ринку від 13 червня 2022 №620 “Про затвердження Розмірів плати за реєстраційні дії щодо учасників ринків капіталу та інших осіб, зареєстроване в Міністерстві юстиції України </w:t>
            </w:r>
            <w:r w:rsidR="00E95295">
              <w:br/>
            </w:r>
            <w:r w:rsidRPr="00E95295">
              <w:t>10 серпня 2022 №909/38245</w:t>
            </w:r>
            <w:r w:rsidR="0021356A">
              <w:t xml:space="preserve"> (зі змінами)</w:t>
            </w:r>
            <w:r w:rsidRPr="00E95295">
              <w:t xml:space="preserve">  (Далі – Рішення 620)</w:t>
            </w:r>
          </w:p>
        </w:tc>
      </w:tr>
      <w:tr w:rsidR="005A4FEA" w:rsidRPr="00E95295" w:rsidTr="00303DA3">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5A4FEA" w:rsidRPr="00E95295" w:rsidRDefault="005A4FEA" w:rsidP="005A4FEA">
            <w:pPr>
              <w:jc w:val="center"/>
            </w:pPr>
            <w:r w:rsidRPr="00E95295">
              <w:rPr>
                <w:b/>
              </w:rPr>
              <w:t>Умови отримання адміністративної послуги</w:t>
            </w:r>
          </w:p>
        </w:tc>
      </w:tr>
      <w:tr w:rsidR="005A4FEA" w:rsidRPr="00E95295" w:rsidTr="00303DA3">
        <w:tc>
          <w:tcPr>
            <w:tcW w:w="244" w:type="pct"/>
            <w:tcBorders>
              <w:top w:val="single" w:sz="4" w:space="0" w:color="auto"/>
              <w:left w:val="single" w:sz="4" w:space="0" w:color="auto"/>
              <w:bottom w:val="single" w:sz="4" w:space="0" w:color="auto"/>
              <w:right w:val="single" w:sz="4" w:space="0" w:color="auto"/>
            </w:tcBorders>
          </w:tcPr>
          <w:p w:rsidR="005A4FEA" w:rsidRPr="00E95295" w:rsidRDefault="005A4FEA" w:rsidP="005A4FEA">
            <w:pPr>
              <w:jc w:val="center"/>
            </w:pPr>
            <w:r w:rsidRPr="00E95295">
              <w:t>8</w:t>
            </w:r>
          </w:p>
        </w:tc>
        <w:tc>
          <w:tcPr>
            <w:tcW w:w="1160" w:type="pct"/>
            <w:tcBorders>
              <w:top w:val="single" w:sz="4" w:space="0" w:color="auto"/>
              <w:left w:val="single" w:sz="4" w:space="0" w:color="auto"/>
              <w:bottom w:val="single" w:sz="4" w:space="0" w:color="auto"/>
              <w:right w:val="single" w:sz="4" w:space="0" w:color="auto"/>
            </w:tcBorders>
          </w:tcPr>
          <w:p w:rsidR="005A4FEA" w:rsidRPr="00E95295" w:rsidRDefault="005A4FEA" w:rsidP="005A4FEA">
            <w:r w:rsidRPr="00E95295">
              <w:t>Перелік документів, необхідних для отримання адміністративної послуги, вимоги до них</w:t>
            </w:r>
          </w:p>
        </w:tc>
        <w:tc>
          <w:tcPr>
            <w:tcW w:w="3596" w:type="pct"/>
            <w:tcBorders>
              <w:top w:val="single" w:sz="4" w:space="0" w:color="auto"/>
              <w:left w:val="single" w:sz="4" w:space="0" w:color="auto"/>
              <w:bottom w:val="single" w:sz="4" w:space="0" w:color="auto"/>
              <w:right w:val="single" w:sz="4" w:space="0" w:color="auto"/>
            </w:tcBorders>
          </w:tcPr>
          <w:p w:rsidR="00A56B71" w:rsidRPr="00E95295" w:rsidRDefault="00A56B71" w:rsidP="00436218">
            <w:pPr>
              <w:pStyle w:val="rvps2"/>
              <w:shd w:val="clear" w:color="auto" w:fill="FFFFFF"/>
              <w:spacing w:before="0" w:beforeAutospacing="0" w:after="0" w:afterAutospacing="0"/>
              <w:ind w:firstLine="248"/>
              <w:jc w:val="both"/>
              <w:rPr>
                <w:color w:val="333333"/>
              </w:rPr>
            </w:pPr>
            <w:r w:rsidRPr="00E95295">
              <w:rPr>
                <w:color w:val="333333"/>
              </w:rPr>
              <w:t>Для реєстрації реструктуризації емітент подає до реєструвального органу такі документи:</w:t>
            </w:r>
          </w:p>
          <w:p w:rsidR="00A56B71" w:rsidRPr="00E95295" w:rsidRDefault="00A56B71" w:rsidP="00436218">
            <w:pPr>
              <w:pStyle w:val="rvps2"/>
              <w:shd w:val="clear" w:color="auto" w:fill="FFFFFF"/>
              <w:spacing w:before="0" w:beforeAutospacing="0" w:after="0" w:afterAutospacing="0"/>
              <w:ind w:firstLine="248"/>
              <w:jc w:val="both"/>
              <w:rPr>
                <w:color w:val="333333"/>
              </w:rPr>
            </w:pPr>
            <w:bookmarkStart w:id="1" w:name="n290"/>
            <w:bookmarkEnd w:id="1"/>
            <w:r w:rsidRPr="00E95295">
              <w:rPr>
                <w:color w:val="333333"/>
              </w:rPr>
              <w:t>1) заяву про реєстрацію реструктуризації боргових зобов’язань за запозиченням шляхом емісії облігацій внутрішніх місцевих позик, складену згідно з </w:t>
            </w:r>
            <w:hyperlink r:id="rId9" w:anchor="n416" w:history="1">
              <w:r w:rsidRPr="00E95295">
                <w:rPr>
                  <w:rStyle w:val="a3"/>
                  <w:color w:val="006600"/>
                </w:rPr>
                <w:t>дод</w:t>
              </w:r>
              <w:r w:rsidRPr="00E95295">
                <w:rPr>
                  <w:rStyle w:val="a3"/>
                  <w:color w:val="006600"/>
                </w:rPr>
                <w:t>а</w:t>
              </w:r>
              <w:r w:rsidRPr="00E95295">
                <w:rPr>
                  <w:rStyle w:val="a3"/>
                  <w:color w:val="006600"/>
                </w:rPr>
                <w:t>тком 12</w:t>
              </w:r>
            </w:hyperlink>
            <w:r w:rsidRPr="00E95295">
              <w:rPr>
                <w:color w:val="333333"/>
              </w:rPr>
              <w:t> до Положення 391;</w:t>
            </w:r>
          </w:p>
          <w:p w:rsidR="00A56B71" w:rsidRPr="00E95295" w:rsidRDefault="00A56B71" w:rsidP="00436218">
            <w:pPr>
              <w:pStyle w:val="rvps2"/>
              <w:shd w:val="clear" w:color="auto" w:fill="FFFFFF"/>
              <w:spacing w:before="0" w:beforeAutospacing="0" w:after="0" w:afterAutospacing="0"/>
              <w:ind w:firstLine="248"/>
              <w:jc w:val="both"/>
              <w:rPr>
                <w:color w:val="333333"/>
              </w:rPr>
            </w:pPr>
            <w:bookmarkStart w:id="2" w:name="n291"/>
            <w:bookmarkEnd w:id="2"/>
            <w:r w:rsidRPr="00E95295">
              <w:rPr>
                <w:color w:val="333333"/>
              </w:rPr>
              <w:t>2) копію рішення про реструктуризацію, оформлену та засвідчену в установленому порядку;</w:t>
            </w:r>
          </w:p>
          <w:p w:rsidR="00A56B71" w:rsidRPr="00E95295" w:rsidRDefault="00A56B71" w:rsidP="00436218">
            <w:pPr>
              <w:pStyle w:val="rvps2"/>
              <w:shd w:val="clear" w:color="auto" w:fill="FFFFFF"/>
              <w:spacing w:before="0" w:beforeAutospacing="0" w:after="0" w:afterAutospacing="0"/>
              <w:ind w:firstLine="248"/>
              <w:jc w:val="both"/>
              <w:rPr>
                <w:color w:val="333333"/>
              </w:rPr>
            </w:pPr>
            <w:bookmarkStart w:id="3" w:name="n292"/>
            <w:bookmarkEnd w:id="3"/>
            <w:r w:rsidRPr="00E95295">
              <w:rPr>
                <w:color w:val="333333"/>
              </w:rPr>
              <w:t>3) копію документа, що підтверджує погодження реструктуризації Міністерством фінансів України, засвідчену в установленому порядку;</w:t>
            </w:r>
          </w:p>
          <w:p w:rsidR="005A4FEA" w:rsidRPr="00E95295" w:rsidRDefault="00A56B71" w:rsidP="00436218">
            <w:pPr>
              <w:pStyle w:val="rvps2"/>
              <w:shd w:val="clear" w:color="auto" w:fill="FFFFFF"/>
              <w:spacing w:before="0" w:beforeAutospacing="0" w:after="0" w:afterAutospacing="0"/>
              <w:ind w:firstLine="248"/>
              <w:jc w:val="both"/>
              <w:rPr>
                <w:color w:val="333333"/>
              </w:rPr>
            </w:pPr>
            <w:bookmarkStart w:id="4" w:name="n293"/>
            <w:bookmarkEnd w:id="4"/>
            <w:r w:rsidRPr="00E95295">
              <w:rPr>
                <w:color w:val="333333"/>
              </w:rPr>
              <w:lastRenderedPageBreak/>
              <w:t>4) копії реєстру власників відповідного випуску облігацій, складеного на дату, що передує дню прийняття рішення про реструктуризацію, та письмових заяв власників облігацій відповідного випуску облігацій про згоду на проведення реструктуризації (у разі якщо власником облігацій є фізична особа, заява про згоду на проведення реструктуризації засвідчується в нотаріальному порядку), засвідчені в установленому порядку.</w:t>
            </w:r>
          </w:p>
        </w:tc>
      </w:tr>
      <w:tr w:rsidR="00477A1B" w:rsidRPr="00E95295" w:rsidTr="00303DA3">
        <w:tc>
          <w:tcPr>
            <w:tcW w:w="244"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center"/>
            </w:pPr>
            <w:r w:rsidRPr="00E95295">
              <w:lastRenderedPageBreak/>
              <w:t>9</w:t>
            </w:r>
          </w:p>
        </w:tc>
        <w:tc>
          <w:tcPr>
            <w:tcW w:w="1160" w:type="pct"/>
            <w:tcBorders>
              <w:top w:val="single" w:sz="4" w:space="0" w:color="auto"/>
              <w:left w:val="single" w:sz="4" w:space="0" w:color="auto"/>
              <w:bottom w:val="single" w:sz="4" w:space="0" w:color="auto"/>
              <w:right w:val="single" w:sz="4" w:space="0" w:color="auto"/>
            </w:tcBorders>
          </w:tcPr>
          <w:p w:rsidR="00477A1B" w:rsidRPr="00E95295" w:rsidRDefault="00477A1B" w:rsidP="00477A1B">
            <w:r w:rsidRPr="00E95295">
              <w:t>Платність (безоплатність)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477A1B" w:rsidRDefault="00477A1B" w:rsidP="00A01AC3">
            <w:pPr>
              <w:jc w:val="both"/>
            </w:pPr>
            <w:r w:rsidRPr="00E95295">
              <w:t xml:space="preserve">Послуга є платною. Відповідно до Рішення 620 розмір плати складає 7 000грн. </w:t>
            </w:r>
          </w:p>
          <w:p w:rsidR="00C034F7" w:rsidRPr="00E95295" w:rsidRDefault="00C034F7" w:rsidP="00A01AC3">
            <w:pPr>
              <w:jc w:val="both"/>
            </w:pPr>
            <w:r w:rsidRPr="00C034F7">
              <w:t>Оплата здійснюється за кодом бюджетної класифікації 22010900.</w:t>
            </w:r>
          </w:p>
        </w:tc>
      </w:tr>
      <w:tr w:rsidR="00477A1B" w:rsidRPr="00E95295" w:rsidTr="00303DA3">
        <w:tc>
          <w:tcPr>
            <w:tcW w:w="244"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center"/>
            </w:pPr>
            <w:r w:rsidRPr="00E95295">
              <w:t>10</w:t>
            </w:r>
          </w:p>
        </w:tc>
        <w:tc>
          <w:tcPr>
            <w:tcW w:w="1160" w:type="pct"/>
            <w:tcBorders>
              <w:top w:val="single" w:sz="4" w:space="0" w:color="auto"/>
              <w:left w:val="single" w:sz="4" w:space="0" w:color="auto"/>
              <w:bottom w:val="single" w:sz="4" w:space="0" w:color="auto"/>
              <w:right w:val="single" w:sz="4" w:space="0" w:color="auto"/>
            </w:tcBorders>
          </w:tcPr>
          <w:p w:rsidR="00477A1B" w:rsidRPr="00E95295" w:rsidRDefault="00477A1B" w:rsidP="00477A1B">
            <w:r w:rsidRPr="00E95295">
              <w:t>Порядок та спосіб подання документів</w:t>
            </w:r>
          </w:p>
        </w:tc>
        <w:tc>
          <w:tcPr>
            <w:tcW w:w="3596" w:type="pct"/>
            <w:tcBorders>
              <w:top w:val="single" w:sz="4" w:space="0" w:color="auto"/>
              <w:left w:val="single" w:sz="4" w:space="0" w:color="auto"/>
              <w:bottom w:val="single" w:sz="4" w:space="0" w:color="auto"/>
              <w:right w:val="single" w:sz="4" w:space="0" w:color="auto"/>
            </w:tcBorders>
          </w:tcPr>
          <w:p w:rsidR="00477A1B" w:rsidRPr="00E95295" w:rsidRDefault="00477A1B" w:rsidP="0021356A">
            <w:pPr>
              <w:pStyle w:val="rvps2"/>
              <w:jc w:val="both"/>
            </w:pPr>
            <w:r w:rsidRPr="00E95295">
              <w:t>Суб’єкт звернення надсилає документи поштою або подає їх особисто до НКЦПФР.</w:t>
            </w:r>
          </w:p>
        </w:tc>
      </w:tr>
      <w:tr w:rsidR="00477A1B" w:rsidRPr="00E95295" w:rsidTr="00303DA3">
        <w:tc>
          <w:tcPr>
            <w:tcW w:w="244"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center"/>
            </w:pPr>
            <w:r w:rsidRPr="00E95295">
              <w:t>11</w:t>
            </w:r>
          </w:p>
        </w:tc>
        <w:tc>
          <w:tcPr>
            <w:tcW w:w="1160" w:type="pct"/>
            <w:tcBorders>
              <w:top w:val="single" w:sz="4" w:space="0" w:color="auto"/>
              <w:left w:val="single" w:sz="4" w:space="0" w:color="auto"/>
              <w:bottom w:val="single" w:sz="4" w:space="0" w:color="auto"/>
              <w:right w:val="single" w:sz="4" w:space="0" w:color="auto"/>
            </w:tcBorders>
          </w:tcPr>
          <w:p w:rsidR="00477A1B" w:rsidRPr="00E95295" w:rsidRDefault="00477A1B" w:rsidP="00477A1B">
            <w:r w:rsidRPr="00E95295">
              <w:t>Строк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spacing w:before="240" w:beforeAutospacing="1" w:after="100" w:afterAutospacing="1"/>
              <w:jc w:val="both"/>
              <w:rPr>
                <w:rStyle w:val="rvts0"/>
              </w:rPr>
            </w:pPr>
            <w:r w:rsidRPr="00E95295">
              <w:t>Протягом 15 календарних днів з дня надходження заяви та всіх необхідних документів.</w:t>
            </w:r>
          </w:p>
        </w:tc>
      </w:tr>
      <w:tr w:rsidR="00477A1B" w:rsidRPr="00E95295" w:rsidTr="00303DA3">
        <w:trPr>
          <w:trHeight w:val="627"/>
        </w:trPr>
        <w:tc>
          <w:tcPr>
            <w:tcW w:w="244"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center"/>
            </w:pPr>
            <w:r w:rsidRPr="00E95295">
              <w:t>12</w:t>
            </w:r>
          </w:p>
        </w:tc>
        <w:tc>
          <w:tcPr>
            <w:tcW w:w="1160" w:type="pct"/>
            <w:tcBorders>
              <w:top w:val="single" w:sz="4" w:space="0" w:color="auto"/>
              <w:left w:val="single" w:sz="4" w:space="0" w:color="auto"/>
              <w:bottom w:val="single" w:sz="4" w:space="0" w:color="auto"/>
              <w:right w:val="single" w:sz="4" w:space="0" w:color="auto"/>
            </w:tcBorders>
          </w:tcPr>
          <w:p w:rsidR="00477A1B" w:rsidRPr="00E95295" w:rsidRDefault="00477A1B" w:rsidP="00477A1B">
            <w:r w:rsidRPr="00E95295">
              <w:t>Результат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both"/>
            </w:pPr>
            <w:r w:rsidRPr="00E95295">
              <w:t>Рішення про реєстрацію реструктуризації</w:t>
            </w:r>
            <w:r w:rsidRPr="00E95295">
              <w:rPr>
                <w:i/>
              </w:rPr>
              <w:t xml:space="preserve"> </w:t>
            </w:r>
            <w:r w:rsidRPr="00E95295">
              <w:t>боргових зобов'язань за запозиченням шляхом розміщення облігацій внутрішніх місцевих позик.</w:t>
            </w:r>
          </w:p>
        </w:tc>
      </w:tr>
      <w:tr w:rsidR="00477A1B" w:rsidRPr="00E95295" w:rsidTr="00303DA3">
        <w:tc>
          <w:tcPr>
            <w:tcW w:w="244"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center"/>
            </w:pPr>
            <w:r w:rsidRPr="00E95295">
              <w:t>13</w:t>
            </w:r>
          </w:p>
        </w:tc>
        <w:tc>
          <w:tcPr>
            <w:tcW w:w="1160" w:type="pct"/>
            <w:tcBorders>
              <w:top w:val="single" w:sz="4" w:space="0" w:color="auto"/>
              <w:left w:val="single" w:sz="4" w:space="0" w:color="auto"/>
              <w:bottom w:val="single" w:sz="4" w:space="0" w:color="auto"/>
              <w:right w:val="single" w:sz="4" w:space="0" w:color="auto"/>
            </w:tcBorders>
          </w:tcPr>
          <w:p w:rsidR="00477A1B" w:rsidRPr="00E95295" w:rsidRDefault="00477A1B" w:rsidP="00477A1B">
            <w:r w:rsidRPr="00E95295">
              <w:t>Способи отримання відповіді (результату)</w:t>
            </w:r>
          </w:p>
        </w:tc>
        <w:tc>
          <w:tcPr>
            <w:tcW w:w="3596" w:type="pct"/>
            <w:tcBorders>
              <w:top w:val="single" w:sz="4" w:space="0" w:color="auto"/>
              <w:left w:val="single" w:sz="4" w:space="0" w:color="auto"/>
              <w:bottom w:val="single" w:sz="4" w:space="0" w:color="auto"/>
              <w:right w:val="single" w:sz="4" w:space="0" w:color="auto"/>
            </w:tcBorders>
          </w:tcPr>
          <w:p w:rsidR="00477A1B" w:rsidRPr="00E95295" w:rsidRDefault="00477A1B" w:rsidP="00477A1B">
            <w:pPr>
              <w:jc w:val="both"/>
            </w:pPr>
            <w:r w:rsidRPr="00E95295">
              <w:t>Отримання оригіналів зареєстрованих документів здійснюється заявником особисто або через уповноважену особу.</w:t>
            </w:r>
          </w:p>
        </w:tc>
      </w:tr>
    </w:tbl>
    <w:p w:rsidR="005A4FEA" w:rsidRDefault="005A4FEA" w:rsidP="0036708C">
      <w:pPr>
        <w:jc w:val="both"/>
        <w:rPr>
          <w:b/>
        </w:rPr>
      </w:pPr>
    </w:p>
    <w:p w:rsidR="00436218" w:rsidRDefault="00436218" w:rsidP="00436218">
      <w:pPr>
        <w:pStyle w:val="a5"/>
        <w:spacing w:before="0" w:beforeAutospacing="0" w:after="0" w:afterAutospacing="0"/>
        <w:jc w:val="both"/>
      </w:pPr>
      <w:r>
        <w:t xml:space="preserve">Примітки: </w:t>
      </w:r>
    </w:p>
    <w:p w:rsidR="00436218" w:rsidRDefault="00436218" w:rsidP="00436218">
      <w:pPr>
        <w:pStyle w:val="a5"/>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436218" w:rsidRDefault="00436218" w:rsidP="00436218">
      <w:pPr>
        <w:pStyle w:val="a5"/>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436218" w:rsidRDefault="00436218" w:rsidP="00436218">
      <w:pPr>
        <w:pStyle w:val="a5"/>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436218" w:rsidRDefault="00436218" w:rsidP="00436218">
      <w:pPr>
        <w:pStyle w:val="a5"/>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473DA2" w:rsidRDefault="00473DA2" w:rsidP="001E1254">
      <w:pPr>
        <w:pStyle w:val="a5"/>
        <w:spacing w:before="0" w:beforeAutospacing="0" w:after="0" w:afterAutospacing="0"/>
        <w:jc w:val="both"/>
        <w:rPr>
          <w:color w:val="000000"/>
          <w:sz w:val="28"/>
          <w:szCs w:val="28"/>
        </w:rPr>
      </w:pPr>
    </w:p>
    <w:p w:rsidR="00436218" w:rsidRDefault="00436218" w:rsidP="001E1254">
      <w:pPr>
        <w:pStyle w:val="a5"/>
        <w:spacing w:before="0" w:beforeAutospacing="0" w:after="0" w:afterAutospacing="0"/>
        <w:jc w:val="both"/>
        <w:rPr>
          <w:color w:val="000000"/>
          <w:sz w:val="28"/>
          <w:szCs w:val="28"/>
        </w:rPr>
      </w:pPr>
    </w:p>
    <w:p w:rsidR="00A56B71" w:rsidRPr="00A56B71" w:rsidRDefault="00A01AC3" w:rsidP="00A01AC3">
      <w:pPr>
        <w:pStyle w:val="a5"/>
        <w:spacing w:before="0" w:beforeAutospacing="0" w:after="0" w:afterAutospacing="0"/>
        <w:jc w:val="right"/>
        <w:rPr>
          <w:color w:val="000000"/>
        </w:rPr>
      </w:pPr>
      <w:r>
        <w:rPr>
          <w:b/>
          <w:color w:val="000000"/>
        </w:rPr>
        <w:br w:type="page"/>
      </w:r>
      <w:r w:rsidR="00A56B71" w:rsidRPr="00A56B71">
        <w:rPr>
          <w:color w:val="000000"/>
        </w:rPr>
        <w:lastRenderedPageBreak/>
        <w:t>Додаток</w:t>
      </w:r>
      <w:r>
        <w:rPr>
          <w:color w:val="000000"/>
        </w:rPr>
        <w:t xml:space="preserve"> 1</w:t>
      </w:r>
    </w:p>
    <w:p w:rsidR="00A56B71" w:rsidRDefault="00A56B71" w:rsidP="001E1254">
      <w:pPr>
        <w:pStyle w:val="a5"/>
        <w:spacing w:before="0" w:beforeAutospacing="0" w:after="0" w:afterAutospacing="0"/>
        <w:jc w:val="both"/>
        <w:rPr>
          <w:b/>
          <w:color w:val="000000"/>
        </w:rPr>
      </w:pPr>
    </w:p>
    <w:p w:rsidR="00A56B71" w:rsidRDefault="00A01AC3" w:rsidP="00A01AC3">
      <w:pPr>
        <w:pStyle w:val="a5"/>
        <w:spacing w:before="0" w:beforeAutospacing="0" w:after="0" w:afterAutospacing="0"/>
        <w:ind w:left="5529"/>
        <w:rPr>
          <w:b/>
          <w:color w:val="000000"/>
        </w:rPr>
      </w:pPr>
      <w:r>
        <w:rPr>
          <w:color w:val="333333"/>
          <w:shd w:val="clear" w:color="auto" w:fill="FFFFFF"/>
        </w:rPr>
        <w:t>Додаток 12</w:t>
      </w:r>
      <w:r>
        <w:rPr>
          <w:color w:val="333333"/>
        </w:rPr>
        <w:br/>
      </w:r>
      <w:r>
        <w:rPr>
          <w:color w:val="333333"/>
          <w:shd w:val="clear" w:color="auto" w:fill="FFFFFF"/>
        </w:rPr>
        <w:t>до Положення про порядок емісії</w:t>
      </w:r>
      <w:r>
        <w:rPr>
          <w:color w:val="333333"/>
        </w:rPr>
        <w:br/>
      </w:r>
      <w:r>
        <w:rPr>
          <w:color w:val="333333"/>
          <w:shd w:val="clear" w:color="auto" w:fill="FFFFFF"/>
        </w:rPr>
        <w:t>облігацій внутрішніх місцевих позик</w:t>
      </w:r>
      <w:r>
        <w:rPr>
          <w:color w:val="333333"/>
        </w:rPr>
        <w:br/>
      </w:r>
      <w:r>
        <w:rPr>
          <w:color w:val="333333"/>
          <w:shd w:val="clear" w:color="auto" w:fill="FFFFFF"/>
        </w:rPr>
        <w:t>та їх обігу</w:t>
      </w:r>
      <w:r>
        <w:rPr>
          <w:color w:val="333333"/>
        </w:rPr>
        <w:br/>
      </w:r>
      <w:r>
        <w:rPr>
          <w:color w:val="333333"/>
          <w:shd w:val="clear" w:color="auto" w:fill="FFFFFF"/>
        </w:rPr>
        <w:t>(підпункт 1 пункту 5 розділу IV)</w:t>
      </w:r>
    </w:p>
    <w:p w:rsidR="00A56B71" w:rsidRDefault="00A56B71" w:rsidP="001E1254">
      <w:pPr>
        <w:pStyle w:val="a5"/>
        <w:spacing w:before="0" w:beforeAutospacing="0" w:after="0" w:afterAutospacing="0"/>
        <w:jc w:val="both"/>
        <w:rPr>
          <w:b/>
          <w:color w:val="000000"/>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77"/>
        <w:gridCol w:w="4677"/>
      </w:tblGrid>
      <w:tr w:rsidR="00A56B71" w:rsidTr="00A56B71">
        <w:tc>
          <w:tcPr>
            <w:tcW w:w="2500" w:type="pct"/>
            <w:tcBorders>
              <w:top w:val="nil"/>
              <w:left w:val="nil"/>
              <w:bottom w:val="nil"/>
              <w:right w:val="nil"/>
            </w:tcBorders>
            <w:hideMark/>
          </w:tcPr>
          <w:p w:rsidR="00A56B71" w:rsidRDefault="00A56B71">
            <w:pPr>
              <w:pStyle w:val="rvps14"/>
              <w:spacing w:before="150" w:beforeAutospacing="0" w:after="150" w:afterAutospacing="0"/>
            </w:pPr>
            <w:r>
              <w:t>Національна комісія з цінних паперів</w:t>
            </w:r>
            <w:r>
              <w:br/>
              <w:t>та фондового ринку</w:t>
            </w:r>
            <w:r>
              <w:br/>
              <w:t>"___" ____________ 20__ року № _____</w:t>
            </w:r>
          </w:p>
        </w:tc>
        <w:tc>
          <w:tcPr>
            <w:tcW w:w="2500" w:type="pct"/>
            <w:tcBorders>
              <w:top w:val="nil"/>
              <w:left w:val="nil"/>
              <w:bottom w:val="nil"/>
              <w:right w:val="nil"/>
            </w:tcBorders>
            <w:hideMark/>
          </w:tcPr>
          <w:p w:rsidR="00A56B71" w:rsidRDefault="00A56B71">
            <w:pPr>
              <w:pStyle w:val="rvps12"/>
              <w:spacing w:before="150" w:beforeAutospacing="0" w:after="150" w:afterAutospacing="0"/>
              <w:jc w:val="center"/>
            </w:pPr>
          </w:p>
        </w:tc>
      </w:tr>
    </w:tbl>
    <w:p w:rsidR="00A56B71" w:rsidRDefault="00A56B71" w:rsidP="00A56B71">
      <w:pPr>
        <w:pStyle w:val="rvps7"/>
        <w:shd w:val="clear" w:color="auto" w:fill="FFFFFF"/>
        <w:spacing w:before="150" w:beforeAutospacing="0" w:after="150" w:afterAutospacing="0"/>
        <w:ind w:left="450" w:right="450"/>
        <w:jc w:val="center"/>
        <w:rPr>
          <w:color w:val="333333"/>
        </w:rPr>
      </w:pPr>
      <w:bookmarkStart w:id="5" w:name="n416"/>
      <w:bookmarkEnd w:id="5"/>
      <w:r>
        <w:rPr>
          <w:rStyle w:val="rvts15"/>
          <w:b/>
          <w:bCs/>
          <w:color w:val="333333"/>
          <w:sz w:val="28"/>
          <w:szCs w:val="28"/>
        </w:rPr>
        <w:t>ЗАЯВА</w:t>
      </w:r>
      <w:r>
        <w:rPr>
          <w:color w:val="333333"/>
        </w:rPr>
        <w:br/>
      </w:r>
      <w:r>
        <w:rPr>
          <w:rStyle w:val="rvts15"/>
          <w:b/>
          <w:bCs/>
          <w:color w:val="333333"/>
          <w:sz w:val="28"/>
          <w:szCs w:val="28"/>
        </w:rPr>
        <w:t>про реєстрацію реструктуризації боргових зобов’язань за запозиченням шляхом емісії облігацій внутрішніх місцевих позик</w:t>
      </w:r>
    </w:p>
    <w:tbl>
      <w:tblPr>
        <w:tblW w:w="4629" w:type="pct"/>
        <w:tblInd w:w="441"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389"/>
        <w:gridCol w:w="2256"/>
      </w:tblGrid>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bookmarkStart w:id="6" w:name="n417"/>
            <w:bookmarkEnd w:id="6"/>
            <w:r>
              <w:t>Повне найменування емітента</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Код за ЄДРПОУ</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Місцезнаходження</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Засоби зв’язку (телефон, факс, електронна пошта)</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Дата реєстрації та реєстраційний номер випуску згідно зі свідоцтвом про реєстрацію випуску облігацій внутрішніх місцевих позик</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Дата затвердження проспекту емісії облігацій внутрішніх місцевих позик (у разі наявності)</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Дата реєстрації змін до проспекту емісії облігацій внутрішніх місцевих позик (у разі їх наявності)</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Орган, який прийняв рішення про реструктуризацію боргових зобов’язань</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Дата, номер рішення про реструктуризацію боргових зобов’язань</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r w:rsidR="00A56B71" w:rsidTr="00A56B71">
        <w:tc>
          <w:tcPr>
            <w:tcW w:w="369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4"/>
              <w:spacing w:before="150" w:beforeAutospacing="0" w:after="150" w:afterAutospacing="0"/>
            </w:pPr>
            <w:r>
              <w:t>Дата, номер рішення про погодження Міністерством фінансів України реструктуризації боргових зобов’язань</w:t>
            </w:r>
          </w:p>
        </w:tc>
        <w:tc>
          <w:tcPr>
            <w:tcW w:w="1305" w:type="pct"/>
            <w:tcBorders>
              <w:top w:val="single" w:sz="6" w:space="0" w:color="000000"/>
              <w:left w:val="single" w:sz="6" w:space="0" w:color="000000"/>
              <w:bottom w:val="single" w:sz="6" w:space="0" w:color="000000"/>
              <w:right w:val="single" w:sz="6" w:space="0" w:color="000000"/>
            </w:tcBorders>
            <w:hideMark/>
          </w:tcPr>
          <w:p w:rsidR="00A56B71" w:rsidRDefault="00A56B71">
            <w:pPr>
              <w:pStyle w:val="rvps12"/>
              <w:spacing w:before="150" w:beforeAutospacing="0" w:after="150" w:afterAutospacing="0"/>
              <w:jc w:val="center"/>
            </w:pPr>
          </w:p>
        </w:tc>
      </w:tr>
    </w:tbl>
    <w:p w:rsidR="00A56B71" w:rsidRDefault="00A56B71" w:rsidP="001E1254">
      <w:pPr>
        <w:pStyle w:val="a5"/>
        <w:spacing w:before="0" w:beforeAutospacing="0" w:after="0" w:afterAutospacing="0"/>
        <w:jc w:val="both"/>
        <w:rPr>
          <w:b/>
          <w:color w:val="000000"/>
        </w:rPr>
      </w:pPr>
      <w:bookmarkStart w:id="7" w:name="n418"/>
      <w:bookmarkEnd w:id="7"/>
    </w:p>
    <w:tbl>
      <w:tblPr>
        <w:tblW w:w="495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13"/>
        <w:gridCol w:w="1811"/>
        <w:gridCol w:w="5044"/>
      </w:tblGrid>
      <w:tr w:rsidR="00A56B71" w:rsidTr="00A56B71">
        <w:tc>
          <w:tcPr>
            <w:tcW w:w="1302" w:type="pct"/>
            <w:tcBorders>
              <w:top w:val="nil"/>
              <w:left w:val="nil"/>
              <w:bottom w:val="nil"/>
              <w:right w:val="nil"/>
            </w:tcBorders>
            <w:hideMark/>
          </w:tcPr>
          <w:p w:rsidR="00A56B71" w:rsidRDefault="00A56B71" w:rsidP="00A56B71">
            <w:pPr>
              <w:pStyle w:val="rvps12"/>
              <w:spacing w:before="150" w:beforeAutospacing="0" w:after="150" w:afterAutospacing="0"/>
              <w:jc w:val="center"/>
            </w:pPr>
            <w:r>
              <w:t xml:space="preserve">   _________________</w:t>
            </w:r>
            <w:r>
              <w:br/>
            </w:r>
            <w:r>
              <w:rPr>
                <w:rStyle w:val="rvts82"/>
                <w:sz w:val="20"/>
                <w:szCs w:val="20"/>
              </w:rPr>
              <w:t>(посада)</w:t>
            </w:r>
          </w:p>
        </w:tc>
        <w:tc>
          <w:tcPr>
            <w:tcW w:w="977" w:type="pct"/>
            <w:tcBorders>
              <w:top w:val="nil"/>
              <w:left w:val="nil"/>
              <w:bottom w:val="nil"/>
              <w:right w:val="nil"/>
            </w:tcBorders>
            <w:hideMark/>
          </w:tcPr>
          <w:p w:rsidR="00A56B71" w:rsidRDefault="00A56B71" w:rsidP="00A56B71">
            <w:pPr>
              <w:pStyle w:val="rvps12"/>
              <w:spacing w:before="150" w:beforeAutospacing="0" w:after="150" w:afterAutospacing="0"/>
              <w:jc w:val="center"/>
            </w:pPr>
            <w:r>
              <w:t>___________</w:t>
            </w:r>
            <w:r>
              <w:br/>
            </w:r>
            <w:r>
              <w:rPr>
                <w:rStyle w:val="rvts82"/>
                <w:sz w:val="20"/>
                <w:szCs w:val="20"/>
              </w:rPr>
              <w:t>(підпис)</w:t>
            </w:r>
          </w:p>
        </w:tc>
        <w:tc>
          <w:tcPr>
            <w:tcW w:w="2721" w:type="pct"/>
            <w:tcBorders>
              <w:top w:val="nil"/>
              <w:left w:val="nil"/>
              <w:bottom w:val="nil"/>
              <w:right w:val="nil"/>
            </w:tcBorders>
            <w:hideMark/>
          </w:tcPr>
          <w:p w:rsidR="00A56B71" w:rsidRDefault="00A56B71" w:rsidP="00A56B71">
            <w:pPr>
              <w:pStyle w:val="rvps12"/>
              <w:spacing w:before="150" w:beforeAutospacing="0" w:after="150" w:afterAutospacing="0"/>
              <w:jc w:val="center"/>
            </w:pPr>
            <w:r>
              <w:t>________________________________</w:t>
            </w:r>
            <w:r>
              <w:br/>
            </w:r>
            <w:r>
              <w:rPr>
                <w:rStyle w:val="rvts82"/>
                <w:sz w:val="20"/>
                <w:szCs w:val="20"/>
              </w:rPr>
              <w:t>(прізвище, ім’я, по батькові)</w:t>
            </w:r>
          </w:p>
        </w:tc>
      </w:tr>
    </w:tbl>
    <w:p w:rsidR="00A56B71" w:rsidRPr="005A4FEA" w:rsidRDefault="00A56B71" w:rsidP="001E1254">
      <w:pPr>
        <w:pStyle w:val="a5"/>
        <w:spacing w:before="0" w:beforeAutospacing="0" w:after="0" w:afterAutospacing="0"/>
        <w:jc w:val="both"/>
        <w:rPr>
          <w:b/>
          <w:color w:val="000000"/>
        </w:rPr>
      </w:pPr>
    </w:p>
    <w:sectPr w:rsidR="00A56B71" w:rsidRPr="005A4FEA" w:rsidSect="00A01AC3">
      <w:headerReference w:type="default" r:id="rId10"/>
      <w:pgSz w:w="11906" w:h="16838"/>
      <w:pgMar w:top="851" w:right="851"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DC" w:rsidRDefault="007E2CDC" w:rsidP="00A01AC3">
      <w:r>
        <w:separator/>
      </w:r>
    </w:p>
  </w:endnote>
  <w:endnote w:type="continuationSeparator" w:id="0">
    <w:p w:rsidR="007E2CDC" w:rsidRDefault="007E2CDC" w:rsidP="00A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DC" w:rsidRDefault="007E2CDC" w:rsidP="00A01AC3">
      <w:r>
        <w:separator/>
      </w:r>
    </w:p>
  </w:footnote>
  <w:footnote w:type="continuationSeparator" w:id="0">
    <w:p w:rsidR="007E2CDC" w:rsidRDefault="007E2CDC" w:rsidP="00A0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C3" w:rsidRDefault="00A01AC3">
    <w:pPr>
      <w:pStyle w:val="a9"/>
      <w:jc w:val="center"/>
    </w:pPr>
    <w:r>
      <w:fldChar w:fldCharType="begin"/>
    </w:r>
    <w:r>
      <w:instrText>PAGE   \* MERGEFORMAT</w:instrText>
    </w:r>
    <w:r>
      <w:fldChar w:fldCharType="separate"/>
    </w:r>
    <w:r w:rsidR="00303DA3">
      <w:rPr>
        <w:noProof/>
      </w:rPr>
      <w:t>3</w:t>
    </w:r>
    <w:r>
      <w:fldChar w:fldCharType="end"/>
    </w:r>
  </w:p>
  <w:p w:rsidR="00A01AC3" w:rsidRDefault="00A01AC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349E5"/>
    <w:rsid w:val="00057D05"/>
    <w:rsid w:val="00060C12"/>
    <w:rsid w:val="00087A75"/>
    <w:rsid w:val="00090CF5"/>
    <w:rsid w:val="00091720"/>
    <w:rsid w:val="000D6ABF"/>
    <w:rsid w:val="000F2D4A"/>
    <w:rsid w:val="000F5EAB"/>
    <w:rsid w:val="00106B0E"/>
    <w:rsid w:val="00132756"/>
    <w:rsid w:val="00151E8A"/>
    <w:rsid w:val="0018272A"/>
    <w:rsid w:val="001A70B9"/>
    <w:rsid w:val="001B0369"/>
    <w:rsid w:val="001B4B0F"/>
    <w:rsid w:val="001C4828"/>
    <w:rsid w:val="001D04BE"/>
    <w:rsid w:val="001D3544"/>
    <w:rsid w:val="001E1254"/>
    <w:rsid w:val="00203B1A"/>
    <w:rsid w:val="0021356A"/>
    <w:rsid w:val="00225D35"/>
    <w:rsid w:val="0022603C"/>
    <w:rsid w:val="00240EBB"/>
    <w:rsid w:val="002E5C70"/>
    <w:rsid w:val="002F6736"/>
    <w:rsid w:val="00303DA3"/>
    <w:rsid w:val="003230DA"/>
    <w:rsid w:val="003576F3"/>
    <w:rsid w:val="0036708C"/>
    <w:rsid w:val="00377E0A"/>
    <w:rsid w:val="00385645"/>
    <w:rsid w:val="003A3CC7"/>
    <w:rsid w:val="003B665F"/>
    <w:rsid w:val="003D5A35"/>
    <w:rsid w:val="003F02D7"/>
    <w:rsid w:val="00436218"/>
    <w:rsid w:val="00473DA2"/>
    <w:rsid w:val="00477A1B"/>
    <w:rsid w:val="00487DB1"/>
    <w:rsid w:val="004924E6"/>
    <w:rsid w:val="004F241D"/>
    <w:rsid w:val="00504102"/>
    <w:rsid w:val="00521C69"/>
    <w:rsid w:val="00523932"/>
    <w:rsid w:val="0052545E"/>
    <w:rsid w:val="00546400"/>
    <w:rsid w:val="00547331"/>
    <w:rsid w:val="00562472"/>
    <w:rsid w:val="00566EC9"/>
    <w:rsid w:val="00586273"/>
    <w:rsid w:val="005934D1"/>
    <w:rsid w:val="005970EA"/>
    <w:rsid w:val="005A4FEA"/>
    <w:rsid w:val="005D2130"/>
    <w:rsid w:val="005D3CF6"/>
    <w:rsid w:val="0060034D"/>
    <w:rsid w:val="0061512F"/>
    <w:rsid w:val="00635B9C"/>
    <w:rsid w:val="00655A0C"/>
    <w:rsid w:val="00657905"/>
    <w:rsid w:val="006601DA"/>
    <w:rsid w:val="00663BA2"/>
    <w:rsid w:val="00663FE2"/>
    <w:rsid w:val="0066688F"/>
    <w:rsid w:val="00700E9A"/>
    <w:rsid w:val="00743FC3"/>
    <w:rsid w:val="00766F1A"/>
    <w:rsid w:val="0076731E"/>
    <w:rsid w:val="0078159B"/>
    <w:rsid w:val="00784293"/>
    <w:rsid w:val="00795B03"/>
    <w:rsid w:val="007A4557"/>
    <w:rsid w:val="007B005D"/>
    <w:rsid w:val="007B7746"/>
    <w:rsid w:val="007E2CDC"/>
    <w:rsid w:val="00805DE4"/>
    <w:rsid w:val="0084446E"/>
    <w:rsid w:val="00845D77"/>
    <w:rsid w:val="00846BBE"/>
    <w:rsid w:val="0085232C"/>
    <w:rsid w:val="00862F7E"/>
    <w:rsid w:val="008827C5"/>
    <w:rsid w:val="00891AB2"/>
    <w:rsid w:val="008A5623"/>
    <w:rsid w:val="008B0BB0"/>
    <w:rsid w:val="008B1AB7"/>
    <w:rsid w:val="008B30A9"/>
    <w:rsid w:val="008E62B7"/>
    <w:rsid w:val="0092187D"/>
    <w:rsid w:val="009250DA"/>
    <w:rsid w:val="0094524C"/>
    <w:rsid w:val="00967ADA"/>
    <w:rsid w:val="00984F77"/>
    <w:rsid w:val="00986DB8"/>
    <w:rsid w:val="00991BD2"/>
    <w:rsid w:val="009A0A45"/>
    <w:rsid w:val="009B2CAE"/>
    <w:rsid w:val="009D6BF0"/>
    <w:rsid w:val="009F060B"/>
    <w:rsid w:val="00A01AC3"/>
    <w:rsid w:val="00A37020"/>
    <w:rsid w:val="00A56B71"/>
    <w:rsid w:val="00A573EA"/>
    <w:rsid w:val="00A61D75"/>
    <w:rsid w:val="00A652E8"/>
    <w:rsid w:val="00AA78B5"/>
    <w:rsid w:val="00AC469E"/>
    <w:rsid w:val="00AC61B9"/>
    <w:rsid w:val="00AE6078"/>
    <w:rsid w:val="00AE7062"/>
    <w:rsid w:val="00B0387B"/>
    <w:rsid w:val="00B43FB9"/>
    <w:rsid w:val="00B7611E"/>
    <w:rsid w:val="00BC7E02"/>
    <w:rsid w:val="00BE2D80"/>
    <w:rsid w:val="00C034F7"/>
    <w:rsid w:val="00C25216"/>
    <w:rsid w:val="00C3136C"/>
    <w:rsid w:val="00CE3FBE"/>
    <w:rsid w:val="00CE5B92"/>
    <w:rsid w:val="00CF6027"/>
    <w:rsid w:val="00D237D7"/>
    <w:rsid w:val="00D91945"/>
    <w:rsid w:val="00DA5C4D"/>
    <w:rsid w:val="00DC24AE"/>
    <w:rsid w:val="00DC2CA9"/>
    <w:rsid w:val="00DD4A9D"/>
    <w:rsid w:val="00DD5EEF"/>
    <w:rsid w:val="00DE2995"/>
    <w:rsid w:val="00DF7D78"/>
    <w:rsid w:val="00E151F5"/>
    <w:rsid w:val="00E22024"/>
    <w:rsid w:val="00E63310"/>
    <w:rsid w:val="00E646D2"/>
    <w:rsid w:val="00E722BA"/>
    <w:rsid w:val="00E75851"/>
    <w:rsid w:val="00E94AF5"/>
    <w:rsid w:val="00E9522E"/>
    <w:rsid w:val="00E95295"/>
    <w:rsid w:val="00EA3D20"/>
    <w:rsid w:val="00EB6587"/>
    <w:rsid w:val="00ED7566"/>
    <w:rsid w:val="00EE62D7"/>
    <w:rsid w:val="00F17CE8"/>
    <w:rsid w:val="00F21C99"/>
    <w:rsid w:val="00F55F48"/>
    <w:rsid w:val="00F635CE"/>
    <w:rsid w:val="00F92F9A"/>
    <w:rsid w:val="00F954B7"/>
    <w:rsid w:val="00FA2BE0"/>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C7276-D865-4FC5-B181-3D1FCEAA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paragraph" w:styleId="a9">
    <w:name w:val="header"/>
    <w:basedOn w:val="a"/>
    <w:link w:val="aa"/>
    <w:uiPriority w:val="99"/>
    <w:rsid w:val="00A01AC3"/>
    <w:pPr>
      <w:tabs>
        <w:tab w:val="center" w:pos="4819"/>
        <w:tab w:val="right" w:pos="9639"/>
      </w:tabs>
    </w:pPr>
  </w:style>
  <w:style w:type="character" w:customStyle="1" w:styleId="aa">
    <w:name w:val="Верхній колонтитул Знак"/>
    <w:link w:val="a9"/>
    <w:uiPriority w:val="99"/>
    <w:rsid w:val="00A01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8878">
      <w:bodyDiv w:val="1"/>
      <w:marLeft w:val="0"/>
      <w:marRight w:val="0"/>
      <w:marTop w:val="0"/>
      <w:marBottom w:val="0"/>
      <w:divBdr>
        <w:top w:val="none" w:sz="0" w:space="0" w:color="auto"/>
        <w:left w:val="none" w:sz="0" w:space="0" w:color="auto"/>
        <w:bottom w:val="none" w:sz="0" w:space="0" w:color="auto"/>
        <w:right w:val="none" w:sz="0" w:space="0" w:color="auto"/>
      </w:divBdr>
    </w:div>
    <w:div w:id="300766797">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445656296">
      <w:bodyDiv w:val="1"/>
      <w:marLeft w:val="0"/>
      <w:marRight w:val="0"/>
      <w:marTop w:val="0"/>
      <w:marBottom w:val="0"/>
      <w:divBdr>
        <w:top w:val="none" w:sz="0" w:space="0" w:color="auto"/>
        <w:left w:val="none" w:sz="0" w:space="0" w:color="auto"/>
        <w:bottom w:val="none" w:sz="0" w:space="0" w:color="auto"/>
        <w:right w:val="none" w:sz="0" w:space="0" w:color="auto"/>
      </w:divBdr>
    </w:div>
    <w:div w:id="787894148">
      <w:bodyDiv w:val="1"/>
      <w:marLeft w:val="0"/>
      <w:marRight w:val="0"/>
      <w:marTop w:val="0"/>
      <w:marBottom w:val="0"/>
      <w:divBdr>
        <w:top w:val="none" w:sz="0" w:space="0" w:color="auto"/>
        <w:left w:val="none" w:sz="0" w:space="0" w:color="auto"/>
        <w:bottom w:val="none" w:sz="0" w:space="0" w:color="auto"/>
        <w:right w:val="none" w:sz="0" w:space="0" w:color="auto"/>
      </w:divBdr>
    </w:div>
    <w:div w:id="1154223701">
      <w:bodyDiv w:val="1"/>
      <w:marLeft w:val="0"/>
      <w:marRight w:val="0"/>
      <w:marTop w:val="0"/>
      <w:marBottom w:val="0"/>
      <w:divBdr>
        <w:top w:val="none" w:sz="0" w:space="0" w:color="auto"/>
        <w:left w:val="none" w:sz="0" w:space="0" w:color="auto"/>
        <w:bottom w:val="none" w:sz="0" w:space="0" w:color="auto"/>
        <w:right w:val="none" w:sz="0" w:space="0" w:color="auto"/>
      </w:divBdr>
    </w:div>
    <w:div w:id="1602059368">
      <w:bodyDiv w:val="1"/>
      <w:marLeft w:val="0"/>
      <w:marRight w:val="0"/>
      <w:marTop w:val="0"/>
      <w:marBottom w:val="0"/>
      <w:divBdr>
        <w:top w:val="none" w:sz="0" w:space="0" w:color="auto"/>
        <w:left w:val="none" w:sz="0" w:space="0" w:color="auto"/>
        <w:bottom w:val="none" w:sz="0" w:space="0" w:color="auto"/>
        <w:right w:val="none" w:sz="0" w:space="0" w:color="auto"/>
      </w:divBdr>
    </w:div>
    <w:div w:id="1739018312">
      <w:bodyDiv w:val="1"/>
      <w:marLeft w:val="0"/>
      <w:marRight w:val="0"/>
      <w:marTop w:val="0"/>
      <w:marBottom w:val="0"/>
      <w:divBdr>
        <w:top w:val="none" w:sz="0" w:space="0" w:color="auto"/>
        <w:left w:val="none" w:sz="0" w:space="0" w:color="auto"/>
        <w:bottom w:val="none" w:sz="0" w:space="0" w:color="auto"/>
        <w:right w:val="none" w:sz="0" w:space="0" w:color="auto"/>
      </w:divBdr>
      <w:divsChild>
        <w:div w:id="245770786">
          <w:marLeft w:val="0"/>
          <w:marRight w:val="0"/>
          <w:marTop w:val="150"/>
          <w:marBottom w:val="150"/>
          <w:divBdr>
            <w:top w:val="none" w:sz="0" w:space="0" w:color="auto"/>
            <w:left w:val="none" w:sz="0" w:space="0" w:color="auto"/>
            <w:bottom w:val="none" w:sz="0" w:space="0" w:color="auto"/>
            <w:right w:val="none" w:sz="0" w:space="0" w:color="auto"/>
          </w:divBdr>
        </w:div>
        <w:div w:id="95698327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3" Type="http://schemas.openxmlformats.org/officeDocument/2006/relationships/settings" Target="settings.xml"/><Relationship Id="rId7" Type="http://schemas.openxmlformats.org/officeDocument/2006/relationships/hyperlink" Target="https://www.nssmc.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z0808-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3507</Words>
  <Characters>2000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5497</CharactersWithSpaces>
  <SharedDoc>false</SharedDoc>
  <HLinks>
    <vt:vector size="18" baseType="variant">
      <vt:variant>
        <vt:i4>4980760</vt:i4>
      </vt:variant>
      <vt:variant>
        <vt:i4>6</vt:i4>
      </vt:variant>
      <vt:variant>
        <vt:i4>0</vt:i4>
      </vt:variant>
      <vt:variant>
        <vt:i4>5</vt:i4>
      </vt:variant>
      <vt:variant>
        <vt:lpwstr>https://zakon.rada.gov.ua/laws/show/z0808-18</vt:lpwstr>
      </vt:variant>
      <vt:variant>
        <vt:lpwstr>n416</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3</cp:revision>
  <cp:lastPrinted>2018-08-13T10:30:00Z</cp:lastPrinted>
  <dcterms:created xsi:type="dcterms:W3CDTF">2025-03-31T06:38:00Z</dcterms:created>
  <dcterms:modified xsi:type="dcterms:W3CDTF">2025-03-31T06:38:00Z</dcterms:modified>
</cp:coreProperties>
</file>