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AD" w:rsidRPr="0033665B" w:rsidRDefault="00FD6EAD" w:rsidP="0033665B">
      <w:pPr>
        <w:pStyle w:val="a5"/>
        <w:widowControl w:val="0"/>
        <w:spacing w:before="0" w:beforeAutospacing="0" w:after="0" w:afterAutospacing="0"/>
        <w:ind w:left="4678"/>
        <w:jc w:val="right"/>
        <w:rPr>
          <w:lang w:val="en-US"/>
        </w:rPr>
      </w:pPr>
      <w:r w:rsidRPr="0033665B">
        <w:t xml:space="preserve">Додаток </w:t>
      </w:r>
      <w:r w:rsidRPr="0033665B">
        <w:rPr>
          <w:lang w:val="en-US"/>
        </w:rPr>
        <w:t>45</w:t>
      </w:r>
    </w:p>
    <w:p w:rsidR="00FD6EAD" w:rsidRPr="0033665B" w:rsidRDefault="00FD6EAD" w:rsidP="0033665B">
      <w:pPr>
        <w:pStyle w:val="a5"/>
        <w:widowControl w:val="0"/>
        <w:spacing w:before="0" w:beforeAutospacing="0" w:after="0" w:afterAutospacing="0"/>
        <w:ind w:left="4678"/>
        <w:jc w:val="both"/>
      </w:pPr>
      <w:r w:rsidRPr="0033665B">
        <w:t xml:space="preserve">до розпорядження Голови Національної комісії з цінних паперів та фондового ринку </w:t>
      </w:r>
    </w:p>
    <w:p w:rsidR="00FD6EAD" w:rsidRDefault="0033665B" w:rsidP="0033665B">
      <w:pPr>
        <w:pStyle w:val="a5"/>
        <w:widowControl w:val="0"/>
        <w:spacing w:before="0" w:beforeAutospacing="0" w:after="0" w:afterAutospacing="0"/>
        <w:ind w:left="4678"/>
        <w:jc w:val="both"/>
        <w:rPr>
          <w:sz w:val="28"/>
          <w:szCs w:val="28"/>
        </w:rPr>
      </w:pPr>
      <w:r>
        <w:t>від 25.03.2025 № 22/20/1911/С04</w:t>
      </w:r>
    </w:p>
    <w:p w:rsidR="00FD6EAD" w:rsidRDefault="00FD6EAD" w:rsidP="00FD6EAD">
      <w:pPr>
        <w:ind w:left="5103"/>
        <w:jc w:val="both"/>
        <w:rPr>
          <w:b/>
          <w:sz w:val="28"/>
          <w:szCs w:val="28"/>
        </w:rPr>
      </w:pPr>
    </w:p>
    <w:p w:rsidR="00B4551F" w:rsidRPr="00DA27F3" w:rsidRDefault="00B4551F" w:rsidP="00261E49">
      <w:pPr>
        <w:ind w:left="5103"/>
        <w:jc w:val="both"/>
        <w:rPr>
          <w:b/>
        </w:rPr>
      </w:pPr>
    </w:p>
    <w:p w:rsidR="00E75851" w:rsidRPr="004B12DD" w:rsidRDefault="00784293" w:rsidP="0036708C">
      <w:pPr>
        <w:jc w:val="center"/>
        <w:rPr>
          <w:b/>
          <w:sz w:val="28"/>
          <w:szCs w:val="28"/>
        </w:rPr>
      </w:pPr>
      <w:r w:rsidRPr="004B12DD">
        <w:rPr>
          <w:b/>
          <w:sz w:val="28"/>
          <w:szCs w:val="28"/>
        </w:rPr>
        <w:t>ІНФОРМАЦІЙНА КАРТКА</w:t>
      </w:r>
    </w:p>
    <w:p w:rsidR="00784293" w:rsidRDefault="00E75851" w:rsidP="0036708C">
      <w:pPr>
        <w:jc w:val="center"/>
        <w:rPr>
          <w:b/>
          <w:sz w:val="28"/>
          <w:szCs w:val="28"/>
        </w:rPr>
      </w:pPr>
      <w:r w:rsidRPr="004B12DD">
        <w:rPr>
          <w:b/>
          <w:sz w:val="28"/>
          <w:szCs w:val="28"/>
        </w:rPr>
        <w:t>адміністративної послуги</w:t>
      </w:r>
    </w:p>
    <w:p w:rsidR="004B12DD" w:rsidRPr="004B12DD" w:rsidRDefault="004B12DD" w:rsidP="0036708C">
      <w:pPr>
        <w:jc w:val="center"/>
        <w:rPr>
          <w:b/>
          <w:sz w:val="28"/>
          <w:szCs w:val="28"/>
        </w:rPr>
      </w:pPr>
    </w:p>
    <w:p w:rsidR="004B67F2" w:rsidRPr="004B12DD" w:rsidRDefault="004B67F2" w:rsidP="004B67F2">
      <w:pPr>
        <w:jc w:val="center"/>
        <w:rPr>
          <w:b/>
          <w:sz w:val="28"/>
          <w:szCs w:val="28"/>
        </w:rPr>
      </w:pPr>
      <w:r w:rsidRPr="004B12DD">
        <w:rPr>
          <w:b/>
          <w:sz w:val="28"/>
          <w:szCs w:val="28"/>
        </w:rPr>
        <w:t>«Реєстрація випуску облігацій внутрішніх місцевих позик, реєстрація випуску облігацій внутрішніх місцевих позик та затвердження проспекту облігацій внутрішніх місцевих позик»</w:t>
      </w:r>
    </w:p>
    <w:p w:rsidR="008E62B7" w:rsidRPr="004B12DD" w:rsidRDefault="008E62B7" w:rsidP="0036708C">
      <w:pPr>
        <w:jc w:val="both"/>
        <w:rPr>
          <w:b/>
          <w:sz w:val="28"/>
          <w:szCs w:val="28"/>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1"/>
        <w:gridCol w:w="6650"/>
      </w:tblGrid>
      <w:tr w:rsidR="00673E98" w:rsidRPr="009647B2" w:rsidTr="00F91D70">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3E98" w:rsidRPr="009647B2" w:rsidRDefault="00673E98" w:rsidP="00673E98">
            <w:pPr>
              <w:jc w:val="center"/>
            </w:pPr>
            <w:r w:rsidRPr="009647B2">
              <w:rPr>
                <w:b/>
              </w:rPr>
              <w:t>Інформація про суб’єкта надання адміністративної послуги</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1</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Найменування суб’єкта</w:t>
            </w:r>
          </w:p>
        </w:tc>
        <w:tc>
          <w:tcPr>
            <w:tcW w:w="3585" w:type="pct"/>
            <w:tcBorders>
              <w:top w:val="single" w:sz="4" w:space="0" w:color="auto"/>
              <w:left w:val="single" w:sz="4" w:space="0" w:color="auto"/>
              <w:bottom w:val="single" w:sz="4" w:space="0" w:color="auto"/>
              <w:right w:val="single" w:sz="4" w:space="0" w:color="auto"/>
            </w:tcBorders>
          </w:tcPr>
          <w:p w:rsidR="00FD6EAD" w:rsidRPr="009647B2" w:rsidRDefault="00673E98" w:rsidP="00FD6EAD">
            <w:pPr>
              <w:ind w:left="34"/>
              <w:jc w:val="both"/>
              <w:rPr>
                <w:shd w:val="clear" w:color="auto" w:fill="FFFFFF"/>
                <w:lang w:eastAsia="ru-RU"/>
              </w:rPr>
            </w:pPr>
            <w:r w:rsidRPr="009647B2">
              <w:rPr>
                <w:shd w:val="clear" w:color="auto" w:fill="FFFFFF"/>
                <w:lang w:eastAsia="ru-RU"/>
              </w:rPr>
              <w:t>Національна комісія з цінних паперів та фондового ринку</w:t>
            </w:r>
          </w:p>
          <w:p w:rsidR="00673E98" w:rsidRPr="009647B2" w:rsidRDefault="00673E98" w:rsidP="00673E98">
            <w:pPr>
              <w:ind w:left="34"/>
              <w:jc w:val="both"/>
              <w:rPr>
                <w:shd w:val="clear" w:color="auto" w:fill="FFFFFF"/>
                <w:lang w:eastAsia="ru-RU"/>
              </w:rPr>
            </w:pP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2</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Місцезнаходження</w:t>
            </w:r>
          </w:p>
        </w:tc>
        <w:tc>
          <w:tcPr>
            <w:tcW w:w="3585" w:type="pct"/>
            <w:tcBorders>
              <w:top w:val="single" w:sz="4" w:space="0" w:color="auto"/>
              <w:left w:val="single" w:sz="4" w:space="0" w:color="auto"/>
              <w:bottom w:val="single" w:sz="4" w:space="0" w:color="auto"/>
              <w:right w:val="single" w:sz="4" w:space="0" w:color="auto"/>
            </w:tcBorders>
          </w:tcPr>
          <w:p w:rsidR="00673E98" w:rsidRPr="009647B2" w:rsidRDefault="00673E98" w:rsidP="00FD6EAD">
            <w:pPr>
              <w:ind w:left="34"/>
              <w:jc w:val="both"/>
              <w:rPr>
                <w:shd w:val="clear" w:color="auto" w:fill="FFFFFF"/>
                <w:lang w:val="en-US" w:eastAsia="ru-RU"/>
              </w:rPr>
            </w:pPr>
            <w:r w:rsidRPr="009647B2">
              <w:rPr>
                <w:color w:val="000000"/>
              </w:rPr>
              <w:t xml:space="preserve">01010, м. Київ, вул. </w:t>
            </w:r>
            <w:r w:rsidR="00576D53" w:rsidRPr="009647B2">
              <w:rPr>
                <w:color w:val="000000"/>
              </w:rPr>
              <w:t>Князів Острозьких</w:t>
            </w:r>
            <w:r w:rsidRPr="009647B2">
              <w:rPr>
                <w:color w:val="000000"/>
              </w:rPr>
              <w:t>, 8, корп. 30</w:t>
            </w:r>
            <w:r w:rsidRPr="009647B2">
              <w:t xml:space="preserve"> </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3</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 xml:space="preserve">Режим роботи </w:t>
            </w:r>
          </w:p>
        </w:tc>
        <w:tc>
          <w:tcPr>
            <w:tcW w:w="3585"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 xml:space="preserve">Понеділок – четвер з 9:00 до 18:00; </w:t>
            </w:r>
          </w:p>
          <w:p w:rsidR="00673E98" w:rsidRPr="009647B2" w:rsidRDefault="00673E98" w:rsidP="00673E98">
            <w:r w:rsidRPr="009647B2">
              <w:t>п’ятниця з 9:00 до 16:45;</w:t>
            </w:r>
          </w:p>
          <w:p w:rsidR="00673E98" w:rsidRPr="009647B2" w:rsidRDefault="00673E98" w:rsidP="00673E98">
            <w:r w:rsidRPr="009647B2">
              <w:t>обідня перерва з 13:00 до 13:45 </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4</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 xml:space="preserve">Телефон/факс (довідки), адреса електронної пошти та </w:t>
            </w:r>
            <w:r w:rsidRPr="009647B2">
              <w:rPr>
                <w:rStyle w:val="spelle"/>
              </w:rPr>
              <w:t>веб-сайт</w:t>
            </w:r>
            <w:r w:rsidRPr="009647B2">
              <w:t xml:space="preserve"> </w:t>
            </w:r>
          </w:p>
        </w:tc>
        <w:tc>
          <w:tcPr>
            <w:tcW w:w="3585" w:type="pct"/>
            <w:tcBorders>
              <w:top w:val="single" w:sz="4" w:space="0" w:color="auto"/>
              <w:left w:val="single" w:sz="4" w:space="0" w:color="auto"/>
              <w:bottom w:val="single" w:sz="4" w:space="0" w:color="auto"/>
              <w:right w:val="single" w:sz="4" w:space="0" w:color="auto"/>
            </w:tcBorders>
          </w:tcPr>
          <w:p w:rsidR="00FD6EAD" w:rsidRDefault="00FD6EAD" w:rsidP="00FD6EAD">
            <w:r>
              <w:t>Телефон: 280-85-95</w:t>
            </w:r>
          </w:p>
          <w:p w:rsidR="00FD6EAD" w:rsidRDefault="00FD6EAD" w:rsidP="00FD6EAD">
            <w:r>
              <w:t xml:space="preserve">Вебсайт: </w:t>
            </w:r>
            <w:hyperlink r:id="rId8" w:history="1">
              <w:r>
                <w:rPr>
                  <w:rStyle w:val="a3"/>
                </w:rPr>
                <w:t>https://www.nssmc.gov.ua/</w:t>
              </w:r>
            </w:hyperlink>
          </w:p>
          <w:p w:rsidR="00DC0E93" w:rsidRPr="00FD6EAD" w:rsidRDefault="00FD6EAD" w:rsidP="00FD6EAD">
            <w:r>
              <w:t xml:space="preserve">Засоби комплексної інформаційної системи (КІС) </w:t>
            </w:r>
            <w:hyperlink r:id="rId9" w:history="1">
              <w:r>
                <w:rPr>
                  <w:rStyle w:val="a3"/>
                </w:rPr>
                <w:t>https://services.nssmc.gov.ua</w:t>
              </w:r>
            </w:hyperlink>
          </w:p>
        </w:tc>
      </w:tr>
      <w:tr w:rsidR="00673E98" w:rsidRPr="009647B2" w:rsidTr="00F91D70">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3E98" w:rsidRPr="009647B2" w:rsidRDefault="00673E98" w:rsidP="00673E98">
            <w:pPr>
              <w:jc w:val="center"/>
              <w:rPr>
                <w:b/>
              </w:rPr>
            </w:pPr>
            <w:r w:rsidRPr="009647B2">
              <w:rPr>
                <w:b/>
                <w:color w:val="000000"/>
                <w:shd w:val="clear" w:color="auto" w:fill="FFFFFF"/>
              </w:rPr>
              <w:t>Нормативні акти, якими регламентується надання адміністративної послуги</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5</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Закони України</w:t>
            </w:r>
          </w:p>
        </w:tc>
        <w:tc>
          <w:tcPr>
            <w:tcW w:w="3585" w:type="pct"/>
            <w:tcBorders>
              <w:top w:val="single" w:sz="4" w:space="0" w:color="auto"/>
              <w:left w:val="single" w:sz="4" w:space="0" w:color="auto"/>
              <w:bottom w:val="single" w:sz="4" w:space="0" w:color="auto"/>
              <w:right w:val="single" w:sz="4" w:space="0" w:color="auto"/>
            </w:tcBorders>
          </w:tcPr>
          <w:p w:rsidR="004B67F2" w:rsidRPr="009647B2" w:rsidRDefault="004B67F2" w:rsidP="004B67F2">
            <w:pPr>
              <w:pStyle w:val="a5"/>
              <w:spacing w:before="0" w:beforeAutospacing="0" w:after="0" w:afterAutospacing="0"/>
              <w:jc w:val="both"/>
            </w:pPr>
            <w:r w:rsidRPr="009647B2">
              <w:t>Бюджетний кодекс України</w:t>
            </w:r>
          </w:p>
          <w:p w:rsidR="00673E98" w:rsidRDefault="004B67F2" w:rsidP="00E85BB8">
            <w:pPr>
              <w:pStyle w:val="a5"/>
              <w:spacing w:before="0" w:beforeAutospacing="0" w:after="0" w:afterAutospacing="0"/>
              <w:jc w:val="both"/>
            </w:pPr>
            <w:r w:rsidRPr="009647B2">
              <w:t>Закон України «</w:t>
            </w:r>
            <w:r w:rsidR="00E85BB8" w:rsidRPr="009647B2">
              <w:rPr>
                <w:bCs/>
                <w:shd w:val="clear" w:color="auto" w:fill="FFFFFF"/>
              </w:rPr>
              <w:t>Про ринки капіталу та організовані товарні ринки</w:t>
            </w:r>
            <w:r w:rsidRPr="009647B2">
              <w:t>»</w:t>
            </w:r>
          </w:p>
          <w:p w:rsidR="00F90A02" w:rsidRPr="009647B2" w:rsidRDefault="00F90A02" w:rsidP="00E85BB8">
            <w:pPr>
              <w:pStyle w:val="a5"/>
              <w:spacing w:before="0" w:beforeAutospacing="0" w:after="0" w:afterAutospacing="0"/>
              <w:jc w:val="both"/>
            </w:pPr>
            <w:r>
              <w:t>Закон України «Про адміністративну процедуру»</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6</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rPr>
                <w:color w:val="000000"/>
                <w:shd w:val="clear" w:color="auto" w:fill="FFFFFF"/>
              </w:rPr>
              <w:t>Акти Кабінету Міністрів України</w:t>
            </w:r>
          </w:p>
        </w:tc>
        <w:tc>
          <w:tcPr>
            <w:tcW w:w="3585"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both"/>
            </w:pPr>
            <w:r w:rsidRPr="009647B2">
              <w:t>Постанова Кабінету Міністрів України від 16.02.2011 № 110 «Про затвердження Порядку здійснення місцевих запозичень»</w:t>
            </w:r>
            <w:r w:rsidR="00DA27F3" w:rsidRPr="009647B2">
              <w:t xml:space="preserve"> (із змінами)</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7</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rPr>
                <w:color w:val="000000"/>
                <w:shd w:val="clear" w:color="auto" w:fill="FFFFFF"/>
              </w:rPr>
            </w:pPr>
            <w:r w:rsidRPr="009647B2">
              <w:rPr>
                <w:color w:val="000000"/>
                <w:shd w:val="clear" w:color="auto" w:fill="FFFFFF"/>
              </w:rPr>
              <w:t>Нормативні документи НКЦПФР</w:t>
            </w:r>
          </w:p>
        </w:tc>
        <w:tc>
          <w:tcPr>
            <w:tcW w:w="3585" w:type="pct"/>
            <w:tcBorders>
              <w:top w:val="single" w:sz="4" w:space="0" w:color="auto"/>
              <w:left w:val="single" w:sz="4" w:space="0" w:color="auto"/>
              <w:bottom w:val="single" w:sz="4" w:space="0" w:color="auto"/>
              <w:right w:val="single" w:sz="4" w:space="0" w:color="auto"/>
            </w:tcBorders>
          </w:tcPr>
          <w:p w:rsidR="00DC0E93" w:rsidRPr="009647B2" w:rsidRDefault="004B67F2" w:rsidP="00DC0E93">
            <w:pPr>
              <w:ind w:firstLine="143"/>
              <w:jc w:val="both"/>
            </w:pPr>
            <w:r w:rsidRPr="009647B2">
              <w:t>Рішення Національної комісії з цінних паперів та фондового ринку від 14 червня 2018 року №391 «Про затвердження Положення про порядок емісії облігацій внутрішніх місцевих позик та їх обігу», зареєстроване в Міністерстві юстиції України 11 липня 2018 року за № 808/32260 (далі</w:t>
            </w:r>
            <w:r w:rsidR="00DC0E93" w:rsidRPr="009647B2">
              <w:t xml:space="preserve"> – Положення 391);</w:t>
            </w:r>
          </w:p>
          <w:p w:rsidR="00673E98" w:rsidRPr="009647B2" w:rsidRDefault="004B67F2" w:rsidP="00DC0E93">
            <w:pPr>
              <w:ind w:firstLine="143"/>
              <w:jc w:val="both"/>
            </w:pPr>
            <w:r w:rsidRPr="009647B2">
              <w:t xml:space="preserve">Рішення Національної комісії з цінних паперів та фондового ринку від 21 червня 2018 року №424 «Про затвердження Положення про здійснення публічної пропозиції цінних паперів», зареєстроване в Міністерстві юстиції України </w:t>
            </w:r>
            <w:r w:rsidR="009647B2">
              <w:br/>
            </w:r>
            <w:r w:rsidRPr="009647B2">
              <w:t>18 липня 2018 року за № 837/</w:t>
            </w:r>
            <w:r w:rsidR="00DC0E93" w:rsidRPr="009647B2">
              <w:t>32289</w:t>
            </w:r>
            <w:r w:rsidR="00625AE0" w:rsidRPr="009647B2">
              <w:t xml:space="preserve"> (Далі – Положення 424)</w:t>
            </w:r>
            <w:r w:rsidR="00DC0E93" w:rsidRPr="009647B2">
              <w:t>;</w:t>
            </w:r>
          </w:p>
          <w:p w:rsidR="00DA27F3" w:rsidRPr="009647B2" w:rsidRDefault="00DA27F3" w:rsidP="00DC0E93">
            <w:pPr>
              <w:ind w:firstLine="143"/>
              <w:jc w:val="both"/>
            </w:pPr>
            <w:r w:rsidRPr="009647B2">
              <w:t xml:space="preserve">Рішення  Національної комісії з цінних паперів та фондового ринку від 13 червня 2022 №620 “Про затвердження Розмірів плати за реєстраційні дії щодо учасників ринків капіталу та інших осіб, зареєстроване в Міністерстві юстиції України </w:t>
            </w:r>
            <w:r w:rsidR="009647B2">
              <w:br/>
            </w:r>
            <w:r w:rsidRPr="009647B2">
              <w:t>10 серпня 2022 №909/38245  (Далі – Рішення 620)</w:t>
            </w:r>
            <w:r w:rsidR="00DC0E93" w:rsidRPr="009647B2">
              <w:t>.</w:t>
            </w:r>
          </w:p>
        </w:tc>
      </w:tr>
      <w:tr w:rsidR="00673E98" w:rsidRPr="009647B2" w:rsidTr="00F91D70">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3E98" w:rsidRPr="009647B2" w:rsidRDefault="00673E98" w:rsidP="00673E98">
            <w:pPr>
              <w:jc w:val="center"/>
            </w:pPr>
            <w:r w:rsidRPr="009647B2">
              <w:rPr>
                <w:b/>
              </w:rPr>
              <w:t>Умови отримання адміністративної послуги</w:t>
            </w:r>
          </w:p>
        </w:tc>
      </w:tr>
      <w:tr w:rsidR="004B67F2" w:rsidRPr="009647B2" w:rsidTr="00F91D70">
        <w:tc>
          <w:tcPr>
            <w:tcW w:w="246" w:type="pct"/>
            <w:tcBorders>
              <w:top w:val="single" w:sz="4" w:space="0" w:color="auto"/>
              <w:left w:val="single" w:sz="4" w:space="0" w:color="auto"/>
              <w:bottom w:val="single" w:sz="4" w:space="0" w:color="auto"/>
              <w:right w:val="single" w:sz="4" w:space="0" w:color="auto"/>
            </w:tcBorders>
          </w:tcPr>
          <w:p w:rsidR="004B67F2" w:rsidRPr="009647B2" w:rsidRDefault="004B67F2" w:rsidP="004B67F2">
            <w:pPr>
              <w:jc w:val="center"/>
            </w:pPr>
            <w:r w:rsidRPr="009647B2">
              <w:t>8</w:t>
            </w:r>
          </w:p>
        </w:tc>
        <w:tc>
          <w:tcPr>
            <w:tcW w:w="1170" w:type="pct"/>
            <w:tcBorders>
              <w:top w:val="single" w:sz="4" w:space="0" w:color="auto"/>
              <w:left w:val="single" w:sz="4" w:space="0" w:color="auto"/>
              <w:bottom w:val="single" w:sz="4" w:space="0" w:color="auto"/>
              <w:right w:val="single" w:sz="4" w:space="0" w:color="auto"/>
            </w:tcBorders>
          </w:tcPr>
          <w:p w:rsidR="004B67F2" w:rsidRPr="009647B2" w:rsidRDefault="004B67F2" w:rsidP="004B67F2">
            <w:r w:rsidRPr="009647B2">
              <w:t xml:space="preserve">Перелік документів, </w:t>
            </w:r>
            <w:r w:rsidRPr="009647B2">
              <w:lastRenderedPageBreak/>
              <w:t>необхідних для отримання адміністративної послуги, вимоги до них</w:t>
            </w:r>
          </w:p>
        </w:tc>
        <w:tc>
          <w:tcPr>
            <w:tcW w:w="3585" w:type="pct"/>
            <w:tcBorders>
              <w:top w:val="single" w:sz="4" w:space="0" w:color="auto"/>
              <w:left w:val="single" w:sz="4" w:space="0" w:color="auto"/>
              <w:bottom w:val="single" w:sz="4" w:space="0" w:color="auto"/>
              <w:right w:val="single" w:sz="4" w:space="0" w:color="auto"/>
            </w:tcBorders>
          </w:tcPr>
          <w:p w:rsidR="004B67F2" w:rsidRPr="009647B2" w:rsidRDefault="004B67F2" w:rsidP="00DC0E93">
            <w:pPr>
              <w:pStyle w:val="rvps2"/>
              <w:spacing w:before="0" w:beforeAutospacing="0" w:after="0" w:afterAutospacing="0"/>
              <w:ind w:firstLine="170"/>
              <w:jc w:val="both"/>
            </w:pPr>
            <w:r w:rsidRPr="009647B2">
              <w:lastRenderedPageBreak/>
              <w:t xml:space="preserve">Для реєстрації випуску облігацій, реєстрації випуску облігацій та затвердження проспекту облігацій емітент не </w:t>
            </w:r>
            <w:r w:rsidRPr="009647B2">
              <w:lastRenderedPageBreak/>
              <w:t>пізніш як протягом 60 днів після прийняття рішення про емісію облігацій подає до реєструвального органу:</w:t>
            </w:r>
          </w:p>
          <w:p w:rsidR="004B67F2" w:rsidRPr="009647B2" w:rsidRDefault="004B67F2" w:rsidP="00DC0E93">
            <w:pPr>
              <w:pStyle w:val="rvps2"/>
              <w:spacing w:before="0" w:beforeAutospacing="0" w:after="0" w:afterAutospacing="0"/>
              <w:ind w:firstLine="170"/>
              <w:jc w:val="both"/>
            </w:pPr>
            <w:r w:rsidRPr="009647B2">
              <w:t xml:space="preserve">1) </w:t>
            </w:r>
            <w:hyperlink r:id="rId10" w:anchor="n405" w:history="1">
              <w:r w:rsidRPr="009647B2">
                <w:rPr>
                  <w:rStyle w:val="a3"/>
                  <w:color w:val="auto"/>
                  <w:u w:val="none"/>
                </w:rPr>
                <w:t>заяву про реєстрацію випуску / реєстрацію випуску та затвердження проспекту облігацій</w:t>
              </w:r>
            </w:hyperlink>
            <w:r w:rsidRPr="009647B2">
              <w:t xml:space="preserve"> (додаток</w:t>
            </w:r>
            <w:r w:rsidR="00625AE0" w:rsidRPr="009647B2">
              <w:t xml:space="preserve"> 5 </w:t>
            </w:r>
            <w:r w:rsidR="00DC0E93" w:rsidRPr="009647B2">
              <w:t xml:space="preserve">до </w:t>
            </w:r>
            <w:r w:rsidR="009647B2">
              <w:br/>
            </w:r>
            <w:r w:rsidR="00625AE0" w:rsidRPr="009647B2">
              <w:t>Положення 391</w:t>
            </w:r>
            <w:r w:rsidRPr="009647B2">
              <w:t xml:space="preserve">); </w:t>
            </w:r>
          </w:p>
          <w:p w:rsidR="004B67F2" w:rsidRPr="009647B2" w:rsidRDefault="004B67F2" w:rsidP="00DC0E93">
            <w:pPr>
              <w:pStyle w:val="rvps2"/>
              <w:spacing w:before="0" w:beforeAutospacing="0" w:after="0" w:afterAutospacing="0"/>
              <w:ind w:firstLine="170"/>
              <w:jc w:val="both"/>
            </w:pPr>
            <w:r w:rsidRPr="009647B2">
              <w:t xml:space="preserve">2) копію бюджету Ради (зі змінами) на відповідний рік з дефіцитом бюджету розвитку спеціального фонду, оформлену та засвідчену в установленому порядку; </w:t>
            </w:r>
          </w:p>
          <w:p w:rsidR="004B67F2" w:rsidRPr="009647B2" w:rsidRDefault="004B67F2" w:rsidP="00DC0E93">
            <w:pPr>
              <w:pStyle w:val="rvps2"/>
              <w:spacing w:before="0" w:beforeAutospacing="0" w:after="0" w:afterAutospacing="0"/>
              <w:ind w:firstLine="170"/>
              <w:jc w:val="both"/>
            </w:pPr>
            <w:r w:rsidRPr="009647B2">
              <w:t xml:space="preserve">3) копію рішення Ради про здійснення запозичення у формі випуску облігацій, засвідчену в установленому порядку; </w:t>
            </w:r>
          </w:p>
          <w:p w:rsidR="004B67F2" w:rsidRPr="009647B2" w:rsidRDefault="004B67F2" w:rsidP="00DC0E93">
            <w:pPr>
              <w:pStyle w:val="rvps2"/>
              <w:spacing w:before="0" w:beforeAutospacing="0" w:after="0" w:afterAutospacing="0"/>
              <w:ind w:firstLine="170"/>
              <w:jc w:val="both"/>
            </w:pPr>
            <w:r w:rsidRPr="009647B2">
              <w:t>4) рішення про емісію облігацій, що повинно бути пронумероване, прошнуроване, підписане уповноваженою особою уповноваженого органу емітента;</w:t>
            </w:r>
          </w:p>
          <w:p w:rsidR="004B67F2" w:rsidRPr="009647B2" w:rsidRDefault="004B67F2" w:rsidP="00DC0E93">
            <w:pPr>
              <w:pStyle w:val="rvps2"/>
              <w:spacing w:before="0" w:beforeAutospacing="0" w:after="0" w:afterAutospacing="0"/>
              <w:ind w:firstLine="170"/>
              <w:jc w:val="both"/>
            </w:pPr>
            <w:r w:rsidRPr="009647B2">
              <w:t>Рішення про емісію облігацій внутрішніх місцевих позик має містити відомості згідно з додатком 6 до Положення 391 (у разі неоформлення проспекту облігацій) або згідно з додатком 7 до Положення 391 (у разі оформлення проспекту облігацій);</w:t>
            </w:r>
          </w:p>
          <w:p w:rsidR="004B67F2" w:rsidRPr="009647B2" w:rsidRDefault="004B67F2" w:rsidP="00DC0E93">
            <w:pPr>
              <w:pStyle w:val="rvps2"/>
              <w:spacing w:before="0" w:beforeAutospacing="0" w:after="0" w:afterAutospacing="0"/>
              <w:ind w:firstLine="170"/>
              <w:jc w:val="both"/>
            </w:pPr>
            <w:r w:rsidRPr="009647B2">
              <w:t xml:space="preserve">5) копію документа, що підтверджує погодження Міністерством фінансів України обсягу та умов здійснення запозичення, засвідчену в установленому порядку; </w:t>
            </w:r>
          </w:p>
          <w:p w:rsidR="004B67F2" w:rsidRPr="009647B2" w:rsidRDefault="004B67F2" w:rsidP="00DC0E93">
            <w:pPr>
              <w:pStyle w:val="rvps2"/>
              <w:spacing w:before="0" w:beforeAutospacing="0" w:after="0" w:afterAutospacing="0"/>
              <w:ind w:firstLine="170"/>
              <w:jc w:val="both"/>
            </w:pPr>
            <w:r w:rsidRPr="009647B2">
              <w:t>6) проспект облігацій (у разі оформлення емітентом проспекту облігацій при здійсненні розміщення облігацій шляхом публічної пропозиції) у двох примірниках, що має бути оформлений відповідно до Положення про здійснення публічної пропозиції цінних паперів.</w:t>
            </w:r>
          </w:p>
          <w:p w:rsidR="004B67F2" w:rsidRPr="009647B2" w:rsidRDefault="004B67F2" w:rsidP="00DC0E93">
            <w:pPr>
              <w:pStyle w:val="rvps2"/>
              <w:spacing w:before="0" w:beforeAutospacing="0" w:after="0" w:afterAutospacing="0"/>
              <w:ind w:firstLine="170"/>
              <w:jc w:val="both"/>
            </w:pPr>
            <w:r w:rsidRPr="009647B2">
              <w:rPr>
                <w:rStyle w:val="rvts0"/>
              </w:rPr>
              <w:t>У разі оформлення проспекту облігацій у випадках, встановлених реєструвальним органом,</w:t>
            </w:r>
            <w:r w:rsidRPr="009647B2">
              <w:rPr>
                <w:rStyle w:val="rvts0"/>
                <w:b/>
              </w:rPr>
              <w:t xml:space="preserve"> </w:t>
            </w:r>
            <w:r w:rsidRPr="009647B2">
              <w:rPr>
                <w:rStyle w:val="rvts0"/>
              </w:rPr>
              <w:t xml:space="preserve">проспект може на вибір емітента складатися з базового проспекту, що містить всю важливу інформацію про емітента, та документа про цінні папери (облігації), щодо яких здійснюється публічна пропозиція, разом з анотацією, оформлених відповідно до </w:t>
            </w:r>
            <w:r w:rsidRPr="009647B2">
              <w:t xml:space="preserve">вимог, встановлених </w:t>
            </w:r>
            <w:r w:rsidRPr="009647B2">
              <w:rPr>
                <w:shd w:val="solid" w:color="FFFFFF" w:fill="FFFFFF"/>
              </w:rPr>
              <w:t>нормативно-правовим актом реєструвального органу щодо здійснення публічної пропозиції цінних паперів</w:t>
            </w:r>
            <w:r w:rsidRPr="009647B2">
              <w:t>;</w:t>
            </w:r>
          </w:p>
          <w:p w:rsidR="004B67F2" w:rsidRPr="009647B2" w:rsidRDefault="004B67F2" w:rsidP="00DC0E93">
            <w:pPr>
              <w:pStyle w:val="rvps2"/>
              <w:spacing w:before="0" w:beforeAutospacing="0" w:after="0" w:afterAutospacing="0"/>
              <w:ind w:firstLine="170"/>
              <w:jc w:val="both"/>
            </w:pPr>
            <w:r w:rsidRPr="009647B2">
              <w:t>7) копію договору з Національним банком України про обслуговування випусків цінних паперів (у разі наявності), засвідчену в установленому порядку;</w:t>
            </w:r>
          </w:p>
          <w:p w:rsidR="004B67F2" w:rsidRPr="009647B2" w:rsidRDefault="004B67F2" w:rsidP="00DC0E93">
            <w:pPr>
              <w:pStyle w:val="rvps2"/>
              <w:spacing w:before="0" w:beforeAutospacing="0" w:after="0" w:afterAutospacing="0"/>
              <w:ind w:firstLine="170"/>
              <w:jc w:val="both"/>
            </w:pPr>
            <w:r w:rsidRPr="009647B2">
              <w:t xml:space="preserve">8) копії відповідних документів, що підтверджують надання емітентом повноважень уповноваженим органам та уповноваженим особам Ради підписувати документи, пов'язані зі здійсненням запозичень, засвідчені в установленому порядку; </w:t>
            </w:r>
          </w:p>
          <w:p w:rsidR="004B67F2" w:rsidRPr="009647B2" w:rsidRDefault="004B67F2" w:rsidP="00DC0E93">
            <w:pPr>
              <w:pStyle w:val="rvps2"/>
              <w:spacing w:before="0" w:beforeAutospacing="0" w:after="0" w:afterAutospacing="0"/>
              <w:ind w:firstLine="170"/>
              <w:jc w:val="both"/>
            </w:pPr>
            <w:r w:rsidRPr="009647B2">
              <w:t xml:space="preserve">9) нотаріально засвідчені копії договорів, що підтверджують відповідне забезпечення; фінансову звітність поручителя/гаранта у повному обсязі за звітний період, що передував кварталу, у якому подаються документи для реєстрації випуску облігацій, засвідчену підписами керівника поручителя/гаранта й аудитора (аудиторської фірми); фінансову звітність поручителя/гаранта за звітний рік, що передував року, в якому подаються документи для реєстрації випуску облігацій / реєстрації випуску облігацій та затвердження проспекту облігацій, засвідчену підписами поручителя/гаранта й аудитора (аудиторської фірми); відповідні аудиторські висновки; довідку з переліком раніше </w:t>
            </w:r>
            <w:r w:rsidRPr="009647B2">
              <w:lastRenderedPageBreak/>
              <w:t>наданих порук/гарантій, засвідчену підписом керівника поручителя/гаранта (подаються у разі прийняття рішення про емісію забезпечених облігацій);</w:t>
            </w:r>
          </w:p>
          <w:p w:rsidR="004B67F2" w:rsidRPr="009647B2" w:rsidRDefault="004B67F2" w:rsidP="00DC0E93">
            <w:pPr>
              <w:pStyle w:val="rvps2"/>
              <w:spacing w:before="0" w:beforeAutospacing="0" w:after="0" w:afterAutospacing="0"/>
              <w:ind w:firstLine="170"/>
              <w:jc w:val="both"/>
            </w:pPr>
            <w:r w:rsidRPr="009647B2">
              <w:t>10) копію договору андеррайтингу, засвідчену в установленому порядку (подається у разі, якщо емітент прийняв рішення про залучення андеррайтера(ів) до розміщення облігацій).</w:t>
            </w:r>
          </w:p>
          <w:p w:rsidR="004B67F2" w:rsidRPr="009647B2" w:rsidRDefault="004B67F2" w:rsidP="00DC0E93">
            <w:pPr>
              <w:pStyle w:val="ListParagraph"/>
              <w:ind w:left="0" w:firstLine="170"/>
              <w:jc w:val="both"/>
              <w:rPr>
                <w:color w:val="000000"/>
                <w:shd w:val="clear" w:color="auto" w:fill="FFFFFF"/>
                <w:lang w:val="uk-UA"/>
              </w:rPr>
            </w:pPr>
            <w:r w:rsidRPr="009647B2">
              <w:rPr>
                <w:shd w:val="clear" w:color="auto" w:fill="FFFFFF"/>
                <w:lang w:val="uk-UA"/>
              </w:rPr>
              <w:t xml:space="preserve">2. Якщо документи, зазначені у пункті 2 </w:t>
            </w:r>
            <w:r w:rsidRPr="009647B2">
              <w:rPr>
                <w:color w:val="000000"/>
                <w:shd w:val="clear" w:color="auto" w:fill="FFFFFF"/>
                <w:lang w:val="uk-UA"/>
              </w:rPr>
              <w:t xml:space="preserve">є у публічному доступі в результаті їх оприлюднення на веб-сайті емітента, емітент може не подавати паперових копій таких документів. </w:t>
            </w:r>
          </w:p>
          <w:p w:rsidR="004B67F2" w:rsidRPr="009647B2" w:rsidRDefault="004B67F2" w:rsidP="00DC0E93">
            <w:pPr>
              <w:pStyle w:val="a5"/>
              <w:spacing w:before="0" w:beforeAutospacing="0" w:after="0" w:afterAutospacing="0"/>
              <w:ind w:firstLine="170"/>
              <w:jc w:val="both"/>
            </w:pPr>
            <w:r w:rsidRPr="009647B2">
              <w:rPr>
                <w:color w:val="000000"/>
                <w:shd w:val="clear" w:color="auto" w:fill="FFFFFF"/>
              </w:rPr>
              <w:t xml:space="preserve">У такому разі емітент подає довідку, </w:t>
            </w:r>
            <w:r w:rsidRPr="009647B2">
              <w:t xml:space="preserve">підписану уповноваженою особою уповноваженого органу емітента, що </w:t>
            </w:r>
            <w:r w:rsidRPr="009647B2">
              <w:rPr>
                <w:color w:val="000000"/>
                <w:shd w:val="clear" w:color="auto" w:fill="FFFFFF"/>
              </w:rPr>
              <w:t>має містити посилання на веб-сторінку, на якій оприлюднено такі документи, яка включає універсальний покажчик місцезнаходження (Universal Resource Locator) (URL-адресу), доменне ім’я, місцезнаходження сторінки та назву файлу.</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lastRenderedPageBreak/>
              <w:t>9</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Платність (безоплатність) надання адміністративної послуги</w:t>
            </w:r>
          </w:p>
        </w:tc>
        <w:tc>
          <w:tcPr>
            <w:tcW w:w="3585" w:type="pct"/>
            <w:tcBorders>
              <w:top w:val="single" w:sz="4" w:space="0" w:color="auto"/>
              <w:left w:val="single" w:sz="4" w:space="0" w:color="auto"/>
              <w:bottom w:val="single" w:sz="4" w:space="0" w:color="auto"/>
              <w:right w:val="single" w:sz="4" w:space="0" w:color="auto"/>
            </w:tcBorders>
          </w:tcPr>
          <w:p w:rsidR="00673E98" w:rsidRDefault="00DA27F3" w:rsidP="00DA27F3">
            <w:pPr>
              <w:jc w:val="both"/>
            </w:pPr>
            <w:r w:rsidRPr="009647B2">
              <w:t xml:space="preserve">Послуга є платною. Відповідно до Рішення 620 розмір плати складає 14 000грн.   </w:t>
            </w:r>
          </w:p>
          <w:p w:rsidR="00E726E5" w:rsidRPr="009647B2" w:rsidRDefault="00E726E5" w:rsidP="00DA27F3">
            <w:pPr>
              <w:jc w:val="both"/>
            </w:pPr>
            <w:r w:rsidRPr="00E726E5">
              <w:t>Оплата здійснюється за кодом бюджетної класифікації 22010900.</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10</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Порядок та спосіб подання документів</w:t>
            </w:r>
          </w:p>
        </w:tc>
        <w:tc>
          <w:tcPr>
            <w:tcW w:w="3585" w:type="pct"/>
            <w:tcBorders>
              <w:top w:val="single" w:sz="4" w:space="0" w:color="auto"/>
              <w:left w:val="single" w:sz="4" w:space="0" w:color="auto"/>
              <w:bottom w:val="single" w:sz="4" w:space="0" w:color="auto"/>
              <w:right w:val="single" w:sz="4" w:space="0" w:color="auto"/>
            </w:tcBorders>
          </w:tcPr>
          <w:p w:rsidR="00673E98" w:rsidRPr="009647B2" w:rsidRDefault="00673E98" w:rsidP="008431E2">
            <w:pPr>
              <w:pStyle w:val="rvps2"/>
              <w:jc w:val="both"/>
            </w:pPr>
            <w:r w:rsidRPr="009647B2">
              <w:t>Суб’єкт звернення надсилає документи поштою або подає їх особисто до НКЦПФР.</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11</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Строк надання адміністративної послуги</w:t>
            </w:r>
          </w:p>
        </w:tc>
        <w:tc>
          <w:tcPr>
            <w:tcW w:w="3585" w:type="pct"/>
            <w:tcBorders>
              <w:top w:val="single" w:sz="4" w:space="0" w:color="auto"/>
              <w:left w:val="single" w:sz="4" w:space="0" w:color="auto"/>
              <w:bottom w:val="single" w:sz="4" w:space="0" w:color="auto"/>
              <w:right w:val="single" w:sz="4" w:space="0" w:color="auto"/>
            </w:tcBorders>
          </w:tcPr>
          <w:p w:rsidR="00520386" w:rsidRPr="009647B2" w:rsidRDefault="00520386" w:rsidP="00DC0E93">
            <w:pPr>
              <w:shd w:val="clear" w:color="auto" w:fill="FFFFFF"/>
              <w:ind w:firstLine="170"/>
              <w:jc w:val="both"/>
              <w:textAlignment w:val="baseline"/>
              <w:rPr>
                <w:color w:val="000000"/>
              </w:rPr>
            </w:pPr>
            <w:r w:rsidRPr="009647B2">
              <w:rPr>
                <w:color w:val="000000"/>
              </w:rPr>
              <w:t>Реєструвальний орган:</w:t>
            </w:r>
          </w:p>
          <w:p w:rsidR="004B67F2" w:rsidRPr="009647B2" w:rsidRDefault="004B67F2" w:rsidP="00DC0E93">
            <w:pPr>
              <w:shd w:val="clear" w:color="auto" w:fill="FFFFFF"/>
              <w:ind w:firstLine="170"/>
              <w:jc w:val="both"/>
              <w:textAlignment w:val="baseline"/>
              <w:rPr>
                <w:color w:val="000000"/>
              </w:rPr>
            </w:pPr>
            <w:r w:rsidRPr="009647B2">
              <w:rPr>
                <w:color w:val="000000"/>
              </w:rPr>
              <w:t xml:space="preserve">1) </w:t>
            </w:r>
            <w:r w:rsidRPr="009647B2">
              <w:t xml:space="preserve">здійснює реєстрацію випуску облігацій (без здійснення публічної пропозиції облігацій) або відмовляє </w:t>
            </w:r>
            <w:r w:rsidRPr="009647B2">
              <w:rPr>
                <w:color w:val="000000"/>
              </w:rPr>
              <w:t xml:space="preserve">у відповідній реєстрації протягом 25 робочих днів після надходження заяви, рішення про емісію облігацій і всіх необхідних документів для реєстрації випуску </w:t>
            </w:r>
            <w:r w:rsidRPr="009647B2">
              <w:t>облігацій</w:t>
            </w:r>
            <w:r w:rsidRPr="009647B2">
              <w:rPr>
                <w:color w:val="000000"/>
              </w:rPr>
              <w:t>;</w:t>
            </w:r>
          </w:p>
          <w:p w:rsidR="004B67F2" w:rsidRPr="009647B2" w:rsidRDefault="004B67F2" w:rsidP="00DC0E93">
            <w:pPr>
              <w:pStyle w:val="mcntrvps2"/>
              <w:shd w:val="clear" w:color="auto" w:fill="FFFFFF"/>
              <w:spacing w:before="0" w:beforeAutospacing="0" w:after="0" w:afterAutospacing="0"/>
              <w:ind w:firstLine="170"/>
              <w:jc w:val="both"/>
            </w:pPr>
            <w:r w:rsidRPr="009647B2">
              <w:t xml:space="preserve">2) </w:t>
            </w:r>
            <w:r w:rsidRPr="009647B2">
              <w:rPr>
                <w:rStyle w:val="mcntrvts0"/>
              </w:rPr>
              <w:t>з</w:t>
            </w:r>
            <w:r w:rsidRPr="009647B2">
              <w:rPr>
                <w:rStyle w:val="rvts0"/>
              </w:rPr>
              <w:t xml:space="preserve">дійснює реєстрацію випуску облігацій / реєстрацію випуску облігацій та затвердження проспекту облігацій (у разі здійснення публічної пропозиції облігацій) або відмовляє у відповідній реєстрації (затвердженні) після надання всіх необхідних документів </w:t>
            </w:r>
            <w:r w:rsidRPr="009647B2">
              <w:t xml:space="preserve">протягом: </w:t>
            </w:r>
          </w:p>
          <w:p w:rsidR="004B67F2" w:rsidRPr="009647B2" w:rsidRDefault="004B67F2" w:rsidP="00DC0E93">
            <w:pPr>
              <w:pStyle w:val="mcntrvps2"/>
              <w:shd w:val="clear" w:color="auto" w:fill="FFFFFF"/>
              <w:spacing w:before="0" w:beforeAutospacing="0" w:after="0" w:afterAutospacing="0"/>
              <w:ind w:firstLine="170"/>
              <w:jc w:val="both"/>
            </w:pPr>
            <w:r w:rsidRPr="009647B2">
              <w:t>20 робочих днів;</w:t>
            </w:r>
          </w:p>
          <w:p w:rsidR="00673E98" w:rsidRPr="009647B2" w:rsidRDefault="004B67F2" w:rsidP="00DC0E93">
            <w:pPr>
              <w:ind w:firstLine="170"/>
              <w:jc w:val="both"/>
            </w:pPr>
            <w:r w:rsidRPr="009647B2">
              <w:t>10 робочих днів – у разі якщо в емітента наявні облігації, допущені до торгів на фондовій біржі, та/або здійснювалася публічна пропозиція таких облігацій;</w:t>
            </w:r>
          </w:p>
        </w:tc>
      </w:tr>
      <w:tr w:rsidR="00673E98" w:rsidRPr="009647B2" w:rsidTr="00F91D70">
        <w:trPr>
          <w:trHeight w:val="627"/>
        </w:trPr>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12</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Результат надання адміністративної послуги</w:t>
            </w:r>
          </w:p>
        </w:tc>
        <w:tc>
          <w:tcPr>
            <w:tcW w:w="3585" w:type="pct"/>
            <w:tcBorders>
              <w:top w:val="single" w:sz="4" w:space="0" w:color="auto"/>
              <w:left w:val="single" w:sz="4" w:space="0" w:color="auto"/>
              <w:bottom w:val="single" w:sz="4" w:space="0" w:color="auto"/>
              <w:right w:val="single" w:sz="4" w:space="0" w:color="auto"/>
            </w:tcBorders>
          </w:tcPr>
          <w:p w:rsidR="00673E98" w:rsidRPr="009647B2" w:rsidRDefault="00520386" w:rsidP="00673E98">
            <w:pPr>
              <w:jc w:val="both"/>
              <w:rPr>
                <w:lang w:val="ru-RU"/>
              </w:rPr>
            </w:pPr>
            <w:r w:rsidRPr="009647B2">
              <w:t>Тимчасове свідоцтво про реєстрацію випуску облігацій внутрішніх місцевих позик встановленого зразка, тимчасове свідоцтво про реєстрацію випуску облігацій внутрішніх місцевих позик та затверджений проспект емісії облігацій внутрішніх місцевих позик засвідчений штампом або написом "ЗАТВЕРДЖЕНО", підписом уповноваженої особи та печаткою НКЦПФР.</w:t>
            </w:r>
          </w:p>
        </w:tc>
      </w:tr>
      <w:tr w:rsidR="00673E98" w:rsidRPr="009647B2" w:rsidTr="00F91D70">
        <w:tc>
          <w:tcPr>
            <w:tcW w:w="246" w:type="pct"/>
            <w:tcBorders>
              <w:top w:val="single" w:sz="4" w:space="0" w:color="auto"/>
              <w:left w:val="single" w:sz="4" w:space="0" w:color="auto"/>
              <w:bottom w:val="single" w:sz="4" w:space="0" w:color="auto"/>
              <w:right w:val="single" w:sz="4" w:space="0" w:color="auto"/>
            </w:tcBorders>
          </w:tcPr>
          <w:p w:rsidR="00673E98" w:rsidRPr="009647B2" w:rsidRDefault="00673E98" w:rsidP="00673E98">
            <w:pPr>
              <w:jc w:val="center"/>
            </w:pPr>
            <w:r w:rsidRPr="009647B2">
              <w:t>13</w:t>
            </w:r>
          </w:p>
        </w:tc>
        <w:tc>
          <w:tcPr>
            <w:tcW w:w="1170" w:type="pct"/>
            <w:tcBorders>
              <w:top w:val="single" w:sz="4" w:space="0" w:color="auto"/>
              <w:left w:val="single" w:sz="4" w:space="0" w:color="auto"/>
              <w:bottom w:val="single" w:sz="4" w:space="0" w:color="auto"/>
              <w:right w:val="single" w:sz="4" w:space="0" w:color="auto"/>
            </w:tcBorders>
          </w:tcPr>
          <w:p w:rsidR="00673E98" w:rsidRPr="009647B2" w:rsidRDefault="00673E98" w:rsidP="00673E98">
            <w:r w:rsidRPr="009647B2">
              <w:t>Способи отримання відповіді (результату)</w:t>
            </w:r>
          </w:p>
        </w:tc>
        <w:tc>
          <w:tcPr>
            <w:tcW w:w="3585" w:type="pct"/>
            <w:tcBorders>
              <w:top w:val="single" w:sz="4" w:space="0" w:color="auto"/>
              <w:left w:val="single" w:sz="4" w:space="0" w:color="auto"/>
              <w:bottom w:val="single" w:sz="4" w:space="0" w:color="auto"/>
              <w:right w:val="single" w:sz="4" w:space="0" w:color="auto"/>
            </w:tcBorders>
          </w:tcPr>
          <w:p w:rsidR="00673E98" w:rsidRPr="009647B2" w:rsidRDefault="00520386" w:rsidP="00673E98">
            <w:pPr>
              <w:jc w:val="both"/>
              <w:rPr>
                <w:bCs/>
              </w:rPr>
            </w:pPr>
            <w:r w:rsidRPr="009647B2">
              <w:t>Отримання тимчасового свідоцтва про реєстрацію випуску облігацій внутрішніх місцевих позик та оригіналів затверджених документів здійснюється заявником особисто або через уповноважену особу.</w:t>
            </w:r>
          </w:p>
        </w:tc>
      </w:tr>
    </w:tbl>
    <w:p w:rsidR="00FD6EAD" w:rsidRDefault="00FD6EAD" w:rsidP="00FD6EAD">
      <w:pPr>
        <w:pStyle w:val="a5"/>
        <w:spacing w:before="0" w:beforeAutospacing="0" w:after="0" w:afterAutospacing="0"/>
        <w:jc w:val="both"/>
      </w:pPr>
    </w:p>
    <w:p w:rsidR="00FD6EAD" w:rsidRDefault="00FD6EAD" w:rsidP="00FD6EAD">
      <w:pPr>
        <w:pStyle w:val="a5"/>
        <w:spacing w:before="0" w:beforeAutospacing="0" w:after="0" w:afterAutospacing="0"/>
        <w:jc w:val="both"/>
      </w:pPr>
      <w:r>
        <w:t xml:space="preserve">Примітки: </w:t>
      </w:r>
    </w:p>
    <w:p w:rsidR="00FD6EAD" w:rsidRDefault="00FD6EAD" w:rsidP="00FD6EAD">
      <w:pPr>
        <w:pStyle w:val="a5"/>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FD6EAD" w:rsidRDefault="00FD6EAD" w:rsidP="00FD6EAD">
      <w:pPr>
        <w:pStyle w:val="a5"/>
        <w:spacing w:before="0" w:beforeAutospacing="0" w:after="0" w:afterAutospacing="0"/>
        <w:jc w:val="both"/>
      </w:pPr>
      <w:r>
        <w:lastRenderedPageBreak/>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FD6EAD" w:rsidRDefault="00FD6EAD" w:rsidP="00FD6EAD">
      <w:pPr>
        <w:pStyle w:val="a5"/>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FD6EAD" w:rsidRDefault="00FD6EAD" w:rsidP="00FD6EAD">
      <w:pPr>
        <w:pStyle w:val="a5"/>
        <w:spacing w:before="0" w:beforeAutospacing="0" w:after="0" w:afterAutospacing="0"/>
        <w:jc w:val="both"/>
        <w:rPr>
          <w:spacing w:val="-16"/>
        </w:rPr>
      </w:pPr>
      <w:r>
        <w:t>Результати надання адміністративної послуги можуть бути оскаржені</w:t>
      </w:r>
      <w:bookmarkStart w:id="0" w:name="_GoBack"/>
      <w:bookmarkEnd w:id="0"/>
      <w:r>
        <w:t xml:space="preserve"> до суду в порядку, встановленому законом.</w:t>
      </w:r>
    </w:p>
    <w:p w:rsidR="00FD6EAD" w:rsidRDefault="00FD6EAD" w:rsidP="00FD6EAD">
      <w:pPr>
        <w:pStyle w:val="a5"/>
        <w:spacing w:before="0" w:beforeAutospacing="0" w:after="0" w:afterAutospacing="0"/>
        <w:jc w:val="both"/>
        <w:rPr>
          <w:color w:val="000000"/>
          <w:sz w:val="28"/>
          <w:szCs w:val="28"/>
        </w:rPr>
      </w:pPr>
    </w:p>
    <w:p w:rsidR="00FD6EAD" w:rsidRDefault="00FD6EAD" w:rsidP="00FD6EAD">
      <w:pPr>
        <w:pStyle w:val="a5"/>
        <w:spacing w:before="0" w:beforeAutospacing="0" w:after="0" w:afterAutospacing="0"/>
        <w:jc w:val="both"/>
        <w:rPr>
          <w:color w:val="000000"/>
          <w:sz w:val="28"/>
          <w:szCs w:val="28"/>
        </w:rPr>
      </w:pPr>
    </w:p>
    <w:p w:rsidR="00FD6EAD" w:rsidRDefault="00FD6EAD" w:rsidP="00FD6EAD">
      <w:pPr>
        <w:pStyle w:val="a5"/>
        <w:tabs>
          <w:tab w:val="left" w:pos="8472"/>
          <w:tab w:val="right" w:pos="9639"/>
        </w:tabs>
      </w:pPr>
    </w:p>
    <w:p w:rsidR="00DC0E93" w:rsidRPr="00DC0E93" w:rsidRDefault="00DC0E93" w:rsidP="0089655D">
      <w:pPr>
        <w:pStyle w:val="a5"/>
        <w:spacing w:before="0" w:beforeAutospacing="0" w:after="0" w:afterAutospacing="0"/>
        <w:jc w:val="both"/>
        <w:rPr>
          <w:color w:val="000000"/>
          <w:sz w:val="28"/>
          <w:szCs w:val="28"/>
        </w:rPr>
      </w:pPr>
    </w:p>
    <w:p w:rsidR="00DC0E93" w:rsidRDefault="00DC0E93" w:rsidP="00DC0E93">
      <w:pPr>
        <w:pStyle w:val="a5"/>
        <w:spacing w:before="0" w:beforeAutospacing="0" w:after="0" w:afterAutospacing="0"/>
        <w:jc w:val="both"/>
        <w:rPr>
          <w:b/>
        </w:rPr>
        <w:sectPr w:rsidR="00DC0E93" w:rsidSect="00DC0E93">
          <w:headerReference w:type="default" r:id="rId11"/>
          <w:pgSz w:w="11906" w:h="16838"/>
          <w:pgMar w:top="851" w:right="851" w:bottom="851" w:left="1701" w:header="510" w:footer="709" w:gutter="0"/>
          <w:cols w:space="708"/>
          <w:titlePg/>
          <w:docGrid w:linePitch="360"/>
        </w:sectPr>
      </w:pPr>
    </w:p>
    <w:p w:rsidR="00520386" w:rsidRDefault="00520386" w:rsidP="004B12DD">
      <w:pPr>
        <w:ind w:left="6480" w:right="282"/>
        <w:jc w:val="right"/>
        <w:rPr>
          <w:color w:val="000000"/>
          <w:shd w:val="clear" w:color="auto" w:fill="FFFFFF"/>
        </w:rPr>
      </w:pPr>
      <w:r w:rsidRPr="00F57097">
        <w:rPr>
          <w:color w:val="000000"/>
          <w:shd w:val="clear" w:color="auto" w:fill="FFFFFF"/>
        </w:rPr>
        <w:lastRenderedPageBreak/>
        <w:t xml:space="preserve">Додаток </w:t>
      </w:r>
      <w:r w:rsidR="00DC0E93">
        <w:rPr>
          <w:color w:val="000000"/>
          <w:shd w:val="clear" w:color="auto" w:fill="FFFFFF"/>
        </w:rPr>
        <w:t>1</w:t>
      </w:r>
    </w:p>
    <w:p w:rsidR="00520386" w:rsidRPr="00F57097" w:rsidRDefault="00520386" w:rsidP="00520386">
      <w:pPr>
        <w:ind w:left="6480"/>
        <w:rPr>
          <w:color w:val="000000"/>
          <w:shd w:val="clear" w:color="auto" w:fill="FFFFFF"/>
        </w:rPr>
      </w:pPr>
      <w:r w:rsidRPr="00F57097">
        <w:rPr>
          <w:color w:val="000000"/>
          <w:shd w:val="clear" w:color="auto" w:fill="FFFFFF"/>
        </w:rPr>
        <w:t xml:space="preserve"> </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090"/>
        <w:gridCol w:w="133"/>
        <w:gridCol w:w="131"/>
      </w:tblGrid>
      <w:tr w:rsidR="00520386" w:rsidRPr="00F57097" w:rsidTr="004B12DD">
        <w:trPr>
          <w:gridAfter w:val="1"/>
          <w:wAfter w:w="140" w:type="dxa"/>
          <w:jc w:val="center"/>
        </w:trPr>
        <w:tc>
          <w:tcPr>
            <w:tcW w:w="9781" w:type="dxa"/>
            <w:gridSpan w:val="2"/>
            <w:tcBorders>
              <w:top w:val="nil"/>
              <w:left w:val="nil"/>
              <w:bottom w:val="nil"/>
              <w:right w:val="nil"/>
            </w:tcBorders>
          </w:tcPr>
          <w:p w:rsidR="00520386" w:rsidRPr="00F57097" w:rsidRDefault="00520386" w:rsidP="004B12DD">
            <w:pPr>
              <w:pStyle w:val="rvps14"/>
              <w:spacing w:before="150" w:beforeAutospacing="0" w:after="150" w:afterAutospacing="0"/>
              <w:jc w:val="right"/>
              <w:textAlignment w:val="baseline"/>
            </w:pPr>
            <w:r w:rsidRPr="00F57097">
              <w:t>Національна комісія з цінних паперів</w:t>
            </w:r>
            <w:r w:rsidRPr="00F57097">
              <w:br/>
              <w:t>та фондового ринку</w:t>
            </w:r>
          </w:p>
        </w:tc>
      </w:tr>
      <w:tr w:rsidR="00520386" w:rsidRPr="00F57097" w:rsidTr="004B12DD">
        <w:trPr>
          <w:jc w:val="center"/>
        </w:trPr>
        <w:tc>
          <w:tcPr>
            <w:tcW w:w="9639" w:type="dxa"/>
            <w:tcBorders>
              <w:top w:val="nil"/>
              <w:left w:val="nil"/>
              <w:bottom w:val="nil"/>
              <w:right w:val="nil"/>
            </w:tcBorders>
          </w:tcPr>
          <w:p w:rsidR="00520386" w:rsidRPr="00F57097" w:rsidRDefault="00520386" w:rsidP="00520386">
            <w:pPr>
              <w:pStyle w:val="rvps14"/>
              <w:spacing w:before="0" w:beforeAutospacing="0" w:after="0" w:afterAutospacing="0"/>
              <w:textAlignment w:val="baseline"/>
            </w:pPr>
            <w:r>
              <w:t>«___»</w:t>
            </w:r>
            <w:r w:rsidRPr="00F57097">
              <w:t xml:space="preserve"> ________ 20___ року № ___ </w:t>
            </w:r>
          </w:p>
        </w:tc>
        <w:tc>
          <w:tcPr>
            <w:tcW w:w="282" w:type="dxa"/>
            <w:gridSpan w:val="2"/>
            <w:tcBorders>
              <w:top w:val="nil"/>
              <w:left w:val="nil"/>
              <w:bottom w:val="nil"/>
              <w:right w:val="nil"/>
            </w:tcBorders>
          </w:tcPr>
          <w:p w:rsidR="00520386" w:rsidRPr="00F57097" w:rsidRDefault="00520386" w:rsidP="00520386"/>
        </w:tc>
      </w:tr>
    </w:tbl>
    <w:p w:rsidR="004B12DD" w:rsidRDefault="004B12DD" w:rsidP="00520386">
      <w:pPr>
        <w:pStyle w:val="rvps7"/>
        <w:spacing w:before="0" w:beforeAutospacing="0" w:after="0" w:afterAutospacing="0"/>
        <w:ind w:left="450" w:right="450"/>
        <w:jc w:val="center"/>
        <w:textAlignment w:val="baseline"/>
        <w:rPr>
          <w:rStyle w:val="rvts15"/>
          <w:b/>
          <w:bCs/>
          <w:color w:val="000000"/>
          <w:sz w:val="22"/>
          <w:szCs w:val="22"/>
          <w:bdr w:val="none" w:sz="0" w:space="0" w:color="auto" w:frame="1"/>
        </w:rPr>
      </w:pPr>
    </w:p>
    <w:p w:rsidR="004B12DD" w:rsidRDefault="004B12DD" w:rsidP="00520386">
      <w:pPr>
        <w:pStyle w:val="rvps7"/>
        <w:spacing w:before="0" w:beforeAutospacing="0" w:after="0" w:afterAutospacing="0"/>
        <w:ind w:left="450" w:right="450"/>
        <w:jc w:val="center"/>
        <w:textAlignment w:val="baseline"/>
        <w:rPr>
          <w:rStyle w:val="rvts15"/>
          <w:b/>
          <w:bCs/>
          <w:color w:val="000000"/>
          <w:sz w:val="22"/>
          <w:szCs w:val="22"/>
          <w:bdr w:val="none" w:sz="0" w:space="0" w:color="auto" w:frame="1"/>
        </w:rPr>
      </w:pPr>
    </w:p>
    <w:p w:rsidR="00520386" w:rsidRPr="00F57097" w:rsidRDefault="00520386" w:rsidP="00520386">
      <w:pPr>
        <w:pStyle w:val="rvps7"/>
        <w:spacing w:before="0" w:beforeAutospacing="0" w:after="0" w:afterAutospacing="0"/>
        <w:ind w:left="450" w:right="450"/>
        <w:jc w:val="center"/>
        <w:textAlignment w:val="baseline"/>
        <w:rPr>
          <w:sz w:val="22"/>
          <w:szCs w:val="22"/>
        </w:rPr>
      </w:pPr>
      <w:r w:rsidRPr="00F57097">
        <w:rPr>
          <w:rStyle w:val="rvts15"/>
          <w:b/>
          <w:bCs/>
          <w:color w:val="000000"/>
          <w:sz w:val="22"/>
          <w:szCs w:val="22"/>
          <w:bdr w:val="none" w:sz="0" w:space="0" w:color="auto" w:frame="1"/>
        </w:rPr>
        <w:t>ЗАЯВА </w:t>
      </w:r>
      <w:r w:rsidRPr="00F57097">
        <w:rPr>
          <w:sz w:val="22"/>
          <w:szCs w:val="22"/>
        </w:rPr>
        <w:br/>
      </w:r>
      <w:r w:rsidRPr="00F57097">
        <w:rPr>
          <w:rStyle w:val="rvts15"/>
          <w:b/>
          <w:bCs/>
          <w:color w:val="000000"/>
          <w:sz w:val="22"/>
          <w:szCs w:val="22"/>
          <w:bdr w:val="none" w:sz="0" w:space="0" w:color="auto" w:frame="1"/>
        </w:rPr>
        <w:t>про реєстрацію випуску</w:t>
      </w:r>
      <w:r>
        <w:rPr>
          <w:rStyle w:val="rvts15"/>
          <w:b/>
          <w:bCs/>
          <w:color w:val="000000"/>
          <w:sz w:val="22"/>
          <w:szCs w:val="22"/>
          <w:bdr w:val="none" w:sz="0" w:space="0" w:color="auto" w:frame="1"/>
        </w:rPr>
        <w:t xml:space="preserve"> </w:t>
      </w:r>
      <w:r w:rsidRPr="00F57097">
        <w:rPr>
          <w:rStyle w:val="rvts15"/>
          <w:b/>
          <w:bCs/>
          <w:color w:val="000000"/>
          <w:sz w:val="22"/>
          <w:szCs w:val="22"/>
          <w:bdr w:val="none" w:sz="0" w:space="0" w:color="auto" w:frame="1"/>
        </w:rPr>
        <w:t>/</w:t>
      </w:r>
      <w:r>
        <w:rPr>
          <w:rStyle w:val="rvts15"/>
          <w:b/>
          <w:bCs/>
          <w:color w:val="000000"/>
          <w:sz w:val="22"/>
          <w:szCs w:val="22"/>
          <w:bdr w:val="none" w:sz="0" w:space="0" w:color="auto" w:frame="1"/>
        </w:rPr>
        <w:t xml:space="preserve"> </w:t>
      </w:r>
      <w:r w:rsidRPr="00F57097">
        <w:rPr>
          <w:rStyle w:val="rvts15"/>
          <w:b/>
          <w:bCs/>
          <w:color w:val="000000"/>
          <w:sz w:val="22"/>
          <w:szCs w:val="22"/>
          <w:bdr w:val="none" w:sz="0" w:space="0" w:color="auto" w:frame="1"/>
        </w:rPr>
        <w:t>реєстрацію випуску та затвердження проспекту облігацій внутрішніх місцевих позик</w:t>
      </w:r>
    </w:p>
    <w:tbl>
      <w:tblPr>
        <w:tblW w:w="4854"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2257"/>
        <w:gridCol w:w="4235"/>
        <w:gridCol w:w="2573"/>
      </w:tblGrid>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Повне найменування емітента</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Код за ЄДРПОУ</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Місцезнаходження</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Засоби зв’язку (телефон, факс, електронна пошта)</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Спосіб розміщення облігацій внутрішніх місцевих позик (шляхом публічної пропозиції, без здійснення публічної пропозиції)</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Орган, який прийняв рішення про емісію облігацій внутрішніх місцевих позик</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Дата</w:t>
            </w:r>
            <w:r>
              <w:rPr>
                <w:sz w:val="22"/>
                <w:szCs w:val="22"/>
              </w:rPr>
              <w:t xml:space="preserve">, </w:t>
            </w:r>
            <w:r w:rsidRPr="00F57097">
              <w:rPr>
                <w:sz w:val="22"/>
                <w:szCs w:val="22"/>
              </w:rPr>
              <w:t>номер рішення про емісію облігацій внутрішніх місцевих позик</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Дата реєстрації базового проспекту облігацій внутрішніх місцевих позик (у разі його наявності)</w:t>
            </w:r>
            <w:r>
              <w:rPr>
                <w:sz w:val="22"/>
                <w:szCs w:val="22"/>
              </w:rPr>
              <w:t>,</w:t>
            </w:r>
            <w:r w:rsidRPr="00F57097">
              <w:rPr>
                <w:sz w:val="22"/>
                <w:szCs w:val="22"/>
              </w:rPr>
              <w:t xml:space="preserve"> дата реєстрації останніх змін до проспекту облігацій внутрішніх місцевих позик (якщо такі зміни вносились)</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Загальна номінальна вартість облігацій внутрішніх місцевих позик, які планується розмістити</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Загальна кількість облігацій внутрішніх місцевих позик, які планується розмістити</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Характеристика облігацій внутрішніх місцевих позик: іменні; відсоткові/дисконтні; звичайні (незабезпечені)/забезпечені</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3581" w:type="pct"/>
            <w:gridSpan w:val="2"/>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pStyle w:val="rvps14"/>
              <w:spacing w:before="150" w:beforeAutospacing="0" w:after="150" w:afterAutospacing="0"/>
              <w:textAlignment w:val="baseline"/>
              <w:rPr>
                <w:sz w:val="22"/>
                <w:szCs w:val="22"/>
              </w:rPr>
            </w:pPr>
            <w:r w:rsidRPr="00F57097">
              <w:rPr>
                <w:sz w:val="22"/>
                <w:szCs w:val="22"/>
              </w:rPr>
              <w:t>Номінальна вартість облігації внутрішніх місцевих позик</w:t>
            </w:r>
          </w:p>
        </w:tc>
        <w:tc>
          <w:tcPr>
            <w:tcW w:w="1419" w:type="pct"/>
            <w:tcBorders>
              <w:top w:val="single" w:sz="6" w:space="0" w:color="000000"/>
              <w:left w:val="single" w:sz="6" w:space="0" w:color="000000"/>
              <w:bottom w:val="single" w:sz="6" w:space="0" w:color="000000"/>
              <w:right w:val="single" w:sz="6" w:space="0" w:color="000000"/>
            </w:tcBorders>
          </w:tcPr>
          <w:p w:rsidR="00520386" w:rsidRPr="00F57097" w:rsidRDefault="00520386" w:rsidP="00520386">
            <w:pPr>
              <w:rPr>
                <w:sz w:val="22"/>
                <w:szCs w:val="22"/>
              </w:rPr>
            </w:pPr>
          </w:p>
        </w:tc>
      </w:tr>
      <w:tr w:rsidR="00520386" w:rsidRPr="00F57097" w:rsidTr="004B12DD">
        <w:tc>
          <w:tcPr>
            <w:tcW w:w="1245" w:type="pct"/>
            <w:tcBorders>
              <w:top w:val="nil"/>
              <w:left w:val="nil"/>
              <w:bottom w:val="nil"/>
              <w:right w:val="nil"/>
            </w:tcBorders>
          </w:tcPr>
          <w:p w:rsidR="00520386" w:rsidRPr="00F57097" w:rsidRDefault="00520386" w:rsidP="00520386">
            <w:pPr>
              <w:pStyle w:val="rvps12"/>
              <w:spacing w:before="0" w:beforeAutospacing="0" w:after="0" w:afterAutospacing="0"/>
              <w:jc w:val="center"/>
              <w:textAlignment w:val="baseline"/>
              <w:rPr>
                <w:rStyle w:val="rvts82"/>
                <w:color w:val="000000"/>
                <w:sz w:val="20"/>
                <w:szCs w:val="20"/>
                <w:bdr w:val="none" w:sz="0" w:space="0" w:color="auto" w:frame="1"/>
              </w:rPr>
            </w:pPr>
          </w:p>
          <w:p w:rsidR="00520386" w:rsidRPr="00F57097" w:rsidRDefault="00520386" w:rsidP="00520386">
            <w:pPr>
              <w:pStyle w:val="rvps12"/>
              <w:spacing w:before="0" w:beforeAutospacing="0" w:after="0" w:afterAutospacing="0"/>
              <w:jc w:val="center"/>
              <w:textAlignment w:val="baseline"/>
              <w:rPr>
                <w:rStyle w:val="rvts82"/>
                <w:color w:val="000000"/>
                <w:sz w:val="20"/>
                <w:szCs w:val="20"/>
                <w:bdr w:val="none" w:sz="0" w:space="0" w:color="auto" w:frame="1"/>
              </w:rPr>
            </w:pPr>
          </w:p>
          <w:p w:rsidR="00520386" w:rsidRPr="00F57097" w:rsidRDefault="00520386" w:rsidP="00520386">
            <w:pPr>
              <w:pStyle w:val="rvps12"/>
              <w:spacing w:before="0" w:beforeAutospacing="0" w:after="0" w:afterAutospacing="0"/>
              <w:jc w:val="center"/>
              <w:textAlignment w:val="baseline"/>
            </w:pPr>
            <w:r w:rsidRPr="00F57097">
              <w:rPr>
                <w:rStyle w:val="rvts82"/>
                <w:color w:val="000000"/>
                <w:sz w:val="20"/>
                <w:szCs w:val="20"/>
                <w:bdr w:val="none" w:sz="0" w:space="0" w:color="auto" w:frame="1"/>
              </w:rPr>
              <w:t>___________________</w:t>
            </w:r>
            <w:r w:rsidRPr="00F57097">
              <w:t> </w:t>
            </w:r>
            <w:r w:rsidRPr="00F57097">
              <w:br/>
            </w:r>
            <w:r w:rsidRPr="00F57097">
              <w:rPr>
                <w:rStyle w:val="rvts82"/>
                <w:color w:val="000000"/>
                <w:sz w:val="20"/>
                <w:szCs w:val="20"/>
                <w:bdr w:val="none" w:sz="0" w:space="0" w:color="auto" w:frame="1"/>
              </w:rPr>
              <w:t>(посада)</w:t>
            </w:r>
          </w:p>
        </w:tc>
        <w:tc>
          <w:tcPr>
            <w:tcW w:w="2336" w:type="pct"/>
            <w:tcBorders>
              <w:top w:val="nil"/>
              <w:left w:val="nil"/>
              <w:bottom w:val="nil"/>
              <w:right w:val="nil"/>
            </w:tcBorders>
          </w:tcPr>
          <w:p w:rsidR="00520386" w:rsidRPr="00F57097" w:rsidRDefault="00520386" w:rsidP="00520386">
            <w:pPr>
              <w:pStyle w:val="rvps12"/>
              <w:spacing w:before="0" w:beforeAutospacing="0" w:after="0" w:afterAutospacing="0"/>
              <w:jc w:val="center"/>
              <w:textAlignment w:val="baseline"/>
              <w:rPr>
                <w:rStyle w:val="rvts82"/>
                <w:color w:val="000000"/>
                <w:sz w:val="20"/>
                <w:szCs w:val="20"/>
                <w:bdr w:val="none" w:sz="0" w:space="0" w:color="auto" w:frame="1"/>
              </w:rPr>
            </w:pPr>
          </w:p>
          <w:p w:rsidR="00520386" w:rsidRPr="00F57097" w:rsidRDefault="00520386" w:rsidP="00520386">
            <w:pPr>
              <w:pStyle w:val="rvps12"/>
              <w:spacing w:before="0" w:beforeAutospacing="0" w:after="0" w:afterAutospacing="0"/>
              <w:jc w:val="center"/>
              <w:textAlignment w:val="baseline"/>
              <w:rPr>
                <w:rStyle w:val="rvts82"/>
                <w:color w:val="000000"/>
                <w:sz w:val="20"/>
                <w:szCs w:val="20"/>
                <w:bdr w:val="none" w:sz="0" w:space="0" w:color="auto" w:frame="1"/>
              </w:rPr>
            </w:pPr>
          </w:p>
          <w:p w:rsidR="00520386" w:rsidRPr="00F57097" w:rsidRDefault="00520386" w:rsidP="00520386">
            <w:pPr>
              <w:pStyle w:val="rvps12"/>
              <w:spacing w:before="0" w:beforeAutospacing="0" w:after="0" w:afterAutospacing="0"/>
              <w:jc w:val="center"/>
              <w:textAlignment w:val="baseline"/>
            </w:pPr>
            <w:r w:rsidRPr="00F57097">
              <w:rPr>
                <w:rStyle w:val="rvts82"/>
                <w:color w:val="000000"/>
                <w:sz w:val="20"/>
                <w:szCs w:val="20"/>
                <w:bdr w:val="none" w:sz="0" w:space="0" w:color="auto" w:frame="1"/>
              </w:rPr>
              <w:t>___________</w:t>
            </w:r>
            <w:r w:rsidRPr="00F57097">
              <w:t> </w:t>
            </w:r>
            <w:r w:rsidRPr="00F57097">
              <w:br/>
            </w:r>
            <w:r w:rsidRPr="00F57097">
              <w:rPr>
                <w:rStyle w:val="rvts82"/>
                <w:color w:val="000000"/>
                <w:sz w:val="20"/>
                <w:szCs w:val="20"/>
                <w:bdr w:val="none" w:sz="0" w:space="0" w:color="auto" w:frame="1"/>
              </w:rPr>
              <w:t>(підпис)</w:t>
            </w:r>
          </w:p>
        </w:tc>
        <w:tc>
          <w:tcPr>
            <w:tcW w:w="1419" w:type="pct"/>
            <w:tcBorders>
              <w:top w:val="nil"/>
              <w:left w:val="nil"/>
              <w:bottom w:val="nil"/>
              <w:right w:val="nil"/>
            </w:tcBorders>
          </w:tcPr>
          <w:p w:rsidR="00520386" w:rsidRPr="00F57097" w:rsidRDefault="00520386" w:rsidP="00520386">
            <w:pPr>
              <w:pStyle w:val="rvps12"/>
              <w:spacing w:before="0" w:beforeAutospacing="0" w:after="0" w:afterAutospacing="0"/>
              <w:jc w:val="center"/>
              <w:textAlignment w:val="baseline"/>
              <w:rPr>
                <w:rStyle w:val="rvts82"/>
                <w:color w:val="000000"/>
                <w:sz w:val="20"/>
                <w:szCs w:val="20"/>
                <w:bdr w:val="none" w:sz="0" w:space="0" w:color="auto" w:frame="1"/>
              </w:rPr>
            </w:pPr>
          </w:p>
          <w:p w:rsidR="00520386" w:rsidRPr="00F57097" w:rsidRDefault="00520386" w:rsidP="00520386">
            <w:pPr>
              <w:pStyle w:val="rvps12"/>
              <w:spacing w:before="0" w:beforeAutospacing="0" w:after="0" w:afterAutospacing="0"/>
              <w:jc w:val="center"/>
              <w:textAlignment w:val="baseline"/>
              <w:rPr>
                <w:rStyle w:val="rvts82"/>
                <w:color w:val="000000"/>
                <w:sz w:val="20"/>
                <w:szCs w:val="20"/>
                <w:bdr w:val="none" w:sz="0" w:space="0" w:color="auto" w:frame="1"/>
              </w:rPr>
            </w:pPr>
          </w:p>
          <w:p w:rsidR="00520386" w:rsidRPr="00F57097" w:rsidRDefault="00520386" w:rsidP="00520386">
            <w:pPr>
              <w:pStyle w:val="rvps12"/>
              <w:spacing w:before="0" w:beforeAutospacing="0" w:after="0" w:afterAutospacing="0"/>
              <w:jc w:val="center"/>
              <w:textAlignment w:val="baseline"/>
              <w:rPr>
                <w:color w:val="000000"/>
                <w:sz w:val="20"/>
                <w:szCs w:val="20"/>
                <w:bdr w:val="none" w:sz="0" w:space="0" w:color="auto" w:frame="1"/>
              </w:rPr>
            </w:pPr>
            <w:r w:rsidRPr="00F57097">
              <w:rPr>
                <w:rStyle w:val="rvts82"/>
                <w:color w:val="000000"/>
                <w:sz w:val="20"/>
                <w:szCs w:val="20"/>
                <w:bdr w:val="none" w:sz="0" w:space="0" w:color="auto" w:frame="1"/>
              </w:rPr>
              <w:t>_________________________</w:t>
            </w:r>
            <w:r w:rsidRPr="00F57097">
              <w:br/>
            </w:r>
            <w:r w:rsidRPr="00F57097">
              <w:rPr>
                <w:rStyle w:val="rvts82"/>
                <w:color w:val="000000"/>
                <w:sz w:val="20"/>
                <w:szCs w:val="20"/>
                <w:bdr w:val="none" w:sz="0" w:space="0" w:color="auto" w:frame="1"/>
              </w:rPr>
              <w:t>(прізвище, ім'я, по батькові)</w:t>
            </w:r>
          </w:p>
        </w:tc>
      </w:tr>
      <w:tr w:rsidR="00520386" w:rsidRPr="00F57097" w:rsidTr="004B12DD">
        <w:tc>
          <w:tcPr>
            <w:tcW w:w="1245" w:type="pct"/>
            <w:tcBorders>
              <w:top w:val="nil"/>
              <w:left w:val="nil"/>
              <w:bottom w:val="nil"/>
              <w:right w:val="nil"/>
            </w:tcBorders>
            <w:shd w:val="clear" w:color="auto" w:fill="FFFFFF"/>
          </w:tcPr>
          <w:p w:rsidR="00520386" w:rsidRPr="00F57097" w:rsidRDefault="00520386" w:rsidP="00520386"/>
        </w:tc>
        <w:tc>
          <w:tcPr>
            <w:tcW w:w="2336" w:type="pct"/>
            <w:tcBorders>
              <w:top w:val="nil"/>
              <w:left w:val="nil"/>
              <w:bottom w:val="nil"/>
              <w:right w:val="nil"/>
            </w:tcBorders>
            <w:shd w:val="clear" w:color="auto" w:fill="FFFFFF"/>
          </w:tcPr>
          <w:p w:rsidR="00520386" w:rsidRPr="00F57097" w:rsidRDefault="00520386" w:rsidP="00520386">
            <w:pPr>
              <w:pStyle w:val="rvps12"/>
              <w:spacing w:before="150" w:beforeAutospacing="0" w:after="150" w:afterAutospacing="0"/>
              <w:jc w:val="center"/>
              <w:textAlignment w:val="baseline"/>
              <w:rPr>
                <w:color w:val="000000"/>
              </w:rPr>
            </w:pPr>
          </w:p>
        </w:tc>
        <w:tc>
          <w:tcPr>
            <w:tcW w:w="1419" w:type="pct"/>
            <w:tcBorders>
              <w:top w:val="nil"/>
              <w:left w:val="nil"/>
              <w:bottom w:val="nil"/>
              <w:right w:val="nil"/>
            </w:tcBorders>
            <w:shd w:val="clear" w:color="auto" w:fill="FFFFFF"/>
          </w:tcPr>
          <w:p w:rsidR="00520386" w:rsidRPr="00F57097" w:rsidRDefault="00520386" w:rsidP="00520386">
            <w:pPr>
              <w:jc w:val="both"/>
              <w:rPr>
                <w:color w:val="000000"/>
              </w:rPr>
            </w:pPr>
          </w:p>
        </w:tc>
      </w:tr>
    </w:tbl>
    <w:p w:rsidR="00520386" w:rsidRDefault="00520386" w:rsidP="00520386">
      <w:pPr>
        <w:jc w:val="right"/>
      </w:pPr>
    </w:p>
    <w:sectPr w:rsidR="00520386" w:rsidSect="00DC0E93">
      <w:pgSz w:w="11906" w:h="16838"/>
      <w:pgMar w:top="851" w:right="851" w:bottom="851"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42C" w:rsidRDefault="005B642C" w:rsidP="000610DF">
      <w:r>
        <w:separator/>
      </w:r>
    </w:p>
  </w:endnote>
  <w:endnote w:type="continuationSeparator" w:id="0">
    <w:p w:rsidR="005B642C" w:rsidRDefault="005B642C" w:rsidP="0006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42C" w:rsidRDefault="005B642C" w:rsidP="000610DF">
      <w:r>
        <w:separator/>
      </w:r>
    </w:p>
  </w:footnote>
  <w:footnote w:type="continuationSeparator" w:id="0">
    <w:p w:rsidR="005B642C" w:rsidRDefault="005B642C" w:rsidP="0006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DF" w:rsidRDefault="000610DF" w:rsidP="000610DF">
    <w:pPr>
      <w:pStyle w:val="a9"/>
      <w:jc w:val="center"/>
    </w:pPr>
    <w:r>
      <w:fldChar w:fldCharType="begin"/>
    </w:r>
    <w:r>
      <w:instrText>PAGE   \* MERGEFORMAT</w:instrText>
    </w:r>
    <w:r>
      <w:fldChar w:fldCharType="separate"/>
    </w:r>
    <w:r w:rsidR="00F91D70">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10732"/>
    <w:rsid w:val="00013C34"/>
    <w:rsid w:val="000349E5"/>
    <w:rsid w:val="00060C12"/>
    <w:rsid w:val="000610DF"/>
    <w:rsid w:val="00072742"/>
    <w:rsid w:val="00087A75"/>
    <w:rsid w:val="00091720"/>
    <w:rsid w:val="000A7164"/>
    <w:rsid w:val="000D6ABF"/>
    <w:rsid w:val="000F2D4A"/>
    <w:rsid w:val="00132756"/>
    <w:rsid w:val="00151E8A"/>
    <w:rsid w:val="0018272A"/>
    <w:rsid w:val="001B4B0F"/>
    <w:rsid w:val="001B79DE"/>
    <w:rsid w:val="001D04BE"/>
    <w:rsid w:val="001D3544"/>
    <w:rsid w:val="00203B1A"/>
    <w:rsid w:val="0022603C"/>
    <w:rsid w:val="00240EBB"/>
    <w:rsid w:val="00261E49"/>
    <w:rsid w:val="0026461F"/>
    <w:rsid w:val="002A1000"/>
    <w:rsid w:val="002F6736"/>
    <w:rsid w:val="003230DA"/>
    <w:rsid w:val="0033665B"/>
    <w:rsid w:val="0036708C"/>
    <w:rsid w:val="00377E0A"/>
    <w:rsid w:val="003A3CC7"/>
    <w:rsid w:val="003B665F"/>
    <w:rsid w:val="004014BE"/>
    <w:rsid w:val="00405977"/>
    <w:rsid w:val="00466D5A"/>
    <w:rsid w:val="00473DA2"/>
    <w:rsid w:val="004751DD"/>
    <w:rsid w:val="004821D5"/>
    <w:rsid w:val="00487DB1"/>
    <w:rsid w:val="004924E6"/>
    <w:rsid w:val="004B12DD"/>
    <w:rsid w:val="004B67F2"/>
    <w:rsid w:val="00504102"/>
    <w:rsid w:val="00520386"/>
    <w:rsid w:val="00523932"/>
    <w:rsid w:val="0052545E"/>
    <w:rsid w:val="00546400"/>
    <w:rsid w:val="00550DAA"/>
    <w:rsid w:val="00566EC9"/>
    <w:rsid w:val="00576511"/>
    <w:rsid w:val="00576D53"/>
    <w:rsid w:val="00586273"/>
    <w:rsid w:val="005934D1"/>
    <w:rsid w:val="005970EA"/>
    <w:rsid w:val="005B642C"/>
    <w:rsid w:val="005D2130"/>
    <w:rsid w:val="0060034D"/>
    <w:rsid w:val="00625AE0"/>
    <w:rsid w:val="00635B9C"/>
    <w:rsid w:val="00655A0C"/>
    <w:rsid w:val="00657905"/>
    <w:rsid w:val="006601DA"/>
    <w:rsid w:val="00663BA2"/>
    <w:rsid w:val="0066688F"/>
    <w:rsid w:val="00673E98"/>
    <w:rsid w:val="00743FC3"/>
    <w:rsid w:val="0076731E"/>
    <w:rsid w:val="0078159B"/>
    <w:rsid w:val="00784293"/>
    <w:rsid w:val="00795B03"/>
    <w:rsid w:val="007A4557"/>
    <w:rsid w:val="007B005D"/>
    <w:rsid w:val="007B7746"/>
    <w:rsid w:val="008431E2"/>
    <w:rsid w:val="0084446E"/>
    <w:rsid w:val="00845D77"/>
    <w:rsid w:val="00846BBE"/>
    <w:rsid w:val="0085232C"/>
    <w:rsid w:val="008827C5"/>
    <w:rsid w:val="008921CA"/>
    <w:rsid w:val="0089655D"/>
    <w:rsid w:val="008A5623"/>
    <w:rsid w:val="008B0BB0"/>
    <w:rsid w:val="008B30A9"/>
    <w:rsid w:val="008D5BB9"/>
    <w:rsid w:val="008E62B7"/>
    <w:rsid w:val="0092187D"/>
    <w:rsid w:val="009250DA"/>
    <w:rsid w:val="0092569E"/>
    <w:rsid w:val="009647B2"/>
    <w:rsid w:val="00967ADA"/>
    <w:rsid w:val="00984F77"/>
    <w:rsid w:val="00986DB8"/>
    <w:rsid w:val="00991BD2"/>
    <w:rsid w:val="009979BE"/>
    <w:rsid w:val="009A0A45"/>
    <w:rsid w:val="009D2AE6"/>
    <w:rsid w:val="009D6BF0"/>
    <w:rsid w:val="009F060B"/>
    <w:rsid w:val="00A024BC"/>
    <w:rsid w:val="00A573EA"/>
    <w:rsid w:val="00A6455E"/>
    <w:rsid w:val="00A652E8"/>
    <w:rsid w:val="00AA78B5"/>
    <w:rsid w:val="00AB0832"/>
    <w:rsid w:val="00AC469E"/>
    <w:rsid w:val="00AC61B9"/>
    <w:rsid w:val="00AE6078"/>
    <w:rsid w:val="00AE7062"/>
    <w:rsid w:val="00B43FB9"/>
    <w:rsid w:val="00B4551F"/>
    <w:rsid w:val="00BC7E02"/>
    <w:rsid w:val="00BD47E9"/>
    <w:rsid w:val="00BE2D80"/>
    <w:rsid w:val="00C25216"/>
    <w:rsid w:val="00C3136C"/>
    <w:rsid w:val="00C6704A"/>
    <w:rsid w:val="00CC3E08"/>
    <w:rsid w:val="00CD1604"/>
    <w:rsid w:val="00CE23E4"/>
    <w:rsid w:val="00CE3FBE"/>
    <w:rsid w:val="00CE5B92"/>
    <w:rsid w:val="00CF6027"/>
    <w:rsid w:val="00D00AEE"/>
    <w:rsid w:val="00D04D24"/>
    <w:rsid w:val="00D237D7"/>
    <w:rsid w:val="00D314C8"/>
    <w:rsid w:val="00D36AF5"/>
    <w:rsid w:val="00D44083"/>
    <w:rsid w:val="00DA27F3"/>
    <w:rsid w:val="00DB5610"/>
    <w:rsid w:val="00DC0E93"/>
    <w:rsid w:val="00DC2CA9"/>
    <w:rsid w:val="00DE2995"/>
    <w:rsid w:val="00DF7D78"/>
    <w:rsid w:val="00E151F5"/>
    <w:rsid w:val="00E22024"/>
    <w:rsid w:val="00E406DB"/>
    <w:rsid w:val="00E63310"/>
    <w:rsid w:val="00E646D2"/>
    <w:rsid w:val="00E722BA"/>
    <w:rsid w:val="00E726E5"/>
    <w:rsid w:val="00E75851"/>
    <w:rsid w:val="00E85BB8"/>
    <w:rsid w:val="00E94AF5"/>
    <w:rsid w:val="00E9522E"/>
    <w:rsid w:val="00EA3D20"/>
    <w:rsid w:val="00ED7566"/>
    <w:rsid w:val="00EE62D7"/>
    <w:rsid w:val="00F41960"/>
    <w:rsid w:val="00F635CE"/>
    <w:rsid w:val="00F90A02"/>
    <w:rsid w:val="00F91D70"/>
    <w:rsid w:val="00F92F9A"/>
    <w:rsid w:val="00FA2BE0"/>
    <w:rsid w:val="00FA5305"/>
    <w:rsid w:val="00FD6EAD"/>
    <w:rsid w:val="00FF254A"/>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5B12D-06D6-4AF7-A379-A3676AD7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 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paragraph" w:customStyle="1" w:styleId="ListParagraph">
    <w:name w:val="List Paragraph"/>
    <w:basedOn w:val="a"/>
    <w:rsid w:val="004B67F2"/>
    <w:pPr>
      <w:ind w:left="720"/>
      <w:contextualSpacing/>
    </w:pPr>
    <w:rPr>
      <w:rFonts w:eastAsia="Calibri"/>
      <w:lang w:val="ru-RU" w:eastAsia="ru-RU"/>
    </w:rPr>
  </w:style>
  <w:style w:type="paragraph" w:customStyle="1" w:styleId="mcntrvps2">
    <w:name w:val="mcntrvps2"/>
    <w:basedOn w:val="a"/>
    <w:rsid w:val="004B67F2"/>
    <w:pPr>
      <w:spacing w:before="100" w:beforeAutospacing="1" w:after="100" w:afterAutospacing="1"/>
    </w:pPr>
  </w:style>
  <w:style w:type="character" w:customStyle="1" w:styleId="mcntrvts0">
    <w:name w:val="mcntrvts0"/>
    <w:rsid w:val="004B67F2"/>
  </w:style>
  <w:style w:type="paragraph" w:styleId="a9">
    <w:name w:val="header"/>
    <w:basedOn w:val="a"/>
    <w:link w:val="aa"/>
    <w:rsid w:val="000610DF"/>
    <w:pPr>
      <w:tabs>
        <w:tab w:val="center" w:pos="4819"/>
        <w:tab w:val="right" w:pos="9639"/>
      </w:tabs>
    </w:pPr>
  </w:style>
  <w:style w:type="character" w:customStyle="1" w:styleId="aa">
    <w:name w:val="Верхній колонтитул Знак"/>
    <w:link w:val="a9"/>
    <w:rsid w:val="000610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24241">
      <w:bodyDiv w:val="1"/>
      <w:marLeft w:val="0"/>
      <w:marRight w:val="0"/>
      <w:marTop w:val="0"/>
      <w:marBottom w:val="0"/>
      <w:divBdr>
        <w:top w:val="none" w:sz="0" w:space="0" w:color="auto"/>
        <w:left w:val="none" w:sz="0" w:space="0" w:color="auto"/>
        <w:bottom w:val="none" w:sz="0" w:space="0" w:color="auto"/>
        <w:right w:val="none" w:sz="0" w:space="0" w:color="auto"/>
      </w:divBdr>
    </w:div>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391464610">
      <w:bodyDiv w:val="1"/>
      <w:marLeft w:val="0"/>
      <w:marRight w:val="0"/>
      <w:marTop w:val="0"/>
      <w:marBottom w:val="0"/>
      <w:divBdr>
        <w:top w:val="none" w:sz="0" w:space="0" w:color="auto"/>
        <w:left w:val="none" w:sz="0" w:space="0" w:color="auto"/>
        <w:bottom w:val="none" w:sz="0" w:space="0" w:color="auto"/>
        <w:right w:val="none" w:sz="0" w:space="0" w:color="auto"/>
      </w:divBdr>
    </w:div>
    <w:div w:id="1756366624">
      <w:bodyDiv w:val="1"/>
      <w:marLeft w:val="0"/>
      <w:marRight w:val="0"/>
      <w:marTop w:val="0"/>
      <w:marBottom w:val="0"/>
      <w:divBdr>
        <w:top w:val="none" w:sz="0" w:space="0" w:color="auto"/>
        <w:left w:val="none" w:sz="0" w:space="0" w:color="auto"/>
        <w:bottom w:val="none" w:sz="0" w:space="0" w:color="auto"/>
        <w:right w:val="none" w:sz="0" w:space="0" w:color="auto"/>
      </w:divBdr>
    </w:div>
    <w:div w:id="18462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ssmc.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0.rada.gov.ua/laws/show/z0570-14/paran405" TargetMode="External"/><Relationship Id="rId4" Type="http://schemas.openxmlformats.org/officeDocument/2006/relationships/settings" Target="settings.xml"/><Relationship Id="rId9" Type="http://schemas.openxmlformats.org/officeDocument/2006/relationships/hyperlink" Target="https://services.nssmc.gov.ua/logi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BA51-3B12-4685-9511-78272184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6249</Words>
  <Characters>3563</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9793</CharactersWithSpaces>
  <SharedDoc>false</SharedDoc>
  <HLinks>
    <vt:vector size="18" baseType="variant">
      <vt:variant>
        <vt:i4>5439503</vt:i4>
      </vt:variant>
      <vt:variant>
        <vt:i4>6</vt:i4>
      </vt:variant>
      <vt:variant>
        <vt:i4>0</vt:i4>
      </vt:variant>
      <vt:variant>
        <vt:i4>5</vt:i4>
      </vt:variant>
      <vt:variant>
        <vt:lpwstr>http://zakon0.rada.gov.ua/laws/show/z0570-14/paran405</vt:lpwstr>
      </vt:variant>
      <vt:variant>
        <vt:lpwstr>n405</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3</cp:revision>
  <cp:lastPrinted>2018-08-13T10:30:00Z</cp:lastPrinted>
  <dcterms:created xsi:type="dcterms:W3CDTF">2025-03-31T06:39:00Z</dcterms:created>
  <dcterms:modified xsi:type="dcterms:W3CDTF">2025-03-31T06:39:00Z</dcterms:modified>
</cp:coreProperties>
</file>