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69" w:rsidRPr="00332C6F" w:rsidRDefault="00641669" w:rsidP="00332C6F">
      <w:pPr>
        <w:widowControl w:val="0"/>
        <w:ind w:left="4820"/>
        <w:jc w:val="right"/>
        <w:rPr>
          <w:lang w:val="ru-RU"/>
        </w:rPr>
      </w:pPr>
      <w:r w:rsidRPr="00332C6F">
        <w:t xml:space="preserve">Додаток </w:t>
      </w:r>
      <w:r w:rsidRPr="00332C6F">
        <w:rPr>
          <w:lang w:val="ru-RU"/>
        </w:rPr>
        <w:t>60</w:t>
      </w:r>
    </w:p>
    <w:p w:rsidR="00641669" w:rsidRPr="00332C6F" w:rsidRDefault="00641669" w:rsidP="00332C6F">
      <w:pPr>
        <w:widowControl w:val="0"/>
        <w:ind w:left="4820"/>
        <w:jc w:val="both"/>
      </w:pPr>
      <w:r w:rsidRPr="00332C6F">
        <w:t>до розпорядження Голови Національної комісії з цінних паперів та фондового ринку</w:t>
      </w:r>
    </w:p>
    <w:p w:rsidR="00D26A89" w:rsidRPr="00332C6F" w:rsidRDefault="000E72CA" w:rsidP="00332C6F">
      <w:pPr>
        <w:ind w:left="4820"/>
        <w:jc w:val="both"/>
      </w:pPr>
      <w:r>
        <w:t>від 25.03.2025 № 22/20/1911/С04</w:t>
      </w:r>
    </w:p>
    <w:p w:rsidR="00D26A89" w:rsidRPr="004A5BCF" w:rsidRDefault="00D26A89" w:rsidP="00784293">
      <w:pPr>
        <w:jc w:val="center"/>
        <w:rPr>
          <w:b/>
          <w:sz w:val="28"/>
          <w:szCs w:val="28"/>
        </w:rPr>
      </w:pPr>
    </w:p>
    <w:p w:rsidR="00E75851" w:rsidRPr="004A5BCF" w:rsidRDefault="00784293" w:rsidP="00784293">
      <w:pPr>
        <w:jc w:val="center"/>
        <w:rPr>
          <w:b/>
          <w:sz w:val="28"/>
          <w:szCs w:val="28"/>
        </w:rPr>
      </w:pPr>
      <w:r w:rsidRPr="004A5BCF">
        <w:rPr>
          <w:b/>
          <w:sz w:val="28"/>
          <w:szCs w:val="28"/>
        </w:rPr>
        <w:t>ІНФОРМАЦІЙНА КАРТКА</w:t>
      </w:r>
    </w:p>
    <w:p w:rsidR="00784293" w:rsidRPr="004A5BCF" w:rsidRDefault="00E75851" w:rsidP="00784293">
      <w:pPr>
        <w:jc w:val="center"/>
        <w:rPr>
          <w:b/>
          <w:sz w:val="28"/>
          <w:szCs w:val="28"/>
        </w:rPr>
      </w:pPr>
      <w:r w:rsidRPr="004A5BCF">
        <w:rPr>
          <w:b/>
          <w:sz w:val="28"/>
          <w:szCs w:val="28"/>
        </w:rPr>
        <w:t>адміністративної послуги</w:t>
      </w:r>
    </w:p>
    <w:p w:rsidR="00784293" w:rsidRPr="004A5BCF" w:rsidRDefault="00784293" w:rsidP="00784293">
      <w:pPr>
        <w:jc w:val="center"/>
        <w:rPr>
          <w:b/>
          <w:sz w:val="28"/>
          <w:szCs w:val="28"/>
        </w:rPr>
      </w:pPr>
    </w:p>
    <w:p w:rsidR="00A77CC6" w:rsidRPr="004A5BCF" w:rsidRDefault="00656842" w:rsidP="00A77CC6">
      <w:pPr>
        <w:jc w:val="center"/>
        <w:rPr>
          <w:b/>
          <w:sz w:val="28"/>
          <w:szCs w:val="28"/>
        </w:rPr>
      </w:pPr>
      <w:r w:rsidRPr="004A5BCF">
        <w:rPr>
          <w:b/>
          <w:sz w:val="28"/>
          <w:szCs w:val="28"/>
        </w:rPr>
        <w:t>«В</w:t>
      </w:r>
      <w:r w:rsidR="00A77CC6" w:rsidRPr="004A5BCF">
        <w:rPr>
          <w:b/>
          <w:sz w:val="28"/>
          <w:szCs w:val="28"/>
        </w:rPr>
        <w:t>изнання інституту спільного інвестування як такого, що відповідає/не відповідає вимогам щодо мінімального обсягу активів інституту спільного інвестування</w:t>
      </w:r>
      <w:r w:rsidRPr="004A5BCF">
        <w:rPr>
          <w:b/>
          <w:sz w:val="28"/>
          <w:szCs w:val="28"/>
        </w:rPr>
        <w:t>»</w:t>
      </w:r>
    </w:p>
    <w:p w:rsidR="00D26A89" w:rsidRPr="004A5BCF" w:rsidRDefault="00D26A89" w:rsidP="00A77CC6">
      <w:pPr>
        <w:jc w:val="center"/>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718"/>
      </w:tblGrid>
      <w:tr w:rsidR="00E75851" w:rsidRPr="004A5BCF" w:rsidTr="00332C6F">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75851" w:rsidRPr="004A5BCF" w:rsidRDefault="00E75851" w:rsidP="00E75851">
            <w:pPr>
              <w:jc w:val="center"/>
            </w:pPr>
            <w:r w:rsidRPr="004A5BCF">
              <w:rPr>
                <w:b/>
              </w:rPr>
              <w:t>Інформація про суб’єкта надання адміністративної послуги</w:t>
            </w:r>
          </w:p>
        </w:tc>
      </w:tr>
      <w:tr w:rsidR="00641669" w:rsidRPr="004A5BCF" w:rsidTr="00332C6F">
        <w:tc>
          <w:tcPr>
            <w:tcW w:w="244" w:type="pct"/>
            <w:tcBorders>
              <w:top w:val="single" w:sz="4" w:space="0" w:color="auto"/>
              <w:left w:val="single" w:sz="4" w:space="0" w:color="auto"/>
              <w:bottom w:val="single" w:sz="4" w:space="0" w:color="auto"/>
              <w:right w:val="single" w:sz="4" w:space="0" w:color="auto"/>
            </w:tcBorders>
          </w:tcPr>
          <w:p w:rsidR="00641669" w:rsidRPr="004A5BCF" w:rsidRDefault="00641669" w:rsidP="00641669">
            <w:pPr>
              <w:jc w:val="center"/>
            </w:pPr>
            <w:r w:rsidRPr="004A5BCF">
              <w:t>1</w:t>
            </w:r>
          </w:p>
        </w:tc>
        <w:tc>
          <w:tcPr>
            <w:tcW w:w="1160" w:type="pct"/>
            <w:tcBorders>
              <w:top w:val="single" w:sz="4" w:space="0" w:color="auto"/>
              <w:left w:val="single" w:sz="4" w:space="0" w:color="auto"/>
              <w:bottom w:val="single" w:sz="4" w:space="0" w:color="auto"/>
              <w:right w:val="single" w:sz="4" w:space="0" w:color="auto"/>
            </w:tcBorders>
          </w:tcPr>
          <w:p w:rsidR="00641669" w:rsidRPr="004A5BCF" w:rsidRDefault="00641669" w:rsidP="00641669">
            <w:r w:rsidRPr="004A5BCF">
              <w:t>Найменування суб’єкта</w:t>
            </w:r>
          </w:p>
        </w:tc>
        <w:tc>
          <w:tcPr>
            <w:tcW w:w="3596" w:type="pct"/>
            <w:tcBorders>
              <w:top w:val="single" w:sz="4" w:space="0" w:color="auto"/>
              <w:left w:val="single" w:sz="4" w:space="0" w:color="auto"/>
              <w:bottom w:val="single" w:sz="4" w:space="0" w:color="auto"/>
              <w:right w:val="single" w:sz="4" w:space="0" w:color="auto"/>
            </w:tcBorders>
          </w:tcPr>
          <w:p w:rsidR="00641669" w:rsidRPr="00523932" w:rsidRDefault="00641669" w:rsidP="00641669">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641669" w:rsidRPr="004A5BCF" w:rsidTr="00332C6F">
        <w:tc>
          <w:tcPr>
            <w:tcW w:w="244" w:type="pct"/>
            <w:tcBorders>
              <w:top w:val="single" w:sz="4" w:space="0" w:color="auto"/>
              <w:left w:val="single" w:sz="4" w:space="0" w:color="auto"/>
              <w:bottom w:val="single" w:sz="4" w:space="0" w:color="auto"/>
              <w:right w:val="single" w:sz="4" w:space="0" w:color="auto"/>
            </w:tcBorders>
          </w:tcPr>
          <w:p w:rsidR="00641669" w:rsidRPr="004A5BCF" w:rsidRDefault="00641669" w:rsidP="00641669">
            <w:pPr>
              <w:jc w:val="center"/>
            </w:pPr>
            <w:r w:rsidRPr="004A5BCF">
              <w:t>2</w:t>
            </w:r>
          </w:p>
        </w:tc>
        <w:tc>
          <w:tcPr>
            <w:tcW w:w="1160" w:type="pct"/>
            <w:tcBorders>
              <w:top w:val="single" w:sz="4" w:space="0" w:color="auto"/>
              <w:left w:val="single" w:sz="4" w:space="0" w:color="auto"/>
              <w:bottom w:val="single" w:sz="4" w:space="0" w:color="auto"/>
              <w:right w:val="single" w:sz="4" w:space="0" w:color="auto"/>
            </w:tcBorders>
          </w:tcPr>
          <w:p w:rsidR="00641669" w:rsidRPr="004A5BCF" w:rsidRDefault="00641669" w:rsidP="00641669">
            <w:r w:rsidRPr="004A5BCF">
              <w:t>Місцезнаходження</w:t>
            </w:r>
          </w:p>
        </w:tc>
        <w:tc>
          <w:tcPr>
            <w:tcW w:w="3596" w:type="pct"/>
            <w:tcBorders>
              <w:top w:val="single" w:sz="4" w:space="0" w:color="auto"/>
              <w:left w:val="single" w:sz="4" w:space="0" w:color="auto"/>
              <w:bottom w:val="single" w:sz="4" w:space="0" w:color="auto"/>
              <w:right w:val="single" w:sz="4" w:space="0" w:color="auto"/>
            </w:tcBorders>
          </w:tcPr>
          <w:p w:rsidR="00641669" w:rsidRPr="00523932" w:rsidRDefault="00641669" w:rsidP="00641669">
            <w:pPr>
              <w:ind w:left="34"/>
              <w:jc w:val="both"/>
              <w:rPr>
                <w:shd w:val="clear" w:color="auto" w:fill="FFFFFF"/>
                <w:lang w:val="en-US" w:eastAsia="ru-RU"/>
              </w:rPr>
            </w:pPr>
            <w:smartTag w:uri="urn:schemas-microsoft-com:office:smarttags" w:element="metricconverter">
              <w:smartTagPr>
                <w:attr w:name="ProductID" w:val="01010, м"/>
              </w:smartTagPr>
              <w:r w:rsidRPr="00523932">
                <w:t>01010, м</w:t>
              </w:r>
            </w:smartTag>
            <w:r w:rsidRPr="00523932">
              <w:t xml:space="preserve">. Київ, вул. </w:t>
            </w:r>
            <w:r>
              <w:t>Князів Острозьких</w:t>
            </w:r>
            <w:r w:rsidRPr="00523932">
              <w:t xml:space="preserve">, 8, </w:t>
            </w:r>
            <w:proofErr w:type="spellStart"/>
            <w:r w:rsidRPr="00523932">
              <w:t>корп</w:t>
            </w:r>
            <w:proofErr w:type="spellEnd"/>
            <w:r w:rsidRPr="00523932">
              <w:t>. 30</w:t>
            </w:r>
          </w:p>
        </w:tc>
      </w:tr>
      <w:tr w:rsidR="00641669" w:rsidRPr="004A5BCF" w:rsidTr="00332C6F">
        <w:tc>
          <w:tcPr>
            <w:tcW w:w="244" w:type="pct"/>
            <w:tcBorders>
              <w:top w:val="single" w:sz="4" w:space="0" w:color="auto"/>
              <w:left w:val="single" w:sz="4" w:space="0" w:color="auto"/>
              <w:bottom w:val="single" w:sz="4" w:space="0" w:color="auto"/>
              <w:right w:val="single" w:sz="4" w:space="0" w:color="auto"/>
            </w:tcBorders>
          </w:tcPr>
          <w:p w:rsidR="00641669" w:rsidRPr="004A5BCF" w:rsidRDefault="00641669" w:rsidP="00641669">
            <w:pPr>
              <w:jc w:val="center"/>
            </w:pPr>
            <w:r w:rsidRPr="004A5BCF">
              <w:t>3</w:t>
            </w:r>
          </w:p>
        </w:tc>
        <w:tc>
          <w:tcPr>
            <w:tcW w:w="1160" w:type="pct"/>
            <w:tcBorders>
              <w:top w:val="single" w:sz="4" w:space="0" w:color="auto"/>
              <w:left w:val="single" w:sz="4" w:space="0" w:color="auto"/>
              <w:bottom w:val="single" w:sz="4" w:space="0" w:color="auto"/>
              <w:right w:val="single" w:sz="4" w:space="0" w:color="auto"/>
            </w:tcBorders>
          </w:tcPr>
          <w:p w:rsidR="00641669" w:rsidRPr="004A5BCF" w:rsidRDefault="00641669" w:rsidP="00641669">
            <w:r w:rsidRPr="004A5BCF">
              <w:t xml:space="preserve">Режим роботи </w:t>
            </w:r>
          </w:p>
        </w:tc>
        <w:tc>
          <w:tcPr>
            <w:tcW w:w="3596" w:type="pct"/>
            <w:tcBorders>
              <w:top w:val="single" w:sz="4" w:space="0" w:color="auto"/>
              <w:left w:val="single" w:sz="4" w:space="0" w:color="auto"/>
              <w:bottom w:val="single" w:sz="4" w:space="0" w:color="auto"/>
              <w:right w:val="single" w:sz="4" w:space="0" w:color="auto"/>
            </w:tcBorders>
          </w:tcPr>
          <w:p w:rsidR="00641669" w:rsidRPr="00523932" w:rsidRDefault="00641669" w:rsidP="00641669">
            <w:pPr>
              <w:jc w:val="both"/>
            </w:pPr>
            <w:r w:rsidRPr="00523932">
              <w:t xml:space="preserve">Понеділок – четвер з 9:00 до 18:00; </w:t>
            </w:r>
          </w:p>
          <w:p w:rsidR="00641669" w:rsidRPr="00523932" w:rsidRDefault="00641669" w:rsidP="00641669">
            <w:pPr>
              <w:jc w:val="both"/>
            </w:pPr>
            <w:r w:rsidRPr="00523932">
              <w:t>п’ятниця з 9:00 до 16:45;</w:t>
            </w:r>
          </w:p>
          <w:p w:rsidR="00641669" w:rsidRPr="00523932" w:rsidRDefault="00641669" w:rsidP="00641669">
            <w:pPr>
              <w:jc w:val="both"/>
            </w:pPr>
            <w:r w:rsidRPr="00523932">
              <w:t>обідня перерва з 13:00 до 13:45 </w:t>
            </w:r>
          </w:p>
        </w:tc>
      </w:tr>
      <w:tr w:rsidR="00641669" w:rsidRPr="004A5BCF" w:rsidTr="00332C6F">
        <w:tc>
          <w:tcPr>
            <w:tcW w:w="244" w:type="pct"/>
            <w:tcBorders>
              <w:top w:val="single" w:sz="4" w:space="0" w:color="auto"/>
              <w:left w:val="single" w:sz="4" w:space="0" w:color="auto"/>
              <w:bottom w:val="single" w:sz="4" w:space="0" w:color="auto"/>
              <w:right w:val="single" w:sz="4" w:space="0" w:color="auto"/>
            </w:tcBorders>
          </w:tcPr>
          <w:p w:rsidR="00641669" w:rsidRPr="004A5BCF" w:rsidRDefault="00641669" w:rsidP="00641669">
            <w:pPr>
              <w:jc w:val="center"/>
            </w:pPr>
            <w:r w:rsidRPr="004A5BCF">
              <w:t>4</w:t>
            </w:r>
          </w:p>
        </w:tc>
        <w:tc>
          <w:tcPr>
            <w:tcW w:w="1160" w:type="pct"/>
            <w:tcBorders>
              <w:top w:val="single" w:sz="4" w:space="0" w:color="auto"/>
              <w:left w:val="single" w:sz="4" w:space="0" w:color="auto"/>
              <w:bottom w:val="single" w:sz="4" w:space="0" w:color="auto"/>
              <w:right w:val="single" w:sz="4" w:space="0" w:color="auto"/>
            </w:tcBorders>
          </w:tcPr>
          <w:p w:rsidR="00641669" w:rsidRPr="004A5BCF" w:rsidRDefault="00641669" w:rsidP="00641669">
            <w:r>
              <w:t>Телефон</w:t>
            </w:r>
            <w:r w:rsidRPr="004A5BCF">
              <w:t xml:space="preserve">, адреса електронної пошти та </w:t>
            </w:r>
            <w:r w:rsidRPr="004A5BCF">
              <w:rPr>
                <w:rStyle w:val="spelle"/>
              </w:rPr>
              <w:t>веб-сайт</w:t>
            </w:r>
            <w:r>
              <w:rPr>
                <w:rStyle w:val="spelle"/>
              </w:rPr>
              <w:t>, посилання на засоби КІС</w:t>
            </w:r>
            <w:r w:rsidRPr="004A5BCF">
              <w:t xml:space="preserve"> </w:t>
            </w:r>
          </w:p>
        </w:tc>
        <w:tc>
          <w:tcPr>
            <w:tcW w:w="3596" w:type="pct"/>
            <w:tcBorders>
              <w:top w:val="single" w:sz="4" w:space="0" w:color="auto"/>
              <w:left w:val="single" w:sz="4" w:space="0" w:color="auto"/>
              <w:bottom w:val="single" w:sz="4" w:space="0" w:color="auto"/>
              <w:right w:val="single" w:sz="4" w:space="0" w:color="auto"/>
            </w:tcBorders>
          </w:tcPr>
          <w:p w:rsidR="00641669" w:rsidRDefault="00641669" w:rsidP="00641669">
            <w:pPr>
              <w:contextualSpacing/>
            </w:pPr>
            <w:r>
              <w:t xml:space="preserve">Телефон: (044) </w:t>
            </w:r>
            <w:r w:rsidRPr="005C7FC7">
              <w:t>280-85-95</w:t>
            </w:r>
          </w:p>
          <w:p w:rsidR="00641669" w:rsidRDefault="00641669" w:rsidP="00641669">
            <w:pPr>
              <w:contextualSpacing/>
            </w:pPr>
            <w:proofErr w:type="spellStart"/>
            <w:r>
              <w:t>Вебсайт</w:t>
            </w:r>
            <w:proofErr w:type="spellEnd"/>
            <w:r>
              <w:t xml:space="preserve">: </w:t>
            </w:r>
            <w:hyperlink r:id="rId7" w:history="1">
              <w:r>
                <w:rPr>
                  <w:rStyle w:val="a3"/>
                </w:rPr>
                <w:t>https://www.nssmc.gov.ua/</w:t>
              </w:r>
            </w:hyperlink>
          </w:p>
          <w:p w:rsidR="00641669" w:rsidRPr="00523932" w:rsidRDefault="00641669" w:rsidP="00641669">
            <w:r>
              <w:t xml:space="preserve">Засоби комплексної інформаційної системи (КІС) </w:t>
            </w:r>
            <w:hyperlink r:id="rId8" w:history="1">
              <w:r>
                <w:rPr>
                  <w:rStyle w:val="a3"/>
                </w:rPr>
                <w:t>https://services.nssmc.gov.ua</w:t>
              </w:r>
            </w:hyperlink>
          </w:p>
        </w:tc>
      </w:tr>
      <w:tr w:rsidR="00655A0C" w:rsidRPr="004A5BCF" w:rsidTr="00332C6F">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655A0C" w:rsidRPr="004A5BCF" w:rsidRDefault="00655A0C" w:rsidP="00E75851">
            <w:pPr>
              <w:jc w:val="center"/>
              <w:rPr>
                <w:b/>
              </w:rPr>
            </w:pPr>
            <w:r w:rsidRPr="004A5BCF">
              <w:rPr>
                <w:b/>
                <w:shd w:val="clear" w:color="auto" w:fill="FFFFFF"/>
              </w:rPr>
              <w:t>Нормативні акти, якими регламентується надання адміністративної послуги</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7A4557">
            <w:pPr>
              <w:jc w:val="center"/>
            </w:pPr>
            <w:r w:rsidRPr="004A5BCF">
              <w:t>5</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Закони України</w:t>
            </w:r>
          </w:p>
        </w:tc>
        <w:tc>
          <w:tcPr>
            <w:tcW w:w="3596" w:type="pct"/>
            <w:tcBorders>
              <w:top w:val="single" w:sz="4" w:space="0" w:color="auto"/>
              <w:left w:val="single" w:sz="4" w:space="0" w:color="auto"/>
              <w:bottom w:val="single" w:sz="4" w:space="0" w:color="auto"/>
              <w:right w:val="single" w:sz="4" w:space="0" w:color="auto"/>
            </w:tcBorders>
          </w:tcPr>
          <w:p w:rsidR="00656842" w:rsidRPr="004A5BCF" w:rsidRDefault="00A434D4" w:rsidP="007A4557">
            <w:hyperlink r:id="rId9" w:tgtFrame="_blank" w:history="1">
              <w:r w:rsidR="008A1094" w:rsidRPr="004A5BCF">
                <w:t>Закон</w:t>
              </w:r>
              <w:r w:rsidR="00A77CC6" w:rsidRPr="004A5BCF">
                <w:t xml:space="preserve"> України «</w:t>
              </w:r>
              <w:r w:rsidR="00FD4EFD" w:rsidRPr="004A5BCF">
                <w:t>Про державне регулювання ринків капіталу та організованих товарних ринків</w:t>
              </w:r>
              <w:r w:rsidR="00A77CC6" w:rsidRPr="004A5BCF">
                <w:t>»</w:t>
              </w:r>
            </w:hyperlink>
            <w:r w:rsidR="00332C6F">
              <w:t>;</w:t>
            </w:r>
          </w:p>
          <w:p w:rsidR="00656842" w:rsidRPr="004A5BCF" w:rsidRDefault="008A1094" w:rsidP="007A4557">
            <w:r w:rsidRPr="004A5BCF">
              <w:t>Закон</w:t>
            </w:r>
            <w:r w:rsidR="00A77CC6" w:rsidRPr="004A5BCF">
              <w:t xml:space="preserve"> України </w:t>
            </w:r>
            <w:hyperlink r:id="rId10" w:tgtFrame="_blank" w:history="1">
              <w:r w:rsidR="00FD4EFD" w:rsidRPr="004A5BCF">
                <w:t>«Про ринки капіталу та організовані товарні ринки</w:t>
              </w:r>
              <w:r w:rsidR="00A77CC6" w:rsidRPr="004A5BCF">
                <w:t>»</w:t>
              </w:r>
            </w:hyperlink>
            <w:r w:rsidR="00332C6F">
              <w:t>;</w:t>
            </w:r>
            <w:r w:rsidRPr="004A5BCF">
              <w:t xml:space="preserve"> </w:t>
            </w:r>
          </w:p>
          <w:p w:rsidR="00655A0C" w:rsidRDefault="008A1094" w:rsidP="007A4557">
            <w:r w:rsidRPr="004A5BCF">
              <w:t>Закон України</w:t>
            </w:r>
            <w:r w:rsidR="00A77CC6" w:rsidRPr="004A5BCF">
              <w:t xml:space="preserve"> </w:t>
            </w:r>
            <w:hyperlink r:id="rId11" w:anchor="n3" w:tgtFrame="_blank" w:history="1">
              <w:r w:rsidR="00A77CC6" w:rsidRPr="004A5BCF">
                <w:t>«Про інститути спільного інвестування»</w:t>
              </w:r>
            </w:hyperlink>
            <w:r w:rsidR="00332C6F">
              <w:t>;</w:t>
            </w:r>
          </w:p>
          <w:p w:rsidR="00332C6F" w:rsidRPr="004A5BCF" w:rsidRDefault="00332C6F" w:rsidP="007A4557">
            <w:r>
              <w:t>Закон України «Про адміністративну процедуру».</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7A4557">
            <w:pPr>
              <w:jc w:val="center"/>
            </w:pPr>
            <w:r w:rsidRPr="004A5BCF">
              <w:t>6</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rPr>
                <w:color w:val="000000"/>
                <w:shd w:val="clear" w:color="auto" w:fill="FFFFFF"/>
              </w:rPr>
              <w:t>Акти Кабінету Міністрів України</w:t>
            </w:r>
          </w:p>
        </w:tc>
        <w:tc>
          <w:tcPr>
            <w:tcW w:w="3596" w:type="pct"/>
            <w:tcBorders>
              <w:top w:val="single" w:sz="4" w:space="0" w:color="auto"/>
              <w:left w:val="single" w:sz="4" w:space="0" w:color="auto"/>
              <w:bottom w:val="single" w:sz="4" w:space="0" w:color="auto"/>
              <w:right w:val="single" w:sz="4" w:space="0" w:color="auto"/>
            </w:tcBorders>
          </w:tcPr>
          <w:p w:rsidR="00655A0C" w:rsidRPr="004A5BCF" w:rsidRDefault="00A77CC6" w:rsidP="007A4557">
            <w:r w:rsidRPr="004A5BCF">
              <w:t>-</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7A4557">
            <w:pPr>
              <w:jc w:val="center"/>
            </w:pPr>
            <w:r w:rsidRPr="004A5BCF">
              <w:t>7</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pPr>
              <w:rPr>
                <w:color w:val="000000"/>
                <w:shd w:val="clear" w:color="auto" w:fill="FFFFFF"/>
              </w:rPr>
            </w:pPr>
            <w:r w:rsidRPr="004A5BCF">
              <w:rPr>
                <w:color w:val="000000"/>
                <w:shd w:val="clear" w:color="auto" w:fill="FFFFFF"/>
              </w:rPr>
              <w:t>Нормативні документи НКЦПФР</w:t>
            </w:r>
          </w:p>
        </w:tc>
        <w:tc>
          <w:tcPr>
            <w:tcW w:w="3596" w:type="pct"/>
            <w:tcBorders>
              <w:top w:val="single" w:sz="4" w:space="0" w:color="auto"/>
              <w:left w:val="single" w:sz="4" w:space="0" w:color="auto"/>
              <w:bottom w:val="single" w:sz="4" w:space="0" w:color="auto"/>
              <w:right w:val="single" w:sz="4" w:space="0" w:color="auto"/>
            </w:tcBorders>
          </w:tcPr>
          <w:p w:rsidR="00655A0C" w:rsidRDefault="00A77CC6" w:rsidP="00A02412">
            <w:pPr>
              <w:rPr>
                <w:rStyle w:val="rvts23"/>
              </w:rPr>
            </w:pPr>
            <w:r w:rsidRPr="004A5BCF">
              <w:rPr>
                <w:rStyle w:val="rvts23"/>
              </w:rPr>
              <w:t>Положення про порядок розміщення, обігу та викупу цінних паперів інституту спільного інвестування</w:t>
            </w:r>
            <w:r w:rsidR="007464EB" w:rsidRPr="004A5BCF">
              <w:t xml:space="preserve"> затверджене рішенням НКЦПФР від 30.07.2013 року № 1338, зареєстроване в Міністерстві юстиції України 28.08.2013 року за № </w:t>
            </w:r>
            <w:r w:rsidR="007464EB" w:rsidRPr="004A5BCF">
              <w:rPr>
                <w:bCs/>
                <w:color w:val="333333"/>
                <w:shd w:val="clear" w:color="auto" w:fill="FFFFFF"/>
              </w:rPr>
              <w:t>1475/24007</w:t>
            </w:r>
            <w:r w:rsidR="007464EB" w:rsidRPr="004A5BCF">
              <w:t xml:space="preserve"> (</w:t>
            </w:r>
            <w:r w:rsidR="003017F9">
              <w:t>зі</w:t>
            </w:r>
            <w:r w:rsidR="007464EB" w:rsidRPr="004A5BCF">
              <w:t xml:space="preserve"> змінами)</w:t>
            </w:r>
            <w:r w:rsidRPr="004A5BCF">
              <w:rPr>
                <w:rStyle w:val="rvts23"/>
              </w:rPr>
              <w:t xml:space="preserve"> (далі - Положення)</w:t>
            </w:r>
            <w:r w:rsidR="00D8054F">
              <w:rPr>
                <w:rStyle w:val="rvts23"/>
              </w:rPr>
              <w:t>.</w:t>
            </w:r>
          </w:p>
          <w:p w:rsidR="00D8054F" w:rsidRPr="004A5BCF" w:rsidRDefault="00E81DE5" w:rsidP="003017F9">
            <w:pPr>
              <w:jc w:val="both"/>
            </w:pPr>
            <w:r w:rsidRPr="00E81DE5">
              <w:rPr>
                <w:rStyle w:val="rvts23"/>
              </w:rPr>
              <w:t>Розміри плати за реєстраційні дії щодо учасників ринків капіталу та інших осіб, затверджене рішення НКЦПФР від 13.06.2022 року № 620, зареєстроване в Міністерстві юстиції України 10.08.2022 за № 909/38245</w:t>
            </w:r>
            <w:r w:rsidR="003017F9">
              <w:rPr>
                <w:rStyle w:val="rvts23"/>
              </w:rPr>
              <w:t xml:space="preserve"> (зі змінами).</w:t>
            </w:r>
          </w:p>
        </w:tc>
      </w:tr>
      <w:tr w:rsidR="00655A0C" w:rsidRPr="004A5BCF" w:rsidTr="00332C6F">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655A0C" w:rsidRPr="004A5BCF" w:rsidRDefault="00655A0C" w:rsidP="007A4557">
            <w:pPr>
              <w:jc w:val="center"/>
            </w:pPr>
            <w:r w:rsidRPr="004A5BCF">
              <w:rPr>
                <w:b/>
              </w:rPr>
              <w:t>Умови отримання адміністративної послуги</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7A4557">
            <w:pPr>
              <w:jc w:val="center"/>
            </w:pPr>
            <w:r w:rsidRPr="004A5BCF">
              <w:t>8</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Перелік документів, необхідних для отримання адміністративної послуги, вимоги до них</w:t>
            </w:r>
          </w:p>
        </w:tc>
        <w:tc>
          <w:tcPr>
            <w:tcW w:w="3596" w:type="pct"/>
            <w:tcBorders>
              <w:top w:val="single" w:sz="4" w:space="0" w:color="auto"/>
              <w:left w:val="single" w:sz="4" w:space="0" w:color="auto"/>
              <w:bottom w:val="single" w:sz="4" w:space="0" w:color="auto"/>
              <w:right w:val="single" w:sz="4" w:space="0" w:color="auto"/>
            </w:tcBorders>
          </w:tcPr>
          <w:p w:rsidR="00A77CC6" w:rsidRPr="004A5BCF" w:rsidRDefault="00A77CC6" w:rsidP="00A77CC6">
            <w:pPr>
              <w:pStyle w:val="a5"/>
              <w:spacing w:before="0" w:beforeAutospacing="0" w:after="0" w:afterAutospacing="0"/>
              <w:jc w:val="both"/>
            </w:pPr>
            <w:bookmarkStart w:id="0" w:name="n584"/>
            <w:bookmarkStart w:id="1" w:name="n70"/>
            <w:bookmarkStart w:id="2" w:name="n631"/>
            <w:bookmarkEnd w:id="0"/>
            <w:bookmarkEnd w:id="1"/>
            <w:bookmarkEnd w:id="2"/>
            <w:r w:rsidRPr="004A5BCF">
              <w:t>1) супроводжувальний лист;</w:t>
            </w:r>
          </w:p>
          <w:p w:rsidR="00A77CC6" w:rsidRPr="004A5BCF" w:rsidRDefault="00A77CC6" w:rsidP="00A77CC6">
            <w:pPr>
              <w:pStyle w:val="a5"/>
              <w:spacing w:before="0" w:beforeAutospacing="0" w:after="0" w:afterAutospacing="0"/>
              <w:jc w:val="both"/>
            </w:pPr>
            <w:r w:rsidRPr="004A5BCF">
              <w:t xml:space="preserve">2) </w:t>
            </w:r>
            <w:r w:rsidR="00C40AC7" w:rsidRPr="004A5BCF">
              <w:t>звіт про досягнення мінімального обсягу активів ІСІ, складений за формою, наведеною в додатку 3, створений в електронній формі, із застосуванням електронних підписів уповноваженої особи та головного бухгалтера (особи, на яку покладено ведення бухгалтерського обліку) компанії з управління активами, зберігача активів ІСІ (у разі укладення договору про обслуговування зберігачем активів ІСІ), що базуються на кваліфікованому сертифікаті відкритого ключа</w:t>
            </w:r>
            <w:r w:rsidR="00B830D8" w:rsidRPr="004A5BCF">
              <w:t>;</w:t>
            </w:r>
          </w:p>
          <w:p w:rsidR="00A77CC6" w:rsidRPr="004A5BCF" w:rsidRDefault="00A77CC6" w:rsidP="00A77CC6">
            <w:pPr>
              <w:jc w:val="both"/>
            </w:pPr>
            <w:r w:rsidRPr="004A5BCF">
              <w:lastRenderedPageBreak/>
              <w:t xml:space="preserve">3) </w:t>
            </w:r>
            <w:r w:rsidR="00C40AC7" w:rsidRPr="004A5BCF">
              <w:rPr>
                <w:color w:val="333333"/>
                <w:shd w:val="clear" w:color="auto" w:fill="FFFFFF"/>
              </w:rPr>
              <w:t>фінансова звітність, складена за Міжнародними стандартами фінансової звітності. Зазначена фінансова звітність пайового фонду має бути складена на дату Звіту, підписана уповноваженою особою та головним бухгалтером (особою, на яку покладено ведення бухгалтерського обліку) компанії з управління активами</w:t>
            </w:r>
            <w:r w:rsidR="00B830D8" w:rsidRPr="004A5BCF">
              <w:rPr>
                <w:color w:val="333333"/>
                <w:shd w:val="clear" w:color="auto" w:fill="FFFFFF"/>
              </w:rPr>
              <w:t>;</w:t>
            </w:r>
          </w:p>
          <w:p w:rsidR="00A77CC6" w:rsidRPr="004A5BCF" w:rsidRDefault="00A77CC6" w:rsidP="00A77CC6">
            <w:pPr>
              <w:pStyle w:val="a5"/>
              <w:spacing w:before="0" w:beforeAutospacing="0" w:after="0" w:afterAutospacing="0"/>
              <w:jc w:val="both"/>
            </w:pPr>
            <w:r w:rsidRPr="004A5BCF">
              <w:t xml:space="preserve">4) </w:t>
            </w:r>
            <w:r w:rsidR="00C40AC7" w:rsidRPr="004A5BCF">
              <w:rPr>
                <w:color w:val="333333"/>
                <w:shd w:val="clear" w:color="auto" w:fill="FFFFFF"/>
              </w:rPr>
              <w:t>копія(ї) виписки (виписок) за банківським рахунком, відкритим на ім'я компанії з управління активами для пайового фонду, що підтверджує(</w:t>
            </w:r>
            <w:proofErr w:type="spellStart"/>
            <w:r w:rsidR="00C40AC7" w:rsidRPr="004A5BCF">
              <w:rPr>
                <w:color w:val="333333"/>
                <w:shd w:val="clear" w:color="auto" w:fill="FFFFFF"/>
              </w:rPr>
              <w:t>ють</w:t>
            </w:r>
            <w:proofErr w:type="spellEnd"/>
            <w:r w:rsidR="00C40AC7" w:rsidRPr="004A5BCF">
              <w:rPr>
                <w:color w:val="333333"/>
                <w:shd w:val="clear" w:color="auto" w:fill="FFFFFF"/>
              </w:rPr>
              <w:t>) факт надходження коштів за розміщені інвестиційні сертифікати, засвідчена (засвідчені) підписом уповноваженої особи компанії з управління активами пайового фонду</w:t>
            </w:r>
            <w:r w:rsidR="00507E85" w:rsidRPr="004A5BCF">
              <w:rPr>
                <w:color w:val="333333"/>
                <w:shd w:val="clear" w:color="auto" w:fill="FFFFFF"/>
              </w:rPr>
              <w:t>;</w:t>
            </w:r>
          </w:p>
          <w:p w:rsidR="00A77CC6" w:rsidRPr="004A5BCF" w:rsidRDefault="00A77CC6" w:rsidP="00A77CC6">
            <w:pPr>
              <w:pStyle w:val="a5"/>
              <w:spacing w:before="0" w:beforeAutospacing="0" w:after="0" w:afterAutospacing="0"/>
              <w:jc w:val="both"/>
            </w:pPr>
            <w:r w:rsidRPr="004A5BCF">
              <w:t xml:space="preserve">5) </w:t>
            </w:r>
            <w:r w:rsidR="00C40AC7" w:rsidRPr="004A5BCF">
              <w:t xml:space="preserve">копія (копії) </w:t>
            </w:r>
            <w:proofErr w:type="spellStart"/>
            <w:r w:rsidR="00C40AC7" w:rsidRPr="004A5BCF">
              <w:t>акта</w:t>
            </w:r>
            <w:proofErr w:type="spellEnd"/>
            <w:r w:rsidR="00C40AC7" w:rsidRPr="004A5BCF">
              <w:t xml:space="preserve"> (актів) прийому-передачі активів, що підтверджує(</w:t>
            </w:r>
            <w:proofErr w:type="spellStart"/>
            <w:r w:rsidR="00C40AC7" w:rsidRPr="004A5BCF">
              <w:t>ють</w:t>
            </w:r>
            <w:proofErr w:type="spellEnd"/>
            <w:r w:rsidR="00C40AC7" w:rsidRPr="004A5BCF">
              <w:t>) факт оплати цінних паперів біржового інституту спільного інвестування іншими, ніж кошти, активами (для біржового інституту спільного інвестування у разі оплати цінних паперів іншими, ніж кошти, активами)</w:t>
            </w:r>
            <w:r w:rsidR="00B830D8" w:rsidRPr="004A5BCF">
              <w:t>;</w:t>
            </w:r>
          </w:p>
          <w:p w:rsidR="00B830D8" w:rsidRPr="004A5BCF" w:rsidRDefault="00B830D8" w:rsidP="00A77CC6">
            <w:pPr>
              <w:pStyle w:val="a5"/>
              <w:spacing w:before="0" w:beforeAutospacing="0" w:after="0" w:afterAutospacing="0"/>
              <w:jc w:val="both"/>
            </w:pPr>
            <w:r w:rsidRPr="004A5BCF">
              <w:t xml:space="preserve">6) </w:t>
            </w:r>
            <w:r w:rsidR="00C40AC7" w:rsidRPr="004A5BCF">
              <w:t>платіжний документ із зазначенням найменування пайового фонду, що підтверджує внесення компанією з управління активами плати за визнання пайового фонду як такого, що відповідає/ не відповідає вимогам щодо мінімального обсягу активів інституту спільного інвестування з відміткою банку про його прийняття.</w:t>
            </w:r>
          </w:p>
          <w:p w:rsidR="00B830D8" w:rsidRPr="004A5BCF" w:rsidRDefault="00BA6DCD" w:rsidP="00B830D8">
            <w:pPr>
              <w:pStyle w:val="rvps2"/>
              <w:jc w:val="both"/>
            </w:pPr>
            <w:r w:rsidRPr="004A5BCF">
              <w:t>Подання до НКЦПФР заявником та відправлення НКЦПФР заявнику документів, передбачених цим Положенням, здійснюється в електронній формі офіційним каналом зв’язку з урахуванням вимог законодавства про електронні документи та електронний документообіг</w:t>
            </w:r>
            <w:r w:rsidR="00B830D8" w:rsidRPr="004A5BCF">
              <w:t>.</w:t>
            </w:r>
          </w:p>
          <w:p w:rsidR="00B830D8" w:rsidRPr="004A5BCF" w:rsidRDefault="00B830D8" w:rsidP="00B830D8">
            <w:pPr>
              <w:pStyle w:val="rvps2"/>
              <w:jc w:val="both"/>
            </w:pPr>
            <w:r w:rsidRPr="004A5BCF">
              <w:t xml:space="preserve">У пакеті </w:t>
            </w:r>
            <w:r w:rsidR="00EF4EA4" w:rsidRPr="004A5BCF">
              <w:t xml:space="preserve">вищевказаних </w:t>
            </w:r>
            <w:r w:rsidRPr="004A5BCF">
              <w:t xml:space="preserve">документів, кожний документ має бути окремим файлом у форматі </w:t>
            </w:r>
            <w:proofErr w:type="spellStart"/>
            <w:r w:rsidRPr="004A5BCF">
              <w:t>Portable</w:t>
            </w:r>
            <w:proofErr w:type="spellEnd"/>
            <w:r w:rsidRPr="004A5BCF">
              <w:t xml:space="preserve"> </w:t>
            </w:r>
            <w:proofErr w:type="spellStart"/>
            <w:r w:rsidRPr="004A5BCF">
              <w:t>Document</w:t>
            </w:r>
            <w:proofErr w:type="spellEnd"/>
            <w:r w:rsidRPr="004A5BCF">
              <w:t xml:space="preserve"> </w:t>
            </w:r>
            <w:proofErr w:type="spellStart"/>
            <w:r w:rsidRPr="004A5BCF">
              <w:t>Format</w:t>
            </w:r>
            <w:proofErr w:type="spellEnd"/>
            <w:r w:rsidRPr="004A5BCF">
              <w:t xml:space="preserve"> / A (формат специфікації PDF 1.4 ISO 19005-1:2005) (далі - PDF/A) із застосуванням електронного підпису уповноваженої особи заявника, що базується на кваліфікованому сертифікаті відкритого ключа, на кожному окремому електронному документі.</w:t>
            </w:r>
          </w:p>
          <w:p w:rsidR="00B830D8" w:rsidRPr="004A5BCF" w:rsidRDefault="00B830D8" w:rsidP="00B830D8">
            <w:pPr>
              <w:pStyle w:val="rvps2"/>
              <w:jc w:val="both"/>
            </w:pPr>
            <w:r w:rsidRPr="004A5BCF">
              <w:t>Подання заявником до НКЦПФР документів, створених в електронній формі, здійснюється із застосуванням електронного підпису уповноваженої особи заявника, що базується на кваліфікованому сертифікаті відкритого ключа.</w:t>
            </w:r>
          </w:p>
          <w:p w:rsidR="00655A0C" w:rsidRDefault="00B830D8" w:rsidP="00B830D8">
            <w:pPr>
              <w:pStyle w:val="rvps2"/>
              <w:jc w:val="both"/>
            </w:pPr>
            <w:r w:rsidRPr="004A5BCF">
              <w:t>Подання заявником до НКЦПФР документів, створених як електронна копія паперового документа (фотокопія), здійснюється із застосуванням електронного підпису уповноваженої особи заявника, що базується на кваліфікованому сертифікаті відкритого ключа.</w:t>
            </w:r>
          </w:p>
          <w:p w:rsidR="00FF64FD" w:rsidRPr="004A5BCF" w:rsidRDefault="00FF64FD" w:rsidP="009A2862">
            <w:pPr>
              <w:pStyle w:val="rvps2"/>
              <w:jc w:val="both"/>
            </w:pPr>
            <w:r>
              <w:t xml:space="preserve">До супроводжувального листа додається </w:t>
            </w:r>
            <w:r w:rsidR="009A2862" w:rsidRPr="009A2862">
              <w:t>опис (перелік) документів із зазначенням щодо кожного документу кількості аркушів, виду інформації (конфіденційна/неконфіденційна)</w:t>
            </w:r>
            <w:r w:rsidR="00ED452F">
              <w:t>.</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7A4557">
            <w:pPr>
              <w:jc w:val="center"/>
            </w:pPr>
            <w:r w:rsidRPr="004A5BCF">
              <w:lastRenderedPageBreak/>
              <w:t>9</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 xml:space="preserve">Платність (безоплатність) надання </w:t>
            </w:r>
            <w:r w:rsidRPr="004A5BCF">
              <w:lastRenderedPageBreak/>
              <w:t>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F15459" w:rsidRPr="004A5BCF" w:rsidRDefault="00F15459" w:rsidP="00F15459">
            <w:pPr>
              <w:jc w:val="both"/>
            </w:pPr>
            <w:r w:rsidRPr="004A5BCF">
              <w:lastRenderedPageBreak/>
              <w:t>Платна. 14 000 грн.</w:t>
            </w:r>
          </w:p>
          <w:p w:rsidR="00655A0C" w:rsidRPr="004A5BCF" w:rsidRDefault="00F15459" w:rsidP="00F15459">
            <w:pPr>
              <w:jc w:val="both"/>
            </w:pPr>
            <w:r w:rsidRPr="004A5BCF">
              <w:t>Оплата здійснюється за кодом бюджетної класифікації 22012500.</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7A4557">
            <w:pPr>
              <w:jc w:val="center"/>
            </w:pPr>
            <w:r w:rsidRPr="004A5BCF">
              <w:t>10</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Порядок та спосіб подання документів</w:t>
            </w:r>
          </w:p>
        </w:tc>
        <w:tc>
          <w:tcPr>
            <w:tcW w:w="3596" w:type="pct"/>
            <w:tcBorders>
              <w:top w:val="single" w:sz="4" w:space="0" w:color="auto"/>
              <w:left w:val="single" w:sz="4" w:space="0" w:color="auto"/>
              <w:bottom w:val="single" w:sz="4" w:space="0" w:color="auto"/>
              <w:right w:val="single" w:sz="4" w:space="0" w:color="auto"/>
            </w:tcBorders>
          </w:tcPr>
          <w:p w:rsidR="00655A0C" w:rsidRPr="004A5BCF" w:rsidRDefault="00F219B4" w:rsidP="00FD5835">
            <w:pPr>
              <w:pStyle w:val="rvps2"/>
              <w:jc w:val="both"/>
            </w:pPr>
            <w:r w:rsidRPr="004A5BCF">
              <w:t xml:space="preserve">Документи, необхідні для надання адміністративної послуги, </w:t>
            </w:r>
            <w:r w:rsidR="0021197F" w:rsidRPr="004A5BCF">
              <w:t xml:space="preserve">подаються </w:t>
            </w:r>
            <w:r w:rsidR="004A5BCF" w:rsidRPr="004A5BCF">
              <w:t xml:space="preserve">засобами </w:t>
            </w:r>
            <w:r w:rsidR="00FD5835" w:rsidRPr="00FD5835">
              <w:t>інтегрованої підсистеми надання адміністративних послуг в електронній формі комплексної інформаційної системи НКЦПФР (</w:t>
            </w:r>
            <w:r w:rsidR="0091163D">
              <w:t xml:space="preserve">далі - </w:t>
            </w:r>
            <w:r w:rsidR="00FD5835" w:rsidRPr="00FD5835">
              <w:t>КІС)</w:t>
            </w:r>
            <w:r w:rsidR="0021197F" w:rsidRPr="004A5BCF">
              <w:t xml:space="preserve"> з урахуванням вимог законодавства про електронні документи та електронний документообіг.</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655A0C">
            <w:pPr>
              <w:jc w:val="center"/>
            </w:pPr>
            <w:r w:rsidRPr="004A5BCF">
              <w:t>11</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Строк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655A0C" w:rsidRPr="004A5BCF" w:rsidRDefault="00F219B4" w:rsidP="00010732">
            <w:pPr>
              <w:spacing w:before="240" w:beforeAutospacing="1" w:after="100" w:afterAutospacing="1"/>
              <w:jc w:val="both"/>
              <w:rPr>
                <w:rStyle w:val="rvts0"/>
              </w:rPr>
            </w:pPr>
            <w:r w:rsidRPr="004A5BCF">
              <w:t>15 робочих днів з дня надходження до НКЦПФР Звіту та відповідних додаткових документів</w:t>
            </w:r>
          </w:p>
        </w:tc>
      </w:tr>
      <w:tr w:rsidR="00655A0C" w:rsidRPr="004A5BCF" w:rsidTr="00332C6F">
        <w:trPr>
          <w:trHeight w:val="627"/>
        </w:trPr>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655A0C">
            <w:pPr>
              <w:jc w:val="center"/>
            </w:pPr>
            <w:r w:rsidRPr="004A5BCF">
              <w:t>12</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Результат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655A0C" w:rsidRPr="004A5BCF" w:rsidRDefault="00F219B4" w:rsidP="002F4905">
            <w:pPr>
              <w:jc w:val="both"/>
            </w:pPr>
            <w:r w:rsidRPr="004A5BCF">
              <w:t>Розпорядження НКЦПФР стосовно відповідності пайового фонду вимогам щодо мінімального обсягу активів пайового фонду або визнання випуску інвестиційних сертифікатів пайов</w:t>
            </w:r>
            <w:r w:rsidR="002F4905">
              <w:t>ого фонду таким, що не відбувся.</w:t>
            </w:r>
          </w:p>
        </w:tc>
      </w:tr>
      <w:tr w:rsidR="00655A0C" w:rsidRPr="004A5BCF" w:rsidTr="00332C6F">
        <w:tc>
          <w:tcPr>
            <w:tcW w:w="244" w:type="pct"/>
            <w:tcBorders>
              <w:top w:val="single" w:sz="4" w:space="0" w:color="auto"/>
              <w:left w:val="single" w:sz="4" w:space="0" w:color="auto"/>
              <w:bottom w:val="single" w:sz="4" w:space="0" w:color="auto"/>
              <w:right w:val="single" w:sz="4" w:space="0" w:color="auto"/>
            </w:tcBorders>
          </w:tcPr>
          <w:p w:rsidR="00655A0C" w:rsidRPr="004A5BCF" w:rsidRDefault="00655A0C" w:rsidP="00655A0C">
            <w:pPr>
              <w:jc w:val="center"/>
            </w:pPr>
            <w:r w:rsidRPr="004A5BCF">
              <w:t>13</w:t>
            </w:r>
          </w:p>
        </w:tc>
        <w:tc>
          <w:tcPr>
            <w:tcW w:w="1160" w:type="pct"/>
            <w:tcBorders>
              <w:top w:val="single" w:sz="4" w:space="0" w:color="auto"/>
              <w:left w:val="single" w:sz="4" w:space="0" w:color="auto"/>
              <w:bottom w:val="single" w:sz="4" w:space="0" w:color="auto"/>
              <w:right w:val="single" w:sz="4" w:space="0" w:color="auto"/>
            </w:tcBorders>
          </w:tcPr>
          <w:p w:rsidR="00655A0C" w:rsidRPr="004A5BCF" w:rsidRDefault="00655A0C" w:rsidP="00663BA2">
            <w:r w:rsidRPr="004A5BCF">
              <w:t>Способи отримання відповіді (результату)</w:t>
            </w:r>
          </w:p>
        </w:tc>
        <w:tc>
          <w:tcPr>
            <w:tcW w:w="3596" w:type="pct"/>
            <w:tcBorders>
              <w:top w:val="single" w:sz="4" w:space="0" w:color="auto"/>
              <w:left w:val="single" w:sz="4" w:space="0" w:color="auto"/>
              <w:bottom w:val="single" w:sz="4" w:space="0" w:color="auto"/>
              <w:right w:val="single" w:sz="4" w:space="0" w:color="auto"/>
            </w:tcBorders>
          </w:tcPr>
          <w:p w:rsidR="00655A0C" w:rsidRPr="0091163D" w:rsidRDefault="00760A20" w:rsidP="002F4905">
            <w:pPr>
              <w:jc w:val="both"/>
            </w:pPr>
            <w:r w:rsidRPr="004A5BCF">
              <w:t>Розпорядження НКЦПФР стосовно відповідності пайового фонду вимогам щодо мінімального обсягу активів пайового фонду або визнання випуску інвестиційних сертифікатів пайового фонду таким, що не відбувся</w:t>
            </w:r>
            <w:r w:rsidR="002F4905">
              <w:t xml:space="preserve"> </w:t>
            </w:r>
            <w:r w:rsidRPr="004A5BCF">
              <w:t xml:space="preserve">надсилається </w:t>
            </w:r>
            <w:r w:rsidR="0021197F" w:rsidRPr="004A5BCF">
              <w:t xml:space="preserve">в електронній формі </w:t>
            </w:r>
            <w:r w:rsidR="0091163D" w:rsidRPr="00641669">
              <w:t xml:space="preserve">в </w:t>
            </w:r>
            <w:r w:rsidR="0091163D" w:rsidRPr="0091163D">
              <w:t>особистому</w:t>
            </w:r>
            <w:r w:rsidR="0091163D" w:rsidRPr="00641669">
              <w:t xml:space="preserve"> </w:t>
            </w:r>
            <w:r w:rsidR="0091163D">
              <w:t>кабінеті КІС заявника.</w:t>
            </w:r>
          </w:p>
        </w:tc>
      </w:tr>
    </w:tbl>
    <w:p w:rsidR="007A4557" w:rsidRPr="004A5BCF" w:rsidRDefault="007A4557" w:rsidP="007A4557">
      <w:pPr>
        <w:pStyle w:val="a5"/>
        <w:spacing w:before="0" w:beforeAutospacing="0" w:after="0" w:afterAutospacing="0"/>
        <w:jc w:val="both"/>
        <w:rPr>
          <w:sz w:val="16"/>
          <w:szCs w:val="16"/>
        </w:rPr>
      </w:pPr>
    </w:p>
    <w:p w:rsidR="00641669" w:rsidRDefault="00641669" w:rsidP="00641669">
      <w:pPr>
        <w:jc w:val="both"/>
      </w:pPr>
      <w:r>
        <w:t xml:space="preserve">Примітки: </w:t>
      </w:r>
    </w:p>
    <w:p w:rsidR="00641669" w:rsidRDefault="00641669" w:rsidP="00641669">
      <w:pPr>
        <w:jc w:val="both"/>
      </w:pPr>
      <w:r>
        <w:t>Права та обов’язки заявника визначені в статті 28 Закону України «Про адміністративну процедуру».</w:t>
      </w:r>
    </w:p>
    <w:p w:rsidR="00641669" w:rsidRDefault="00641669" w:rsidP="00641669">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641669" w:rsidRDefault="00641669" w:rsidP="00641669">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641669" w:rsidRDefault="00641669" w:rsidP="00641669">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641669" w:rsidRDefault="00641669" w:rsidP="00641669">
      <w:pPr>
        <w:pStyle w:val="a5"/>
        <w:spacing w:before="0" w:beforeAutospacing="0" w:after="0" w:afterAutospacing="0"/>
        <w:jc w:val="both"/>
      </w:pPr>
    </w:p>
    <w:p w:rsidR="00641669" w:rsidRDefault="00641669" w:rsidP="00641669">
      <w:pPr>
        <w:pStyle w:val="a5"/>
        <w:spacing w:before="0" w:beforeAutospacing="0" w:after="0" w:afterAutospacing="0"/>
        <w:jc w:val="both"/>
      </w:pPr>
    </w:p>
    <w:p w:rsidR="0018272A" w:rsidRPr="004A5BCF" w:rsidRDefault="0018272A" w:rsidP="00332C6F">
      <w:pPr>
        <w:jc w:val="both"/>
        <w:rPr>
          <w:sz w:val="28"/>
          <w:szCs w:val="28"/>
        </w:rPr>
      </w:pPr>
      <w:bookmarkStart w:id="3" w:name="_GoBack"/>
      <w:bookmarkEnd w:id="3"/>
    </w:p>
    <w:sectPr w:rsidR="0018272A" w:rsidRPr="004A5BCF" w:rsidSect="00D26A89">
      <w:headerReference w:type="default" r:id="rId12"/>
      <w:pgSz w:w="11906" w:h="16838"/>
      <w:pgMar w:top="709" w:right="851" w:bottom="568"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D4" w:rsidRDefault="00A434D4" w:rsidP="00D26A89">
      <w:r>
        <w:separator/>
      </w:r>
    </w:p>
  </w:endnote>
  <w:endnote w:type="continuationSeparator" w:id="0">
    <w:p w:rsidR="00A434D4" w:rsidRDefault="00A434D4" w:rsidP="00D2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D4" w:rsidRDefault="00A434D4" w:rsidP="00D26A89">
      <w:r>
        <w:separator/>
      </w:r>
    </w:p>
  </w:footnote>
  <w:footnote w:type="continuationSeparator" w:id="0">
    <w:p w:rsidR="00A434D4" w:rsidRDefault="00A434D4" w:rsidP="00D2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A89" w:rsidRDefault="00D26A89">
    <w:pPr>
      <w:pStyle w:val="a9"/>
      <w:jc w:val="center"/>
    </w:pPr>
    <w:r>
      <w:fldChar w:fldCharType="begin"/>
    </w:r>
    <w:r>
      <w:instrText>PAGE   \* MERGEFORMAT</w:instrText>
    </w:r>
    <w:r>
      <w:fldChar w:fldCharType="separate"/>
    </w:r>
    <w:r w:rsidR="007D12EE">
      <w:rPr>
        <w:noProof/>
      </w:rPr>
      <w:t>3</w:t>
    </w:r>
    <w:r>
      <w:fldChar w:fldCharType="end"/>
    </w:r>
  </w:p>
  <w:p w:rsidR="00D26A89" w:rsidRDefault="00D26A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10732"/>
    <w:rsid w:val="00062029"/>
    <w:rsid w:val="00066C9B"/>
    <w:rsid w:val="00087A75"/>
    <w:rsid w:val="00091720"/>
    <w:rsid w:val="000E0410"/>
    <w:rsid w:val="000E72CA"/>
    <w:rsid w:val="000F2D4A"/>
    <w:rsid w:val="001102D8"/>
    <w:rsid w:val="001532C2"/>
    <w:rsid w:val="0018272A"/>
    <w:rsid w:val="001B4B0F"/>
    <w:rsid w:val="001D3544"/>
    <w:rsid w:val="001D42D9"/>
    <w:rsid w:val="00203B1A"/>
    <w:rsid w:val="00206C79"/>
    <w:rsid w:val="0021197F"/>
    <w:rsid w:val="00240EBB"/>
    <w:rsid w:val="002A64E1"/>
    <w:rsid w:val="002F4905"/>
    <w:rsid w:val="003017F9"/>
    <w:rsid w:val="00332C6F"/>
    <w:rsid w:val="00343BFA"/>
    <w:rsid w:val="003C6B44"/>
    <w:rsid w:val="004A5BCF"/>
    <w:rsid w:val="00501F42"/>
    <w:rsid w:val="00507E85"/>
    <w:rsid w:val="00521324"/>
    <w:rsid w:val="00557250"/>
    <w:rsid w:val="00586273"/>
    <w:rsid w:val="00592514"/>
    <w:rsid w:val="005934D1"/>
    <w:rsid w:val="005D2130"/>
    <w:rsid w:val="005F5EB6"/>
    <w:rsid w:val="0060034D"/>
    <w:rsid w:val="00641669"/>
    <w:rsid w:val="00655A0C"/>
    <w:rsid w:val="00656842"/>
    <w:rsid w:val="00663BA2"/>
    <w:rsid w:val="0066688F"/>
    <w:rsid w:val="006730F4"/>
    <w:rsid w:val="006E58A6"/>
    <w:rsid w:val="0070114C"/>
    <w:rsid w:val="007464EB"/>
    <w:rsid w:val="00760A20"/>
    <w:rsid w:val="00767EBB"/>
    <w:rsid w:val="0078159B"/>
    <w:rsid w:val="00784293"/>
    <w:rsid w:val="007A4557"/>
    <w:rsid w:val="007D12EE"/>
    <w:rsid w:val="00845D77"/>
    <w:rsid w:val="00850280"/>
    <w:rsid w:val="008827C5"/>
    <w:rsid w:val="008A1094"/>
    <w:rsid w:val="008E62B7"/>
    <w:rsid w:val="0091163D"/>
    <w:rsid w:val="0092187D"/>
    <w:rsid w:val="009250DA"/>
    <w:rsid w:val="00944E51"/>
    <w:rsid w:val="009A0A45"/>
    <w:rsid w:val="009A2862"/>
    <w:rsid w:val="009B19CD"/>
    <w:rsid w:val="009C3115"/>
    <w:rsid w:val="009D6BF0"/>
    <w:rsid w:val="009D7746"/>
    <w:rsid w:val="00A02412"/>
    <w:rsid w:val="00A434D4"/>
    <w:rsid w:val="00A573EA"/>
    <w:rsid w:val="00A652E8"/>
    <w:rsid w:val="00A77CC6"/>
    <w:rsid w:val="00AC469E"/>
    <w:rsid w:val="00B830D8"/>
    <w:rsid w:val="00BA572E"/>
    <w:rsid w:val="00BA6DCD"/>
    <w:rsid w:val="00C25216"/>
    <w:rsid w:val="00C3136C"/>
    <w:rsid w:val="00C40AC7"/>
    <w:rsid w:val="00C41862"/>
    <w:rsid w:val="00C66EA6"/>
    <w:rsid w:val="00D237D7"/>
    <w:rsid w:val="00D26A89"/>
    <w:rsid w:val="00D3141A"/>
    <w:rsid w:val="00D74197"/>
    <w:rsid w:val="00D8054F"/>
    <w:rsid w:val="00DE2995"/>
    <w:rsid w:val="00DE61B3"/>
    <w:rsid w:val="00DF7D78"/>
    <w:rsid w:val="00E151F5"/>
    <w:rsid w:val="00E22024"/>
    <w:rsid w:val="00E2663A"/>
    <w:rsid w:val="00E63310"/>
    <w:rsid w:val="00E75851"/>
    <w:rsid w:val="00E81DE5"/>
    <w:rsid w:val="00E916D2"/>
    <w:rsid w:val="00EC0D72"/>
    <w:rsid w:val="00ED452F"/>
    <w:rsid w:val="00EF4EA4"/>
    <w:rsid w:val="00F15459"/>
    <w:rsid w:val="00F219B4"/>
    <w:rsid w:val="00F62C0A"/>
    <w:rsid w:val="00F65F42"/>
    <w:rsid w:val="00FA2BE0"/>
    <w:rsid w:val="00FA477F"/>
    <w:rsid w:val="00FD4EFD"/>
    <w:rsid w:val="00FD5835"/>
    <w:rsid w:val="00FF64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34663B-3D4E-482B-9F05-E252E1E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w:basedOn w:val="a"/>
    <w:rsid w:val="00A77CC6"/>
    <w:rPr>
      <w:rFonts w:ascii="Verdana" w:hAnsi="Verdana" w:cs="Verdana"/>
      <w:sz w:val="20"/>
      <w:szCs w:val="20"/>
      <w:lang w:val="en-US" w:eastAsia="en-US"/>
    </w:rPr>
  </w:style>
  <w:style w:type="character" w:customStyle="1" w:styleId="rvts23">
    <w:name w:val="rvts23"/>
    <w:basedOn w:val="a0"/>
    <w:rsid w:val="00A77CC6"/>
  </w:style>
  <w:style w:type="paragraph" w:styleId="a8">
    <w:name w:val="Balloon Text"/>
    <w:basedOn w:val="a"/>
    <w:semiHidden/>
    <w:rsid w:val="00A77CC6"/>
    <w:rPr>
      <w:rFonts w:ascii="Tahoma" w:hAnsi="Tahoma" w:cs="Tahoma"/>
      <w:sz w:val="16"/>
      <w:szCs w:val="16"/>
    </w:rPr>
  </w:style>
  <w:style w:type="paragraph" w:styleId="a9">
    <w:name w:val="header"/>
    <w:basedOn w:val="a"/>
    <w:link w:val="aa"/>
    <w:uiPriority w:val="99"/>
    <w:rsid w:val="00D26A89"/>
    <w:pPr>
      <w:tabs>
        <w:tab w:val="center" w:pos="4819"/>
        <w:tab w:val="right" w:pos="9639"/>
      </w:tabs>
    </w:pPr>
  </w:style>
  <w:style w:type="character" w:customStyle="1" w:styleId="aa">
    <w:name w:val="Верхній колонтитул Знак"/>
    <w:link w:val="a9"/>
    <w:uiPriority w:val="99"/>
    <w:rsid w:val="00D26A89"/>
    <w:rPr>
      <w:sz w:val="24"/>
      <w:szCs w:val="24"/>
    </w:rPr>
  </w:style>
  <w:style w:type="character" w:styleId="ab">
    <w:name w:val="FollowedHyperlink"/>
    <w:rsid w:val="001532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559637523">
      <w:bodyDiv w:val="1"/>
      <w:marLeft w:val="0"/>
      <w:marRight w:val="0"/>
      <w:marTop w:val="0"/>
      <w:marBottom w:val="0"/>
      <w:divBdr>
        <w:top w:val="none" w:sz="0" w:space="0" w:color="auto"/>
        <w:left w:val="none" w:sz="0" w:space="0" w:color="auto"/>
        <w:bottom w:val="none" w:sz="0" w:space="0" w:color="auto"/>
        <w:right w:val="none" w:sz="0" w:space="0" w:color="auto"/>
      </w:divBdr>
    </w:div>
    <w:div w:id="8111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smc.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5080-17/paran3" TargetMode="External"/><Relationship Id="rId5" Type="http://schemas.openxmlformats.org/officeDocument/2006/relationships/footnotes" Target="footnotes.xml"/><Relationship Id="rId10" Type="http://schemas.openxmlformats.org/officeDocument/2006/relationships/hyperlink" Target="http://zakon0.rada.gov.ua/laws/show/3480-15" TargetMode="External"/><Relationship Id="rId4" Type="http://schemas.openxmlformats.org/officeDocument/2006/relationships/webSettings" Target="webSettings.xml"/><Relationship Id="rId9" Type="http://schemas.openxmlformats.org/officeDocument/2006/relationships/hyperlink" Target="http://zakon0.rada.gov.ua/laws/show/448/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4436</Words>
  <Characters>2529</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6952</CharactersWithSpaces>
  <SharedDoc>false</SharedDoc>
  <HLinks>
    <vt:vector size="42" baseType="variant">
      <vt:variant>
        <vt:i4>917521</vt:i4>
      </vt:variant>
      <vt:variant>
        <vt:i4>18</vt:i4>
      </vt:variant>
      <vt:variant>
        <vt:i4>0</vt:i4>
      </vt:variant>
      <vt:variant>
        <vt:i4>5</vt:i4>
      </vt:variant>
      <vt:variant>
        <vt:lpwstr>http://zakon0.rada.gov.ua/laws/show/5080-17/paran3</vt:lpwstr>
      </vt:variant>
      <vt:variant>
        <vt:lpwstr>n3</vt:lpwstr>
      </vt:variant>
      <vt:variant>
        <vt:i4>2424866</vt:i4>
      </vt:variant>
      <vt:variant>
        <vt:i4>15</vt:i4>
      </vt:variant>
      <vt:variant>
        <vt:i4>0</vt:i4>
      </vt:variant>
      <vt:variant>
        <vt:i4>5</vt:i4>
      </vt:variant>
      <vt:variant>
        <vt:lpwstr>http://zakon0.rada.gov.ua/laws/show/3480-15</vt:lpwstr>
      </vt:variant>
      <vt:variant>
        <vt:lpwstr/>
      </vt:variant>
      <vt:variant>
        <vt:i4>6684718</vt:i4>
      </vt:variant>
      <vt:variant>
        <vt:i4>12</vt:i4>
      </vt:variant>
      <vt:variant>
        <vt:i4>0</vt:i4>
      </vt:variant>
      <vt:variant>
        <vt:i4>5</vt:i4>
      </vt:variant>
      <vt:variant>
        <vt:lpwstr>http://zakon0.rada.gov.ua/laws/show/448/96-%D0%B2%D1%80</vt:lpwstr>
      </vt:variant>
      <vt:variant>
        <vt:lpwstr/>
      </vt:variant>
      <vt:variant>
        <vt:i4>2162808</vt:i4>
      </vt:variant>
      <vt:variant>
        <vt:i4>9</vt:i4>
      </vt:variant>
      <vt:variant>
        <vt:i4>0</vt:i4>
      </vt:variant>
      <vt:variant>
        <vt:i4>5</vt:i4>
      </vt:variant>
      <vt:variant>
        <vt:lpwstr>https://services.nssmc.gov.ua/login</vt:lpwstr>
      </vt:variant>
      <vt:variant>
        <vt:lpwstr/>
      </vt:variant>
      <vt:variant>
        <vt:i4>7012424</vt:i4>
      </vt:variant>
      <vt:variant>
        <vt:i4>6</vt:i4>
      </vt:variant>
      <vt:variant>
        <vt:i4>0</vt:i4>
      </vt:variant>
      <vt:variant>
        <vt:i4>5</vt:i4>
      </vt:variant>
      <vt:variant>
        <vt:lpwstr>mailto:ruslan.matvieiev@nssmc.gov.ua</vt:lpwstr>
      </vt:variant>
      <vt:variant>
        <vt:lpwstr/>
      </vt:variant>
      <vt:variant>
        <vt:i4>3276822</vt:i4>
      </vt:variant>
      <vt:variant>
        <vt:i4>3</vt:i4>
      </vt:variant>
      <vt:variant>
        <vt:i4>0</vt:i4>
      </vt:variant>
      <vt:variant>
        <vt:i4>5</vt:i4>
      </vt:variant>
      <vt:variant>
        <vt:lpwstr>mailto:oksana.raievska@nssmc.gov.ua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2024-12-23T10:54:00Z</cp:lastPrinted>
  <dcterms:created xsi:type="dcterms:W3CDTF">2025-03-31T08:52:00Z</dcterms:created>
  <dcterms:modified xsi:type="dcterms:W3CDTF">2025-03-31T08:52:00Z</dcterms:modified>
</cp:coreProperties>
</file>