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4D" w:rsidRPr="007B5CFC" w:rsidRDefault="002B054D" w:rsidP="007B5CFC">
      <w:pPr>
        <w:widowControl w:val="0"/>
        <w:ind w:left="4820"/>
        <w:jc w:val="right"/>
        <w:rPr>
          <w:lang w:val="ru-RU"/>
        </w:rPr>
      </w:pPr>
      <w:r w:rsidRPr="007B5CFC">
        <w:t xml:space="preserve">Додаток </w:t>
      </w:r>
      <w:r w:rsidRPr="007B5CFC">
        <w:rPr>
          <w:lang w:val="ru-RU"/>
        </w:rPr>
        <w:t>87</w:t>
      </w:r>
    </w:p>
    <w:p w:rsidR="002B054D" w:rsidRPr="007B5CFC" w:rsidRDefault="002B054D" w:rsidP="007B5CFC">
      <w:pPr>
        <w:widowControl w:val="0"/>
        <w:ind w:left="4820"/>
        <w:jc w:val="both"/>
      </w:pPr>
      <w:r w:rsidRPr="007B5CFC">
        <w:t>до розпорядження Голови Національної комісії з цінних паперів та фондового ринку</w:t>
      </w:r>
    </w:p>
    <w:p w:rsidR="00505215" w:rsidRDefault="00B16D93" w:rsidP="007B5CFC">
      <w:pPr>
        <w:ind w:left="4820"/>
        <w:jc w:val="both"/>
        <w:rPr>
          <w:b/>
        </w:rPr>
      </w:pPr>
      <w:r>
        <w:t>від 25.03.2025 № 22/20/1911/С04</w:t>
      </w:r>
    </w:p>
    <w:p w:rsidR="006617C1" w:rsidRPr="007B5CFC" w:rsidRDefault="006617C1" w:rsidP="000503CC">
      <w:pPr>
        <w:rPr>
          <w:b/>
          <w:sz w:val="28"/>
          <w:szCs w:val="28"/>
        </w:rPr>
      </w:pPr>
    </w:p>
    <w:p w:rsidR="00E75851" w:rsidRPr="00D67C5E" w:rsidRDefault="00784293" w:rsidP="0036708C">
      <w:pPr>
        <w:jc w:val="center"/>
        <w:rPr>
          <w:b/>
          <w:sz w:val="28"/>
          <w:szCs w:val="28"/>
        </w:rPr>
      </w:pPr>
      <w:r w:rsidRPr="00D67C5E">
        <w:rPr>
          <w:b/>
          <w:sz w:val="28"/>
          <w:szCs w:val="28"/>
        </w:rPr>
        <w:t>ІНФОРМАЦІЙНА КАРТКА</w:t>
      </w:r>
    </w:p>
    <w:p w:rsidR="00784293" w:rsidRDefault="00E75851" w:rsidP="0036708C">
      <w:pPr>
        <w:jc w:val="center"/>
        <w:rPr>
          <w:b/>
          <w:sz w:val="28"/>
          <w:szCs w:val="28"/>
        </w:rPr>
      </w:pPr>
      <w:r w:rsidRPr="00D67C5E">
        <w:rPr>
          <w:b/>
          <w:sz w:val="28"/>
          <w:szCs w:val="28"/>
        </w:rPr>
        <w:t>адміністративної послуги</w:t>
      </w:r>
    </w:p>
    <w:p w:rsidR="00D67C5E" w:rsidRPr="00D67C5E" w:rsidRDefault="00D67C5E" w:rsidP="0036708C">
      <w:pPr>
        <w:jc w:val="center"/>
        <w:rPr>
          <w:b/>
          <w:sz w:val="28"/>
          <w:szCs w:val="28"/>
        </w:rPr>
      </w:pPr>
    </w:p>
    <w:p w:rsidR="00E75851" w:rsidRPr="00D67C5E" w:rsidRDefault="00663BA2" w:rsidP="0036708C">
      <w:pPr>
        <w:jc w:val="center"/>
        <w:rPr>
          <w:b/>
          <w:sz w:val="28"/>
          <w:szCs w:val="28"/>
        </w:rPr>
      </w:pPr>
      <w:r w:rsidRPr="00D67C5E">
        <w:rPr>
          <w:b/>
          <w:sz w:val="28"/>
          <w:szCs w:val="28"/>
        </w:rPr>
        <w:t>«</w:t>
      </w:r>
      <w:r w:rsidR="00045A4D" w:rsidRPr="00D67C5E">
        <w:rPr>
          <w:b/>
          <w:sz w:val="28"/>
          <w:szCs w:val="28"/>
        </w:rPr>
        <w:t>Погодження розповсюдження рекламних матеріалів щодо послуг з недержавного пенсійного забезпечення</w:t>
      </w:r>
      <w:r w:rsidRPr="00D67C5E">
        <w:rPr>
          <w:b/>
          <w:sz w:val="28"/>
          <w:szCs w:val="28"/>
        </w:rPr>
        <w:t>»</w:t>
      </w:r>
    </w:p>
    <w:p w:rsidR="008E62B7" w:rsidRPr="00D67C5E" w:rsidRDefault="008E62B7" w:rsidP="0036708C">
      <w:pPr>
        <w:jc w:val="both"/>
        <w:rPr>
          <w:b/>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333"/>
        <w:gridCol w:w="67"/>
        <w:gridCol w:w="6473"/>
      </w:tblGrid>
      <w:tr w:rsidR="0031153F" w:rsidRPr="00DF3340" w:rsidTr="007B5CFC">
        <w:trPr>
          <w:trHeight w:val="430"/>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153F" w:rsidRPr="00DF3340" w:rsidRDefault="0031153F" w:rsidP="00DF3340">
            <w:pPr>
              <w:jc w:val="center"/>
            </w:pPr>
            <w:r w:rsidRPr="00DF3340">
              <w:rPr>
                <w:b/>
              </w:rPr>
              <w:t>Інформація про суб’єкта надання адміністративної послуги</w:t>
            </w:r>
          </w:p>
        </w:tc>
      </w:tr>
      <w:tr w:rsidR="0031153F" w:rsidRPr="00DF3340" w:rsidTr="007B5CFC">
        <w:tc>
          <w:tcPr>
            <w:tcW w:w="253" w:type="pct"/>
            <w:tcBorders>
              <w:top w:val="single" w:sz="4" w:space="0" w:color="auto"/>
              <w:left w:val="single" w:sz="4" w:space="0" w:color="auto"/>
              <w:bottom w:val="single" w:sz="4" w:space="0" w:color="auto"/>
              <w:right w:val="single" w:sz="4" w:space="0" w:color="auto"/>
            </w:tcBorders>
          </w:tcPr>
          <w:p w:rsidR="0031153F" w:rsidRPr="00DF3340" w:rsidRDefault="0031153F" w:rsidP="002179C0">
            <w:pPr>
              <w:ind w:left="-30"/>
              <w:jc w:val="both"/>
            </w:pPr>
            <w:r w:rsidRPr="00DF3340">
              <w:t>1</w:t>
            </w:r>
          </w:p>
        </w:tc>
        <w:tc>
          <w:tcPr>
            <w:tcW w:w="1248"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Найменування суб’єкта</w:t>
            </w:r>
          </w:p>
        </w:tc>
        <w:tc>
          <w:tcPr>
            <w:tcW w:w="3499"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2B054D">
            <w:pPr>
              <w:jc w:val="both"/>
              <w:rPr>
                <w:shd w:val="clear" w:color="auto" w:fill="FFFFFF"/>
                <w:lang w:eastAsia="ru-RU"/>
              </w:rPr>
            </w:pPr>
            <w:r w:rsidRPr="00DF3340">
              <w:rPr>
                <w:shd w:val="clear" w:color="auto" w:fill="FFFFFF"/>
                <w:lang w:eastAsia="ru-RU"/>
              </w:rPr>
              <w:t>Національна комісія з цінних паперів та фондового ринку</w:t>
            </w:r>
          </w:p>
          <w:p w:rsidR="00D733AD" w:rsidRPr="00D67C5E" w:rsidRDefault="00D733AD" w:rsidP="00DB1736">
            <w:pPr>
              <w:ind w:firstLine="395"/>
              <w:jc w:val="both"/>
            </w:pPr>
          </w:p>
        </w:tc>
      </w:tr>
      <w:tr w:rsidR="0031153F" w:rsidRPr="00DF3340" w:rsidTr="007B5CFC">
        <w:tc>
          <w:tcPr>
            <w:tcW w:w="253"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2</w:t>
            </w:r>
          </w:p>
        </w:tc>
        <w:tc>
          <w:tcPr>
            <w:tcW w:w="1248"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Місцезнаходження</w:t>
            </w:r>
          </w:p>
        </w:tc>
        <w:tc>
          <w:tcPr>
            <w:tcW w:w="3499" w:type="pct"/>
            <w:gridSpan w:val="2"/>
            <w:tcBorders>
              <w:top w:val="single" w:sz="4" w:space="0" w:color="auto"/>
              <w:left w:val="single" w:sz="4" w:space="0" w:color="auto"/>
              <w:bottom w:val="single" w:sz="4" w:space="0" w:color="auto"/>
              <w:right w:val="single" w:sz="4" w:space="0" w:color="auto"/>
            </w:tcBorders>
          </w:tcPr>
          <w:p w:rsidR="00D733AD" w:rsidRPr="00D67C5E" w:rsidRDefault="0031153F" w:rsidP="002B054D">
            <w:pPr>
              <w:jc w:val="both"/>
            </w:pPr>
            <w:smartTag w:uri="urn:schemas-microsoft-com:office:smarttags" w:element="metricconverter">
              <w:smartTagPr>
                <w:attr w:name="ProductID" w:val="01010, м"/>
              </w:smartTagPr>
              <w:r w:rsidRPr="00DF3340">
                <w:t>01010, м</w:t>
              </w:r>
            </w:smartTag>
            <w:r w:rsidRPr="00DF3340">
              <w:t xml:space="preserve">. Київ, вул. </w:t>
            </w:r>
            <w:r w:rsidR="009A40F7">
              <w:t>Князів Острозьких</w:t>
            </w:r>
            <w:r w:rsidRPr="00DF3340">
              <w:t xml:space="preserve">, 8, </w:t>
            </w:r>
            <w:proofErr w:type="spellStart"/>
            <w:r w:rsidRPr="00DF3340">
              <w:t>корп</w:t>
            </w:r>
            <w:proofErr w:type="spellEnd"/>
            <w:r w:rsidRPr="00DF3340">
              <w:t>. 30</w:t>
            </w:r>
          </w:p>
        </w:tc>
      </w:tr>
      <w:tr w:rsidR="0031153F" w:rsidRPr="00DF3340" w:rsidTr="007B5CFC">
        <w:tc>
          <w:tcPr>
            <w:tcW w:w="253"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3</w:t>
            </w:r>
          </w:p>
        </w:tc>
        <w:tc>
          <w:tcPr>
            <w:tcW w:w="1248"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 xml:space="preserve">Режим роботи </w:t>
            </w:r>
          </w:p>
        </w:tc>
        <w:tc>
          <w:tcPr>
            <w:tcW w:w="3499"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2B054D">
            <w:pPr>
              <w:jc w:val="both"/>
            </w:pPr>
            <w:r w:rsidRPr="00DF3340">
              <w:t xml:space="preserve">Понеділок – четвер з 9:00 до 18:00; </w:t>
            </w:r>
          </w:p>
          <w:p w:rsidR="0031153F" w:rsidRPr="00DF3340" w:rsidRDefault="0031153F" w:rsidP="002B054D">
            <w:pPr>
              <w:jc w:val="both"/>
            </w:pPr>
            <w:r w:rsidRPr="00DF3340">
              <w:t>п’ятниця з 9:00 до 16:45;</w:t>
            </w:r>
          </w:p>
          <w:p w:rsidR="0031153F" w:rsidRPr="00DF3340" w:rsidRDefault="0031153F" w:rsidP="002B054D">
            <w:pPr>
              <w:jc w:val="both"/>
            </w:pPr>
            <w:r w:rsidRPr="00DF3340">
              <w:t>обідня перерва з 13:00 до 13:45 </w:t>
            </w:r>
          </w:p>
        </w:tc>
      </w:tr>
      <w:tr w:rsidR="002B054D" w:rsidRPr="00DF3340" w:rsidTr="007B5CFC">
        <w:tc>
          <w:tcPr>
            <w:tcW w:w="253" w:type="pct"/>
            <w:tcBorders>
              <w:top w:val="single" w:sz="4" w:space="0" w:color="auto"/>
              <w:left w:val="single" w:sz="4" w:space="0" w:color="auto"/>
              <w:bottom w:val="single" w:sz="4" w:space="0" w:color="auto"/>
              <w:right w:val="single" w:sz="4" w:space="0" w:color="auto"/>
            </w:tcBorders>
          </w:tcPr>
          <w:p w:rsidR="002B054D" w:rsidRPr="00DF3340" w:rsidRDefault="002B054D" w:rsidP="002B054D">
            <w:pPr>
              <w:jc w:val="both"/>
            </w:pPr>
            <w:r w:rsidRPr="00DF3340">
              <w:t>4</w:t>
            </w:r>
          </w:p>
        </w:tc>
        <w:tc>
          <w:tcPr>
            <w:tcW w:w="1248" w:type="pct"/>
            <w:tcBorders>
              <w:top w:val="single" w:sz="4" w:space="0" w:color="auto"/>
              <w:left w:val="single" w:sz="4" w:space="0" w:color="auto"/>
              <w:bottom w:val="single" w:sz="4" w:space="0" w:color="auto"/>
              <w:right w:val="single" w:sz="4" w:space="0" w:color="auto"/>
            </w:tcBorders>
          </w:tcPr>
          <w:p w:rsidR="002B054D" w:rsidRPr="00522946" w:rsidRDefault="002B054D" w:rsidP="002B054D">
            <w:pPr>
              <w:jc w:val="both"/>
              <w:rPr>
                <w:highlight w:val="yellow"/>
              </w:rPr>
            </w:pPr>
            <w:r w:rsidRPr="00271125">
              <w:t xml:space="preserve">Телефон/факс (довідки), адреса електронної пошти та </w:t>
            </w:r>
            <w:r w:rsidRPr="00271125">
              <w:rPr>
                <w:rStyle w:val="spelle"/>
              </w:rPr>
              <w:t>веб-сайт</w:t>
            </w:r>
            <w:r w:rsidRPr="00271125">
              <w:t xml:space="preserve"> </w:t>
            </w:r>
          </w:p>
        </w:tc>
        <w:tc>
          <w:tcPr>
            <w:tcW w:w="3499" w:type="pct"/>
            <w:gridSpan w:val="2"/>
            <w:tcBorders>
              <w:top w:val="single" w:sz="4" w:space="0" w:color="auto"/>
              <w:left w:val="single" w:sz="4" w:space="0" w:color="auto"/>
              <w:bottom w:val="single" w:sz="4" w:space="0" w:color="auto"/>
              <w:right w:val="single" w:sz="4" w:space="0" w:color="auto"/>
            </w:tcBorders>
          </w:tcPr>
          <w:p w:rsidR="002B054D" w:rsidRDefault="002B054D" w:rsidP="002B054D">
            <w:pPr>
              <w:contextualSpacing/>
            </w:pPr>
            <w:r>
              <w:t xml:space="preserve">Телефон: (044) </w:t>
            </w:r>
            <w:r w:rsidRPr="005C7FC7">
              <w:t>280-85-95</w:t>
            </w:r>
          </w:p>
          <w:p w:rsidR="002B054D" w:rsidRDefault="002B054D" w:rsidP="002B054D">
            <w:pPr>
              <w:contextualSpacing/>
            </w:pPr>
            <w:proofErr w:type="spellStart"/>
            <w:r>
              <w:t>Вебсайт</w:t>
            </w:r>
            <w:proofErr w:type="spellEnd"/>
            <w:r>
              <w:t xml:space="preserve">: </w:t>
            </w:r>
            <w:hyperlink r:id="rId6" w:history="1">
              <w:r>
                <w:rPr>
                  <w:rStyle w:val="a3"/>
                </w:rPr>
                <w:t>https://www.nssmc.gov.ua/</w:t>
              </w:r>
            </w:hyperlink>
          </w:p>
          <w:p w:rsidR="002B054D" w:rsidRPr="00523932" w:rsidRDefault="002B054D" w:rsidP="002B054D">
            <w:r>
              <w:t xml:space="preserve">Засоби комплексної інформаційної системи (КІС) </w:t>
            </w:r>
            <w:hyperlink r:id="rId7" w:history="1">
              <w:r>
                <w:rPr>
                  <w:rStyle w:val="a3"/>
                </w:rPr>
                <w:t>https://services.nssmc.gov.ua</w:t>
              </w:r>
            </w:hyperlink>
          </w:p>
        </w:tc>
      </w:tr>
      <w:tr w:rsidR="0031153F" w:rsidRPr="00DF3340" w:rsidTr="007B5CFC">
        <w:trPr>
          <w:trHeight w:val="428"/>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153F" w:rsidRPr="00DF3340" w:rsidRDefault="0031153F" w:rsidP="00DF3340">
            <w:pPr>
              <w:jc w:val="center"/>
              <w:rPr>
                <w:b/>
              </w:rPr>
            </w:pPr>
            <w:r w:rsidRPr="00DF3340">
              <w:rPr>
                <w:b/>
                <w:shd w:val="clear" w:color="auto" w:fill="FFFFFF"/>
              </w:rPr>
              <w:t>Нормативні акти, якими регламентується надання адміністративної послуги</w:t>
            </w:r>
          </w:p>
        </w:tc>
      </w:tr>
      <w:tr w:rsidR="006617C1" w:rsidRPr="00DF3340" w:rsidTr="007B5CFC">
        <w:tc>
          <w:tcPr>
            <w:tcW w:w="253"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5</w:t>
            </w:r>
          </w:p>
        </w:tc>
        <w:tc>
          <w:tcPr>
            <w:tcW w:w="1248"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Закони України</w:t>
            </w:r>
          </w:p>
        </w:tc>
        <w:tc>
          <w:tcPr>
            <w:tcW w:w="3499" w:type="pct"/>
            <w:gridSpan w:val="2"/>
            <w:tcBorders>
              <w:top w:val="single" w:sz="4" w:space="0" w:color="auto"/>
              <w:left w:val="single" w:sz="4" w:space="0" w:color="auto"/>
              <w:bottom w:val="single" w:sz="4" w:space="0" w:color="auto"/>
              <w:right w:val="single" w:sz="4" w:space="0" w:color="auto"/>
            </w:tcBorders>
          </w:tcPr>
          <w:p w:rsidR="001F7D86" w:rsidRDefault="001F7D86" w:rsidP="001F7D86">
            <w:pPr>
              <w:pStyle w:val="a5"/>
              <w:spacing w:before="0" w:beforeAutospacing="0" w:after="0" w:afterAutospacing="0"/>
              <w:ind w:firstLine="384"/>
              <w:jc w:val="both"/>
            </w:pPr>
            <w:r w:rsidRPr="006079F6">
              <w:t>Закон України «Про державне регулювання ринків капіталу та організованих товарних ринків»;</w:t>
            </w:r>
          </w:p>
          <w:p w:rsidR="001F7D86" w:rsidRDefault="001F7D86" w:rsidP="001F7D86">
            <w:pPr>
              <w:pStyle w:val="a5"/>
              <w:spacing w:before="0" w:beforeAutospacing="0" w:after="0" w:afterAutospacing="0"/>
              <w:ind w:firstLine="384"/>
              <w:jc w:val="both"/>
            </w:pPr>
            <w:r w:rsidRPr="00F15C75">
              <w:t>Закон У</w:t>
            </w:r>
            <w:r>
              <w:t>країни «Про ринки капіталу та організовані товарні ринки</w:t>
            </w:r>
            <w:r w:rsidRPr="00F15C75">
              <w:t>»;</w:t>
            </w:r>
          </w:p>
          <w:p w:rsidR="001F7D86" w:rsidRDefault="001F7D86" w:rsidP="001F7D86">
            <w:pPr>
              <w:pStyle w:val="a5"/>
              <w:spacing w:before="0" w:beforeAutospacing="0" w:after="0" w:afterAutospacing="0"/>
              <w:ind w:firstLine="384"/>
              <w:jc w:val="both"/>
            </w:pPr>
            <w:r w:rsidRPr="00F15C75">
              <w:t>Закон України «Про</w:t>
            </w:r>
            <w:r>
              <w:t xml:space="preserve"> адміністративну процедуру»;</w:t>
            </w:r>
          </w:p>
          <w:p w:rsidR="001F7D86" w:rsidRPr="001F7D86" w:rsidRDefault="001F7D86" w:rsidP="001F7D86">
            <w:pPr>
              <w:pStyle w:val="a5"/>
              <w:spacing w:before="0" w:beforeAutospacing="0" w:after="0" w:afterAutospacing="0"/>
              <w:ind w:firstLine="384"/>
              <w:jc w:val="both"/>
            </w:pPr>
            <w:r w:rsidRPr="00DF3340">
              <w:t>Закон України «Про недержавне пенсійне забезпечення»</w:t>
            </w:r>
            <w:r>
              <w:t>;</w:t>
            </w:r>
          </w:p>
          <w:p w:rsidR="00D733AD" w:rsidRPr="00DF3340" w:rsidRDefault="00322514" w:rsidP="001F7D86">
            <w:pPr>
              <w:pStyle w:val="a5"/>
              <w:spacing w:before="0" w:beforeAutospacing="0" w:after="0" w:afterAutospacing="0"/>
              <w:ind w:firstLine="384"/>
              <w:jc w:val="both"/>
            </w:pPr>
            <w:r>
              <w:t>Закон України «Про рекламу»</w:t>
            </w:r>
          </w:p>
        </w:tc>
      </w:tr>
      <w:tr w:rsidR="00DB1736" w:rsidRPr="00DF3340" w:rsidTr="007B5CFC">
        <w:tc>
          <w:tcPr>
            <w:tcW w:w="253" w:type="pct"/>
            <w:tcBorders>
              <w:top w:val="single" w:sz="4" w:space="0" w:color="auto"/>
              <w:left w:val="single" w:sz="4" w:space="0" w:color="auto"/>
              <w:bottom w:val="single" w:sz="4" w:space="0" w:color="auto"/>
              <w:right w:val="single" w:sz="4" w:space="0" w:color="auto"/>
            </w:tcBorders>
          </w:tcPr>
          <w:p w:rsidR="00DB1736" w:rsidRPr="00DB1736" w:rsidRDefault="00DB1736" w:rsidP="00DB1736">
            <w:pPr>
              <w:jc w:val="both"/>
              <w:rPr>
                <w:lang w:val="en-US"/>
              </w:rPr>
            </w:pPr>
            <w:r>
              <w:rPr>
                <w:lang w:val="en-US"/>
              </w:rPr>
              <w:t>6</w:t>
            </w:r>
          </w:p>
        </w:tc>
        <w:tc>
          <w:tcPr>
            <w:tcW w:w="1248" w:type="pct"/>
            <w:tcBorders>
              <w:top w:val="single" w:sz="4" w:space="0" w:color="auto"/>
              <w:left w:val="single" w:sz="4" w:space="0" w:color="auto"/>
              <w:bottom w:val="single" w:sz="4" w:space="0" w:color="auto"/>
              <w:right w:val="single" w:sz="4" w:space="0" w:color="auto"/>
            </w:tcBorders>
          </w:tcPr>
          <w:p w:rsidR="00DB1736" w:rsidRPr="00DF3340" w:rsidRDefault="00DB1736" w:rsidP="00DB1736">
            <w:pPr>
              <w:jc w:val="both"/>
            </w:pPr>
            <w:r w:rsidRPr="00AF151D">
              <w:t>Акти Кабінету Міністрів України</w:t>
            </w:r>
          </w:p>
        </w:tc>
        <w:tc>
          <w:tcPr>
            <w:tcW w:w="3499" w:type="pct"/>
            <w:gridSpan w:val="2"/>
            <w:tcBorders>
              <w:top w:val="single" w:sz="4" w:space="0" w:color="auto"/>
              <w:left w:val="single" w:sz="4" w:space="0" w:color="auto"/>
              <w:bottom w:val="single" w:sz="4" w:space="0" w:color="auto"/>
              <w:right w:val="single" w:sz="4" w:space="0" w:color="auto"/>
            </w:tcBorders>
          </w:tcPr>
          <w:p w:rsidR="00DB1736" w:rsidRPr="00AF151D" w:rsidRDefault="00DB1736" w:rsidP="00DB1736">
            <w:pPr>
              <w:pStyle w:val="a5"/>
              <w:spacing w:before="0" w:beforeAutospacing="0" w:after="0" w:afterAutospacing="0"/>
              <w:ind w:firstLine="384"/>
              <w:jc w:val="both"/>
              <w:rPr>
                <w:lang w:val="ru-RU"/>
              </w:rPr>
            </w:pPr>
          </w:p>
        </w:tc>
      </w:tr>
      <w:tr w:rsidR="0031153F" w:rsidRPr="00DF3340" w:rsidTr="007B5CFC">
        <w:tc>
          <w:tcPr>
            <w:tcW w:w="253" w:type="pct"/>
            <w:tcBorders>
              <w:top w:val="single" w:sz="4" w:space="0" w:color="auto"/>
              <w:left w:val="single" w:sz="4" w:space="0" w:color="auto"/>
              <w:bottom w:val="single" w:sz="4" w:space="0" w:color="auto"/>
              <w:right w:val="single" w:sz="4" w:space="0" w:color="auto"/>
            </w:tcBorders>
          </w:tcPr>
          <w:p w:rsidR="0031153F" w:rsidRPr="009D5AFF" w:rsidRDefault="00DB1736" w:rsidP="00DF3340">
            <w:pPr>
              <w:jc w:val="both"/>
              <w:rPr>
                <w:lang w:val="en-US"/>
              </w:rPr>
            </w:pPr>
            <w:r>
              <w:rPr>
                <w:lang w:val="en-US"/>
              </w:rPr>
              <w:t>7</w:t>
            </w:r>
          </w:p>
        </w:tc>
        <w:tc>
          <w:tcPr>
            <w:tcW w:w="1248"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rPr>
                <w:shd w:val="clear" w:color="auto" w:fill="FFFFFF"/>
              </w:rPr>
            </w:pPr>
            <w:r w:rsidRPr="00DF3340">
              <w:rPr>
                <w:shd w:val="clear" w:color="auto" w:fill="FFFFFF"/>
              </w:rPr>
              <w:t>Нормативні документи НКЦПФР</w:t>
            </w:r>
          </w:p>
        </w:tc>
        <w:tc>
          <w:tcPr>
            <w:tcW w:w="3499" w:type="pct"/>
            <w:gridSpan w:val="2"/>
            <w:tcBorders>
              <w:top w:val="single" w:sz="4" w:space="0" w:color="auto"/>
              <w:left w:val="single" w:sz="4" w:space="0" w:color="auto"/>
              <w:bottom w:val="single" w:sz="4" w:space="0" w:color="auto"/>
              <w:right w:val="single" w:sz="4" w:space="0" w:color="auto"/>
            </w:tcBorders>
          </w:tcPr>
          <w:p w:rsidR="00D733AD" w:rsidRDefault="006617C1" w:rsidP="00D67C5E">
            <w:pPr>
              <w:ind w:firstLine="395"/>
              <w:jc w:val="both"/>
            </w:pPr>
            <w:r w:rsidRPr="006617C1">
              <w:t>По</w:t>
            </w:r>
            <w:r>
              <w:t>ложення про рекламу, затверджене</w:t>
            </w:r>
            <w:r w:rsidRPr="006617C1">
              <w:t xml:space="preserve"> рішенням Національної комісії з цінних </w:t>
            </w:r>
            <w:r>
              <w:t>паперів та фондового ринку від 22.01.20</w:t>
            </w:r>
            <w:r w:rsidRPr="006617C1">
              <w:t>1</w:t>
            </w:r>
            <w:r>
              <w:t>3 № 63 (у редакції рішення Національної комісії з цінних паперів та фондового ринку від 21.10.2021 № 980)</w:t>
            </w:r>
            <w:r w:rsidR="00071237">
              <w:t>, зареєстроване</w:t>
            </w:r>
            <w:r w:rsidRPr="006617C1">
              <w:t xml:space="preserve"> в</w:t>
            </w:r>
            <w:r w:rsidR="00322514">
              <w:t xml:space="preserve"> Міністерстві юстиції України 12.02.20</w:t>
            </w:r>
            <w:r w:rsidRPr="006617C1">
              <w:t>1</w:t>
            </w:r>
            <w:r w:rsidR="00322514">
              <w:t>3 за № 247/22779</w:t>
            </w:r>
            <w:r w:rsidRPr="006617C1">
              <w:t xml:space="preserve"> </w:t>
            </w:r>
            <w:r>
              <w:t xml:space="preserve">                (далі – Положення</w:t>
            </w:r>
            <w:r w:rsidRPr="006617C1">
              <w:t>)</w:t>
            </w:r>
            <w:r w:rsidR="00D67C5E">
              <w:t>;</w:t>
            </w:r>
          </w:p>
          <w:p w:rsidR="00D67C5E" w:rsidRDefault="00D67C5E" w:rsidP="00D67C5E">
            <w:pPr>
              <w:ind w:firstLine="395"/>
              <w:jc w:val="both"/>
            </w:pPr>
            <w:r>
              <w:t>Рішення Національної комісії з цінних паперів та фондового ринку від 13.06.2022 № 620 «Про затвердження Розмірів плати за</w:t>
            </w:r>
          </w:p>
          <w:p w:rsidR="00D67C5E" w:rsidRDefault="00D67C5E" w:rsidP="00D67C5E">
            <w:pPr>
              <w:jc w:val="both"/>
            </w:pPr>
            <w:r>
              <w:t>реєстраційні дії щодо учасників ринків капіталу та інших осіб», зареєстроване в Міністерстві юстиції України 10.08.2022 за          № 909/38245</w:t>
            </w:r>
            <w:r w:rsidR="001F7D86">
              <w:t>;</w:t>
            </w:r>
          </w:p>
          <w:p w:rsidR="001F7D86" w:rsidRPr="00F852DD" w:rsidRDefault="001F7D86" w:rsidP="001F7D86">
            <w:pPr>
              <w:ind w:firstLine="395"/>
              <w:jc w:val="both"/>
            </w:pPr>
            <w:r>
              <w:t xml:space="preserve">Порядок надання адміністративних послуг Національною комісією з цінних паперів та фондового ринку, </w:t>
            </w:r>
            <w:r w:rsidRPr="0072629F">
              <w:t>зат</w:t>
            </w:r>
            <w:r>
              <w:t>верджений</w:t>
            </w:r>
            <w:r w:rsidRPr="0072629F">
              <w:t xml:space="preserve"> рішенням Національної комісії з цінних п</w:t>
            </w:r>
            <w:r>
              <w:t>аперів та фондового ринку від 17.11.2021 № 1124, зареєстрований</w:t>
            </w:r>
            <w:r w:rsidRPr="0072629F">
              <w:t xml:space="preserve"> в</w:t>
            </w:r>
            <w:r>
              <w:t xml:space="preserve"> Міністерстві юстиції України 03.</w:t>
            </w:r>
            <w:r w:rsidRPr="0072629F">
              <w:t>0</w:t>
            </w:r>
            <w:r>
              <w:t>2.2022 за № 147/</w:t>
            </w:r>
            <w:r w:rsidRPr="00BD5566">
              <w:t>3</w:t>
            </w:r>
            <w:r>
              <w:t>7483</w:t>
            </w:r>
            <w:r w:rsidR="00F852DD" w:rsidRPr="00F852DD">
              <w:t>.</w:t>
            </w:r>
          </w:p>
        </w:tc>
      </w:tr>
      <w:tr w:rsidR="0031153F" w:rsidRPr="00DF3340" w:rsidTr="007B5CFC">
        <w:trPr>
          <w:trHeight w:val="471"/>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153F" w:rsidRPr="00DF3340" w:rsidRDefault="0031153F" w:rsidP="00DF3340">
            <w:pPr>
              <w:jc w:val="center"/>
            </w:pPr>
            <w:r w:rsidRPr="00DF3340">
              <w:rPr>
                <w:b/>
              </w:rPr>
              <w:t>Умови отримання адміністративної послуги</w:t>
            </w:r>
          </w:p>
        </w:tc>
      </w:tr>
      <w:tr w:rsidR="0031153F" w:rsidRPr="00DF3340" w:rsidTr="007B5CFC">
        <w:trPr>
          <w:trHeight w:val="2259"/>
        </w:trPr>
        <w:tc>
          <w:tcPr>
            <w:tcW w:w="253" w:type="pct"/>
            <w:tcBorders>
              <w:top w:val="single" w:sz="4" w:space="0" w:color="auto"/>
              <w:left w:val="single" w:sz="4" w:space="0" w:color="auto"/>
              <w:bottom w:val="single" w:sz="4" w:space="0" w:color="auto"/>
              <w:right w:val="single" w:sz="4" w:space="0" w:color="auto"/>
            </w:tcBorders>
          </w:tcPr>
          <w:p w:rsidR="0031153F" w:rsidRPr="00DF3340" w:rsidRDefault="00DB1736" w:rsidP="00DF3340">
            <w:pPr>
              <w:jc w:val="both"/>
            </w:pPr>
            <w:r>
              <w:lastRenderedPageBreak/>
              <w:t>8</w:t>
            </w:r>
          </w:p>
        </w:tc>
        <w:tc>
          <w:tcPr>
            <w:tcW w:w="1284"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Перелік документів, необхідних для отримання адміністративної послуги, вимоги до них</w:t>
            </w:r>
          </w:p>
        </w:tc>
        <w:tc>
          <w:tcPr>
            <w:tcW w:w="3464" w:type="pct"/>
            <w:tcBorders>
              <w:top w:val="single" w:sz="4" w:space="0" w:color="auto"/>
              <w:left w:val="single" w:sz="4" w:space="0" w:color="auto"/>
              <w:bottom w:val="single" w:sz="4" w:space="0" w:color="auto"/>
              <w:right w:val="single" w:sz="4" w:space="0" w:color="auto"/>
            </w:tcBorders>
          </w:tcPr>
          <w:p w:rsidR="00FD11AD" w:rsidRPr="00FD11AD" w:rsidRDefault="00FD11AD" w:rsidP="006F32E4">
            <w:pPr>
              <w:ind w:firstLine="320"/>
              <w:jc w:val="both"/>
              <w:rPr>
                <w:b/>
              </w:rPr>
            </w:pPr>
            <w:r w:rsidRPr="00FD11AD">
              <w:rPr>
                <w:b/>
              </w:rPr>
              <w:t xml:space="preserve">Рекламодавці послуг з </w:t>
            </w:r>
            <w:r w:rsidR="00071237" w:rsidRPr="00071237">
              <w:rPr>
                <w:b/>
              </w:rPr>
              <w:t>недержавного пенсі</w:t>
            </w:r>
            <w:r w:rsidR="00AD0F31">
              <w:rPr>
                <w:b/>
              </w:rPr>
              <w:t>йного забезпечення (далі – НПЗ)</w:t>
            </w:r>
            <w:r w:rsidRPr="00FD11AD">
              <w:rPr>
                <w:b/>
              </w:rPr>
              <w:t xml:space="preserve"> не пізніше ніж за 10 робочих днів до дня її розповсюдження надають до НКЦПФР такі документи:</w:t>
            </w:r>
          </w:p>
          <w:p w:rsidR="00FD11AD" w:rsidRPr="00FD11AD" w:rsidRDefault="00FD11AD" w:rsidP="006F32E4">
            <w:pPr>
              <w:ind w:firstLine="320"/>
              <w:jc w:val="both"/>
            </w:pPr>
            <w:r w:rsidRPr="00FD11AD">
              <w:t>заяву про подання рекламних матер</w:t>
            </w:r>
            <w:r w:rsidR="007F1347">
              <w:t>іалів згідно з додатком до</w:t>
            </w:r>
            <w:r w:rsidRPr="00FD11AD">
              <w:t xml:space="preserve"> Положення (далі - заява);</w:t>
            </w:r>
          </w:p>
          <w:p w:rsidR="00FD11AD" w:rsidRPr="00172FC3" w:rsidRDefault="00FD11AD" w:rsidP="006F32E4">
            <w:pPr>
              <w:ind w:firstLine="320"/>
              <w:jc w:val="both"/>
            </w:pPr>
            <w:r w:rsidRPr="00FD11AD">
              <w:t>проєкт реклами, затверджений керівником рекламодавця або іншою особою, яка відповідно до закон</w:t>
            </w:r>
            <w:r w:rsidR="00172FC3">
              <w:t>одавства виконує його обов'язки;</w:t>
            </w:r>
          </w:p>
          <w:p w:rsidR="00585FFA" w:rsidRPr="00172FC3" w:rsidRDefault="00E63165" w:rsidP="006F32E4">
            <w:pPr>
              <w:ind w:firstLine="320"/>
              <w:jc w:val="both"/>
            </w:pPr>
            <w:hyperlink r:id="rId8" w:tgtFrame="_blank" w:history="1">
              <w:r w:rsidR="00172FC3" w:rsidRPr="00172FC3">
                <w:rPr>
                  <w:rStyle w:val="a3"/>
                  <w:color w:val="auto"/>
                  <w:u w:val="none"/>
                  <w:shd w:val="clear" w:color="auto" w:fill="FFFFFF"/>
                </w:rPr>
                <w:t>платіжний документ, що підтверджує внесення засновником(</w:t>
              </w:r>
              <w:proofErr w:type="spellStart"/>
              <w:r w:rsidR="00172FC3" w:rsidRPr="00172FC3">
                <w:rPr>
                  <w:rStyle w:val="a3"/>
                  <w:color w:val="auto"/>
                  <w:u w:val="none"/>
                  <w:shd w:val="clear" w:color="auto" w:fill="FFFFFF"/>
                </w:rPr>
                <w:t>ами</w:t>
              </w:r>
              <w:proofErr w:type="spellEnd"/>
              <w:r w:rsidR="00172FC3" w:rsidRPr="00172FC3">
                <w:rPr>
                  <w:rStyle w:val="a3"/>
                  <w:color w:val="auto"/>
                  <w:u w:val="none"/>
                  <w:shd w:val="clear" w:color="auto" w:fill="FFFFFF"/>
                </w:rPr>
                <w:t>) плати за погодження розповсюдження рекламних матеріалів щодо послуг з НПЗ.</w:t>
              </w:r>
            </w:hyperlink>
          </w:p>
          <w:p w:rsidR="00FD11AD" w:rsidRPr="00FD11AD" w:rsidRDefault="00FD11AD" w:rsidP="006F32E4">
            <w:pPr>
              <w:ind w:firstLine="320"/>
              <w:jc w:val="both"/>
            </w:pPr>
            <w:r w:rsidRPr="00FD11AD">
              <w:t xml:space="preserve">Особи, які надають агентські послуги у сфері НПЗ відповідно до договору доручення про надання таких послуг, укладеного з адміністратором </w:t>
            </w:r>
            <w:r w:rsidR="00AD0F31" w:rsidRPr="00AD0F31">
              <w:t xml:space="preserve">недержавного пенсійного фонду (далі </w:t>
            </w:r>
            <w:r w:rsidR="00AD0F31">
              <w:t>–</w:t>
            </w:r>
            <w:r w:rsidR="00AD0F31" w:rsidRPr="00AD0F31">
              <w:t xml:space="preserve"> НПФ)</w:t>
            </w:r>
            <w:r w:rsidRPr="00FD11AD">
              <w:t>, та планують розповсюдити рекламу щодо осіб, інтереси яких вони представляють, додатково подають засвідчену ними копію відповідного договору доручення.</w:t>
            </w:r>
          </w:p>
          <w:p w:rsidR="00FD11AD" w:rsidRPr="00FD11AD" w:rsidRDefault="00FD11AD" w:rsidP="006F32E4">
            <w:pPr>
              <w:ind w:firstLine="320"/>
              <w:jc w:val="both"/>
            </w:pPr>
            <w:r w:rsidRPr="00FD11AD">
              <w:t>У разі якщо заява, документи підписані не керівником рекламодавця, а іншою особою, яка виконує його обов'язки, то рекламодавець повинен надати копію документа, який підтверджує повноваження цієї особи.</w:t>
            </w:r>
          </w:p>
          <w:p w:rsidR="00FD11AD" w:rsidRPr="00FD11AD" w:rsidRDefault="00FD11AD" w:rsidP="006F32E4">
            <w:pPr>
              <w:ind w:firstLine="320"/>
              <w:jc w:val="both"/>
            </w:pPr>
            <w:r w:rsidRPr="00FD11AD">
              <w:t xml:space="preserve">У разі використання в </w:t>
            </w:r>
            <w:proofErr w:type="spellStart"/>
            <w:r w:rsidRPr="00FD11AD">
              <w:t>проєкті</w:t>
            </w:r>
            <w:proofErr w:type="spellEnd"/>
            <w:r w:rsidRPr="00FD11AD">
              <w:t xml:space="preserve"> реклами інформації, яка містить економічні та інші аналітичні показники, то рекламодавець повинен надати документи, що містять обґрунтування такої інформації.</w:t>
            </w:r>
          </w:p>
          <w:p w:rsidR="00FD11AD" w:rsidRDefault="00FD11AD" w:rsidP="006F32E4">
            <w:pPr>
              <w:ind w:firstLine="320"/>
              <w:jc w:val="both"/>
            </w:pPr>
            <w:r w:rsidRPr="00FD11AD">
              <w:t>Рекламодавець має право, к</w:t>
            </w:r>
            <w:r w:rsidR="009C27A5">
              <w:t>рім документів, передбачених</w:t>
            </w:r>
            <w:r w:rsidRPr="00FD11AD">
              <w:t xml:space="preserve"> Положенням, надавати інші документи, для підтвердження інформації, зазначеної у проекті реклами.</w:t>
            </w:r>
          </w:p>
          <w:p w:rsidR="00E76DC1" w:rsidRDefault="00E76DC1" w:rsidP="00E76DC1">
            <w:pPr>
              <w:pStyle w:val="tj"/>
              <w:spacing w:before="0" w:beforeAutospacing="0" w:after="0" w:afterAutospacing="0"/>
              <w:ind w:firstLine="318"/>
              <w:jc w:val="both"/>
            </w:pPr>
            <w:r w:rsidRPr="00E76DC1">
              <w:t>Заява та документи, що надаються р</w:t>
            </w:r>
            <w:r w:rsidR="00210A7C">
              <w:t>екламодавцем відповідно до</w:t>
            </w:r>
            <w:r w:rsidRPr="00E76DC1">
              <w:t xml:space="preserve"> Положення, мають бути викладені державною мовою та не містити виправлень та помилок.</w:t>
            </w:r>
          </w:p>
          <w:p w:rsidR="00002349" w:rsidRPr="00E76DC1" w:rsidRDefault="00002349" w:rsidP="00E76DC1">
            <w:pPr>
              <w:pStyle w:val="tj"/>
              <w:spacing w:before="0" w:beforeAutospacing="0" w:after="0" w:afterAutospacing="0"/>
              <w:ind w:firstLine="318"/>
              <w:jc w:val="both"/>
            </w:pPr>
            <w:r>
              <w:t>Реклама, яка розповсюджується рекламодавцем реклами послуг з НПЗ, повинна містити відомості щодо ліцензії (якщо законодавством вимагається отримання відповідної ліцензії), виданої цій особі (номер ліцензії, дату видачі та термін її дії (за наявності) або номер та дату рішення відповідного органу, який здійснює державне регулювання ринків капіталу та організованих товарних ринків, про видачу ліцензії та найменування органу, який видав ліцензію) або реєстраційний номер НПФ за реєстром НПФ, якщо рекламодавцем є НПФ.</w:t>
            </w:r>
          </w:p>
          <w:p w:rsidR="00E76DC1" w:rsidRPr="00E76DC1" w:rsidRDefault="00E76DC1" w:rsidP="00E76DC1">
            <w:pPr>
              <w:pStyle w:val="tj"/>
              <w:spacing w:before="0" w:beforeAutospacing="0" w:after="0" w:afterAutospacing="0"/>
              <w:ind w:firstLine="318"/>
              <w:jc w:val="both"/>
            </w:pPr>
            <w:r w:rsidRPr="00E76DC1">
              <w:t xml:space="preserve">Подання до НКЦПФР рекламодавцем та відправлення НКЦПФР рекламодавцю документів, передбачених Положенням, здійснюється в електронній формі з урахуванням вимог законодавства про електронні документи та електронний документообіг офіційним каналом зв'язку засобами, визначеними окремим документом нормативно-технічного характеру, інформація про які оприлюднена на офіційному </w:t>
            </w:r>
            <w:proofErr w:type="spellStart"/>
            <w:r w:rsidRPr="00E76DC1">
              <w:t>вебсайті</w:t>
            </w:r>
            <w:proofErr w:type="spellEnd"/>
            <w:r w:rsidRPr="00E76DC1">
              <w:t xml:space="preserve"> НКЦПФР, відповідно до вимог цього документа.</w:t>
            </w:r>
          </w:p>
          <w:p w:rsidR="00E76DC1" w:rsidRPr="00E76DC1" w:rsidRDefault="00E76DC1" w:rsidP="00E76DC1">
            <w:pPr>
              <w:pStyle w:val="tj"/>
              <w:spacing w:before="0" w:beforeAutospacing="0" w:after="0" w:afterAutospacing="0"/>
              <w:ind w:firstLine="318"/>
              <w:jc w:val="both"/>
            </w:pPr>
            <w:r w:rsidRPr="00E76DC1">
              <w:lastRenderedPageBreak/>
              <w:t>У пакеті документів, подання яких передбачено Положенням до НКЦПФР, заява та кожний документ, створений в електронній формі або створений як електронна копія паперового документа (</w:t>
            </w:r>
            <w:proofErr w:type="spellStart"/>
            <w:r w:rsidRPr="00E76DC1">
              <w:t>сканкопія</w:t>
            </w:r>
            <w:proofErr w:type="spellEnd"/>
            <w:r w:rsidRPr="00E76DC1">
              <w:t xml:space="preserve">), мають бути окремими файлами у форматі </w:t>
            </w:r>
            <w:proofErr w:type="spellStart"/>
            <w:r w:rsidRPr="00E76DC1">
              <w:t>Portable</w:t>
            </w:r>
            <w:proofErr w:type="spellEnd"/>
            <w:r w:rsidRPr="00E76DC1">
              <w:t xml:space="preserve"> </w:t>
            </w:r>
            <w:proofErr w:type="spellStart"/>
            <w:r w:rsidRPr="00E76DC1">
              <w:t>Document</w:t>
            </w:r>
            <w:proofErr w:type="spellEnd"/>
            <w:r w:rsidRPr="00E76DC1">
              <w:t xml:space="preserve"> </w:t>
            </w:r>
            <w:proofErr w:type="spellStart"/>
            <w:r w:rsidRPr="00E76DC1">
              <w:t>Format</w:t>
            </w:r>
            <w:proofErr w:type="spellEnd"/>
            <w:r w:rsidRPr="00E76DC1">
              <w:t xml:space="preserve"> / A (формат специфікації PDF 1.4 ISO 19005-1:2005) - PDF / A або </w:t>
            </w:r>
            <w:proofErr w:type="spellStart"/>
            <w:r w:rsidRPr="00E76DC1">
              <w:t>Rich</w:t>
            </w:r>
            <w:proofErr w:type="spellEnd"/>
            <w:r w:rsidRPr="00E76DC1">
              <w:t xml:space="preserve"> </w:t>
            </w:r>
            <w:proofErr w:type="spellStart"/>
            <w:r w:rsidRPr="00E76DC1">
              <w:t>Text</w:t>
            </w:r>
            <w:proofErr w:type="spellEnd"/>
            <w:r w:rsidRPr="00E76DC1">
              <w:t xml:space="preserve"> </w:t>
            </w:r>
            <w:proofErr w:type="spellStart"/>
            <w:r w:rsidRPr="00E76DC1">
              <w:t>Format</w:t>
            </w:r>
            <w:proofErr w:type="spellEnd"/>
            <w:r w:rsidRPr="00E76DC1">
              <w:t xml:space="preserve"> - RTF, або Word (.</w:t>
            </w:r>
            <w:proofErr w:type="spellStart"/>
            <w:r w:rsidRPr="00E76DC1">
              <w:t>doc</w:t>
            </w:r>
            <w:proofErr w:type="spellEnd"/>
            <w:r w:rsidRPr="00E76DC1">
              <w:t>) чи Word (.</w:t>
            </w:r>
            <w:proofErr w:type="spellStart"/>
            <w:r w:rsidRPr="00E76DC1">
              <w:t>docx</w:t>
            </w:r>
            <w:proofErr w:type="spellEnd"/>
            <w:r w:rsidRPr="00E76DC1">
              <w:t>) вид якого обирається заявником самостійно, із застосуванням електронного підпису керівника рекламодавця (іншої особи, яка відповідно до законодавства виконує його обов'язки) або голови ради НПФ (за дорученням голови ради особи з числа членів ради НПФ), що базується на кваліфікованому сертифікаті відкритого ключа, який повинен містити ідентифікаційні дані юридичної особи - рекламодавця, представником якої є така особа (повне або офіційне скорочене найменування та ідентифікаційний код за Єдиним державним реєстром юридичних осіб, фізичних осіб-підприємців та громадських формувань юридичної особи), на кожному окремому електронному документі.</w:t>
            </w:r>
          </w:p>
          <w:p w:rsidR="00FD11AD" w:rsidRPr="00FD11AD" w:rsidRDefault="00FD11AD" w:rsidP="00E76DC1">
            <w:pPr>
              <w:ind w:firstLine="320"/>
              <w:jc w:val="both"/>
            </w:pPr>
            <w:r w:rsidRPr="00FD11AD">
              <w:t xml:space="preserve">Якщо рекламодавці планують розмістити рекламу на телебаченні, радіо або в мережі Інтернет, до НКЦПФР подається сценарій рекламного відеоролика або </w:t>
            </w:r>
            <w:proofErr w:type="spellStart"/>
            <w:r w:rsidRPr="00FD11AD">
              <w:t>аудіоролика</w:t>
            </w:r>
            <w:proofErr w:type="spellEnd"/>
            <w:r w:rsidRPr="00FD11AD">
              <w:t xml:space="preserve"> в електронному вигляді у форматі AVI, MOV, MPEG, MPG, MP4, WMV, FLV, WMA, </w:t>
            </w:r>
            <w:proofErr w:type="spellStart"/>
            <w:r w:rsidRPr="00FD11AD">
              <w:t>Audio</w:t>
            </w:r>
            <w:proofErr w:type="spellEnd"/>
            <w:r w:rsidRPr="00FD11AD">
              <w:t xml:space="preserve"> CD, AMR, AAC, MP3, WAV або в іншому форматі із зазначенням інформації, необхідної для відтворення проєкту реклами в НКЦПФР.</w:t>
            </w:r>
          </w:p>
          <w:p w:rsidR="009E2EE0" w:rsidRPr="00FD11AD" w:rsidRDefault="00FD11AD" w:rsidP="006F32E4">
            <w:pPr>
              <w:ind w:firstLine="320"/>
              <w:jc w:val="both"/>
            </w:pPr>
            <w:r w:rsidRPr="00FD11AD">
              <w:t>Якщо реклама планується розповсюджуватись рекламодавцями у вигляді поліграфічних видань (буклети, пам'ятки, листівки, плакати тощо) чи засобів наглядної агітації (рекламні стенди, банери та рекламні щити, наклейки тощо), до НКЦПФР подається комп'ютерний макет в електронному вигляді у форматі JPEG, TIFF, BMP, GIF, PCX, PSD, AI, CDR, EPS, FLA, FH, SVG, SWF, WMF або в іншому форматі із зазначенням інформації, необхідної для відтворення проєкту реклами в НКЦПФР. У разі неможливості виготовлення комп'ютерного макета необхідно надати письмовий та графічний макети (текст, ілюстрації).</w:t>
            </w:r>
          </w:p>
        </w:tc>
      </w:tr>
      <w:tr w:rsidR="0031153F" w:rsidRPr="00DF3340" w:rsidTr="007B5CFC">
        <w:tc>
          <w:tcPr>
            <w:tcW w:w="253" w:type="pct"/>
            <w:tcBorders>
              <w:top w:val="single" w:sz="4" w:space="0" w:color="auto"/>
              <w:left w:val="single" w:sz="4" w:space="0" w:color="auto"/>
              <w:bottom w:val="single" w:sz="4" w:space="0" w:color="auto"/>
              <w:right w:val="single" w:sz="4" w:space="0" w:color="auto"/>
            </w:tcBorders>
          </w:tcPr>
          <w:p w:rsidR="0031153F" w:rsidRPr="00DF3340" w:rsidRDefault="00DB1736" w:rsidP="00DF3340">
            <w:pPr>
              <w:jc w:val="both"/>
            </w:pPr>
            <w:r>
              <w:lastRenderedPageBreak/>
              <w:t>9</w:t>
            </w:r>
          </w:p>
        </w:tc>
        <w:tc>
          <w:tcPr>
            <w:tcW w:w="1284"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Платність (безоплатність) надання адміністративної послуги</w:t>
            </w:r>
          </w:p>
        </w:tc>
        <w:tc>
          <w:tcPr>
            <w:tcW w:w="3464" w:type="pct"/>
            <w:tcBorders>
              <w:top w:val="single" w:sz="4" w:space="0" w:color="auto"/>
              <w:left w:val="single" w:sz="4" w:space="0" w:color="auto"/>
              <w:bottom w:val="single" w:sz="4" w:space="0" w:color="auto"/>
              <w:right w:val="single" w:sz="4" w:space="0" w:color="auto"/>
            </w:tcBorders>
          </w:tcPr>
          <w:p w:rsidR="00CC4C6C" w:rsidRDefault="00CC4C6C" w:rsidP="00CC4C6C">
            <w:pPr>
              <w:jc w:val="both"/>
            </w:pPr>
            <w:r>
              <w:t>Платна. 7 000 грн.</w:t>
            </w:r>
          </w:p>
          <w:p w:rsidR="0031153F" w:rsidRPr="00DF3340" w:rsidRDefault="00CC4C6C" w:rsidP="00CC4C6C">
            <w:pPr>
              <w:jc w:val="both"/>
            </w:pPr>
            <w:r>
              <w:t>Оплата здійснюється за кодом бюджетної класифікації 22012500.</w:t>
            </w:r>
          </w:p>
        </w:tc>
      </w:tr>
      <w:tr w:rsidR="0031153F" w:rsidRPr="00DF3340" w:rsidTr="007B5CFC">
        <w:tc>
          <w:tcPr>
            <w:tcW w:w="253" w:type="pct"/>
            <w:tcBorders>
              <w:top w:val="single" w:sz="4" w:space="0" w:color="auto"/>
              <w:left w:val="single" w:sz="4" w:space="0" w:color="auto"/>
              <w:bottom w:val="single" w:sz="4" w:space="0" w:color="auto"/>
              <w:right w:val="single" w:sz="4" w:space="0" w:color="auto"/>
            </w:tcBorders>
          </w:tcPr>
          <w:p w:rsidR="0031153F" w:rsidRPr="00DF3340" w:rsidRDefault="00DB1736" w:rsidP="00DF3340">
            <w:pPr>
              <w:jc w:val="both"/>
            </w:pPr>
            <w:r>
              <w:t>10</w:t>
            </w:r>
          </w:p>
        </w:tc>
        <w:tc>
          <w:tcPr>
            <w:tcW w:w="1284"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Порядок та спосіб подання документів</w:t>
            </w:r>
          </w:p>
        </w:tc>
        <w:tc>
          <w:tcPr>
            <w:tcW w:w="3464" w:type="pct"/>
            <w:tcBorders>
              <w:top w:val="single" w:sz="4" w:space="0" w:color="auto"/>
              <w:left w:val="single" w:sz="4" w:space="0" w:color="auto"/>
              <w:bottom w:val="single" w:sz="4" w:space="0" w:color="auto"/>
              <w:right w:val="single" w:sz="4" w:space="0" w:color="auto"/>
            </w:tcBorders>
          </w:tcPr>
          <w:p w:rsidR="0031153F" w:rsidRPr="00DF3340" w:rsidRDefault="000503CC" w:rsidP="000503CC">
            <w:pPr>
              <w:pStyle w:val="tj"/>
              <w:spacing w:before="0" w:beforeAutospacing="0" w:after="0" w:afterAutospacing="0"/>
              <w:ind w:firstLine="318"/>
              <w:jc w:val="both"/>
            </w:pPr>
            <w:r w:rsidRPr="00E76DC1">
              <w:t xml:space="preserve">Подання до НКЦПФР рекламодавцем та відправлення НКЦПФР рекламодавцю документів, передбачених Положенням, здійснюється в електронній формі з урахуванням вимог законодавства про електронні документи та електронний документообіг офіційним каналом зв'язку засобами, визначеними окремим документом нормативно-технічного характеру, інформація про які оприлюднена на офіційному </w:t>
            </w:r>
            <w:proofErr w:type="spellStart"/>
            <w:r w:rsidRPr="00E76DC1">
              <w:t>вебсайті</w:t>
            </w:r>
            <w:proofErr w:type="spellEnd"/>
            <w:r w:rsidRPr="00E76DC1">
              <w:t xml:space="preserve"> НКЦПФР, відповідно до вимог цього документа.</w:t>
            </w:r>
          </w:p>
        </w:tc>
      </w:tr>
      <w:tr w:rsidR="0031153F" w:rsidRPr="00DF3340" w:rsidTr="007B5CFC">
        <w:tc>
          <w:tcPr>
            <w:tcW w:w="253" w:type="pct"/>
            <w:tcBorders>
              <w:top w:val="single" w:sz="4" w:space="0" w:color="auto"/>
              <w:left w:val="single" w:sz="4" w:space="0" w:color="auto"/>
              <w:bottom w:val="single" w:sz="4" w:space="0" w:color="auto"/>
              <w:right w:val="single" w:sz="4" w:space="0" w:color="auto"/>
            </w:tcBorders>
          </w:tcPr>
          <w:p w:rsidR="0031153F" w:rsidRPr="00DF3340" w:rsidRDefault="009D5AFF" w:rsidP="00DF3340">
            <w:pPr>
              <w:jc w:val="both"/>
            </w:pPr>
            <w:r>
              <w:lastRenderedPageBreak/>
              <w:t>1</w:t>
            </w:r>
            <w:r w:rsidR="00DB1736">
              <w:t>1</w:t>
            </w:r>
          </w:p>
        </w:tc>
        <w:tc>
          <w:tcPr>
            <w:tcW w:w="1284"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Строк надання адміністративної послуги</w:t>
            </w:r>
          </w:p>
        </w:tc>
        <w:tc>
          <w:tcPr>
            <w:tcW w:w="3464" w:type="pct"/>
            <w:tcBorders>
              <w:top w:val="single" w:sz="4" w:space="0" w:color="auto"/>
              <w:left w:val="single" w:sz="4" w:space="0" w:color="auto"/>
              <w:bottom w:val="single" w:sz="4" w:space="0" w:color="auto"/>
              <w:right w:val="single" w:sz="4" w:space="0" w:color="auto"/>
            </w:tcBorders>
          </w:tcPr>
          <w:p w:rsidR="0031153F" w:rsidRPr="00002349" w:rsidRDefault="00EE0D09" w:rsidP="00DB1736">
            <w:pPr>
              <w:ind w:firstLine="320"/>
              <w:jc w:val="both"/>
              <w:rPr>
                <w:rStyle w:val="rvts0"/>
              </w:rPr>
            </w:pPr>
            <w:r>
              <w:t>Про відсутність підстав для заборони розповсюдження реклами послуг з НПЗ НКЦПФР повідомляє рекламодавця офіційним каналом зв'язку протягом п'яти робочих днів з дати отримання заяви та документів (з урахуванням продовження строку розгляду заяви та документів на строк залишення заяви без руху) із застосуванням електронного підпису, що базується на кваліфікованому сертифікаті відкритого ключа</w:t>
            </w:r>
            <w:r>
              <w:rPr>
                <w:rFonts w:ascii="Arial" w:hAnsi="Arial" w:cs="Arial"/>
                <w:color w:val="293A55"/>
                <w:shd w:val="clear" w:color="auto" w:fill="FFFFFF"/>
              </w:rPr>
              <w:t xml:space="preserve"> </w:t>
            </w:r>
            <w:r>
              <w:t>службовця НКЦПФР, який наділений відповідними повноваженнями.</w:t>
            </w:r>
          </w:p>
        </w:tc>
      </w:tr>
      <w:tr w:rsidR="0031153F" w:rsidRPr="00DF3340" w:rsidTr="007B5CFC">
        <w:trPr>
          <w:trHeight w:val="274"/>
        </w:trPr>
        <w:tc>
          <w:tcPr>
            <w:tcW w:w="253" w:type="pct"/>
            <w:tcBorders>
              <w:top w:val="single" w:sz="4" w:space="0" w:color="auto"/>
              <w:left w:val="single" w:sz="4" w:space="0" w:color="auto"/>
              <w:bottom w:val="single" w:sz="4" w:space="0" w:color="auto"/>
              <w:right w:val="single" w:sz="4" w:space="0" w:color="auto"/>
            </w:tcBorders>
          </w:tcPr>
          <w:p w:rsidR="0031153F" w:rsidRPr="00DF3340" w:rsidRDefault="009D5AFF" w:rsidP="00DF3340">
            <w:pPr>
              <w:jc w:val="both"/>
            </w:pPr>
            <w:r>
              <w:t>1</w:t>
            </w:r>
            <w:r w:rsidR="00DB1736">
              <w:t>2</w:t>
            </w:r>
          </w:p>
        </w:tc>
        <w:tc>
          <w:tcPr>
            <w:tcW w:w="1284"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Результат надання адміністративної послуги</w:t>
            </w:r>
          </w:p>
        </w:tc>
        <w:tc>
          <w:tcPr>
            <w:tcW w:w="3464" w:type="pct"/>
            <w:tcBorders>
              <w:top w:val="single" w:sz="4" w:space="0" w:color="auto"/>
              <w:left w:val="single" w:sz="4" w:space="0" w:color="auto"/>
              <w:bottom w:val="single" w:sz="4" w:space="0" w:color="auto"/>
              <w:right w:val="single" w:sz="4" w:space="0" w:color="auto"/>
            </w:tcBorders>
          </w:tcPr>
          <w:p w:rsidR="0031153F" w:rsidRPr="00DF3340" w:rsidRDefault="00F02CD4" w:rsidP="00DF3340">
            <w:pPr>
              <w:jc w:val="both"/>
              <w:rPr>
                <w:lang w:val="ru-RU"/>
              </w:rPr>
            </w:pPr>
            <w:r>
              <w:t>П</w:t>
            </w:r>
            <w:r w:rsidRPr="00F02CD4">
              <w:t>огодження розповсюдження рекламних матеріалів щодо послуг з недержавного пенсійного забезпечен</w:t>
            </w:r>
            <w:r>
              <w:t>ня</w:t>
            </w:r>
            <w:r w:rsidRPr="00F02CD4">
              <w:t>.</w:t>
            </w:r>
          </w:p>
        </w:tc>
      </w:tr>
      <w:tr w:rsidR="0031153F" w:rsidRPr="00DF3340" w:rsidTr="007B5CFC">
        <w:tc>
          <w:tcPr>
            <w:tcW w:w="253" w:type="pct"/>
            <w:tcBorders>
              <w:top w:val="single" w:sz="4" w:space="0" w:color="auto"/>
              <w:left w:val="single" w:sz="4" w:space="0" w:color="auto"/>
              <w:bottom w:val="single" w:sz="4" w:space="0" w:color="auto"/>
              <w:right w:val="single" w:sz="4" w:space="0" w:color="auto"/>
            </w:tcBorders>
          </w:tcPr>
          <w:p w:rsidR="0031153F" w:rsidRPr="00DF3340" w:rsidRDefault="009D5AFF" w:rsidP="00DF3340">
            <w:pPr>
              <w:jc w:val="both"/>
            </w:pPr>
            <w:r>
              <w:t>1</w:t>
            </w:r>
            <w:r w:rsidR="00DB1736">
              <w:t>3</w:t>
            </w:r>
          </w:p>
        </w:tc>
        <w:tc>
          <w:tcPr>
            <w:tcW w:w="1284"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Способи отримання відповіді (результату)</w:t>
            </w:r>
          </w:p>
        </w:tc>
        <w:tc>
          <w:tcPr>
            <w:tcW w:w="3464" w:type="pct"/>
            <w:tcBorders>
              <w:top w:val="single" w:sz="4" w:space="0" w:color="auto"/>
              <w:left w:val="single" w:sz="4" w:space="0" w:color="auto"/>
              <w:bottom w:val="single" w:sz="4" w:space="0" w:color="auto"/>
              <w:right w:val="single" w:sz="4" w:space="0" w:color="auto"/>
            </w:tcBorders>
          </w:tcPr>
          <w:p w:rsidR="00271125" w:rsidRPr="00DF3340" w:rsidRDefault="00EE0D09" w:rsidP="00DB1736">
            <w:pPr>
              <w:pStyle w:val="a5"/>
              <w:ind w:firstLine="320"/>
              <w:jc w:val="both"/>
            </w:pPr>
            <w:r>
              <w:t>Про відсутність підстав для заборони розповсюдження реклами послуг з НПЗ НКЦПФР повідомляє рекламодавця офіційним каналом зв'язку протягом п'яти робочих днів з дати отримання заяви та документів (з урахуванням продовження строку розгляду заяви та документів на строк залишення заяви без руху) із застосуванням електронного підпису, що базується на кваліфікованому сертифікаті відкритого ключа</w:t>
            </w:r>
            <w:r>
              <w:rPr>
                <w:rFonts w:ascii="Arial" w:hAnsi="Arial" w:cs="Arial"/>
                <w:color w:val="293A55"/>
                <w:shd w:val="clear" w:color="auto" w:fill="FFFFFF"/>
              </w:rPr>
              <w:t xml:space="preserve"> </w:t>
            </w:r>
            <w:r>
              <w:t>службовця НКЦПФР, який наділений відповідними повноваженнями.</w:t>
            </w:r>
          </w:p>
        </w:tc>
      </w:tr>
    </w:tbl>
    <w:p w:rsidR="0031153F" w:rsidRPr="00DF3340" w:rsidRDefault="0031153F" w:rsidP="00DF3340">
      <w:pPr>
        <w:jc w:val="both"/>
      </w:pPr>
    </w:p>
    <w:p w:rsidR="002B054D" w:rsidRDefault="002B054D" w:rsidP="002B054D">
      <w:pPr>
        <w:jc w:val="both"/>
      </w:pPr>
      <w:r>
        <w:t xml:space="preserve">Примітки: </w:t>
      </w:r>
    </w:p>
    <w:p w:rsidR="002B054D" w:rsidRDefault="002B054D" w:rsidP="002B054D">
      <w:pPr>
        <w:jc w:val="both"/>
      </w:pPr>
      <w:r>
        <w:t>Права та обов’язки заявника визначені в статті 28 Закону України «Про адміністративну процедуру».</w:t>
      </w:r>
    </w:p>
    <w:p w:rsidR="002B054D" w:rsidRDefault="002B054D" w:rsidP="002B054D">
      <w:pPr>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2B054D" w:rsidRDefault="002B054D" w:rsidP="002B054D">
      <w:pPr>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2B054D" w:rsidRDefault="002B054D" w:rsidP="002B054D">
      <w:pPr>
        <w:pStyle w:val="a5"/>
        <w:spacing w:before="0" w:beforeAutospacing="0" w:after="0" w:afterAutospacing="0"/>
        <w:jc w:val="both"/>
      </w:pPr>
      <w:r>
        <w:t>Результати надання адміністративної послуги можуть бути оскаржені до суду в порядку, встановленому законом</w:t>
      </w:r>
    </w:p>
    <w:p w:rsidR="002B054D" w:rsidRDefault="002B054D" w:rsidP="002B054D">
      <w:pPr>
        <w:pStyle w:val="a5"/>
        <w:spacing w:before="0" w:beforeAutospacing="0" w:after="0" w:afterAutospacing="0"/>
        <w:jc w:val="both"/>
      </w:pPr>
    </w:p>
    <w:p w:rsidR="002B054D" w:rsidRDefault="002B054D" w:rsidP="002B054D">
      <w:pPr>
        <w:pStyle w:val="a5"/>
        <w:spacing w:before="0" w:beforeAutospacing="0" w:after="0" w:afterAutospacing="0"/>
        <w:jc w:val="both"/>
      </w:pPr>
    </w:p>
    <w:p w:rsidR="00473DA2" w:rsidRPr="00E63165" w:rsidRDefault="00473DA2" w:rsidP="007B5CFC">
      <w:pPr>
        <w:jc w:val="both"/>
      </w:pPr>
      <w:bookmarkStart w:id="0" w:name="_GoBack"/>
      <w:bookmarkEnd w:id="0"/>
    </w:p>
    <w:sectPr w:rsidR="00473DA2" w:rsidRPr="00E63165" w:rsidSect="00E63165">
      <w:pgSz w:w="11906" w:h="16838"/>
      <w:pgMar w:top="1134"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2349"/>
    <w:rsid w:val="00004AAA"/>
    <w:rsid w:val="00010732"/>
    <w:rsid w:val="000349E5"/>
    <w:rsid w:val="00045A4D"/>
    <w:rsid w:val="000503CC"/>
    <w:rsid w:val="00060C12"/>
    <w:rsid w:val="00071237"/>
    <w:rsid w:val="00087A75"/>
    <w:rsid w:val="00091720"/>
    <w:rsid w:val="000A3BD5"/>
    <w:rsid w:val="000D6ABF"/>
    <w:rsid w:val="000F2D4A"/>
    <w:rsid w:val="00132756"/>
    <w:rsid w:val="00151E8A"/>
    <w:rsid w:val="00172FC3"/>
    <w:rsid w:val="0018272A"/>
    <w:rsid w:val="001B4B0F"/>
    <w:rsid w:val="001D04BE"/>
    <w:rsid w:val="001D3544"/>
    <w:rsid w:val="001F7D86"/>
    <w:rsid w:val="00203B1A"/>
    <w:rsid w:val="002078FA"/>
    <w:rsid w:val="00210A7C"/>
    <w:rsid w:val="002179C0"/>
    <w:rsid w:val="0022603C"/>
    <w:rsid w:val="00240EBB"/>
    <w:rsid w:val="00271125"/>
    <w:rsid w:val="002B054D"/>
    <w:rsid w:val="002F6736"/>
    <w:rsid w:val="0031153F"/>
    <w:rsid w:val="00322514"/>
    <w:rsid w:val="003230DA"/>
    <w:rsid w:val="00325771"/>
    <w:rsid w:val="0036708C"/>
    <w:rsid w:val="00377E0A"/>
    <w:rsid w:val="003A3CC7"/>
    <w:rsid w:val="003B665F"/>
    <w:rsid w:val="004702E3"/>
    <w:rsid w:val="00473DA2"/>
    <w:rsid w:val="00487DB1"/>
    <w:rsid w:val="004924E6"/>
    <w:rsid w:val="004F74E6"/>
    <w:rsid w:val="00504102"/>
    <w:rsid w:val="00505215"/>
    <w:rsid w:val="00522946"/>
    <w:rsid w:val="00523932"/>
    <w:rsid w:val="00525367"/>
    <w:rsid w:val="0052545E"/>
    <w:rsid w:val="00546400"/>
    <w:rsid w:val="0055562A"/>
    <w:rsid w:val="00566EC9"/>
    <w:rsid w:val="00585FFA"/>
    <w:rsid w:val="00586273"/>
    <w:rsid w:val="005934D1"/>
    <w:rsid w:val="00593FE4"/>
    <w:rsid w:val="005952A1"/>
    <w:rsid w:val="005970EA"/>
    <w:rsid w:val="005D2130"/>
    <w:rsid w:val="0060034D"/>
    <w:rsid w:val="00635B9C"/>
    <w:rsid w:val="00655A0C"/>
    <w:rsid w:val="00657905"/>
    <w:rsid w:val="006601DA"/>
    <w:rsid w:val="006617C1"/>
    <w:rsid w:val="00663BA2"/>
    <w:rsid w:val="00663C1D"/>
    <w:rsid w:val="0066688F"/>
    <w:rsid w:val="006F32E4"/>
    <w:rsid w:val="00716EDA"/>
    <w:rsid w:val="00743FC3"/>
    <w:rsid w:val="0076731E"/>
    <w:rsid w:val="0078159B"/>
    <w:rsid w:val="00784293"/>
    <w:rsid w:val="00795B03"/>
    <w:rsid w:val="007A4557"/>
    <w:rsid w:val="007B005D"/>
    <w:rsid w:val="007B5CFC"/>
    <w:rsid w:val="007B7746"/>
    <w:rsid w:val="007C7C5B"/>
    <w:rsid w:val="007F1347"/>
    <w:rsid w:val="0084446E"/>
    <w:rsid w:val="00845D77"/>
    <w:rsid w:val="00846BBE"/>
    <w:rsid w:val="0085232C"/>
    <w:rsid w:val="008827C5"/>
    <w:rsid w:val="008A5623"/>
    <w:rsid w:val="008B0BB0"/>
    <w:rsid w:val="008B30A9"/>
    <w:rsid w:val="008E62B7"/>
    <w:rsid w:val="0090058F"/>
    <w:rsid w:val="0092187D"/>
    <w:rsid w:val="009250DA"/>
    <w:rsid w:val="00956455"/>
    <w:rsid w:val="00967ADA"/>
    <w:rsid w:val="009705BA"/>
    <w:rsid w:val="00984F77"/>
    <w:rsid w:val="00986DB8"/>
    <w:rsid w:val="00991BD2"/>
    <w:rsid w:val="009A0A45"/>
    <w:rsid w:val="009A40F7"/>
    <w:rsid w:val="009C27A5"/>
    <w:rsid w:val="009D5AFF"/>
    <w:rsid w:val="009D6BF0"/>
    <w:rsid w:val="009E2EE0"/>
    <w:rsid w:val="009E5FA1"/>
    <w:rsid w:val="009F060B"/>
    <w:rsid w:val="00A240DF"/>
    <w:rsid w:val="00A407F2"/>
    <w:rsid w:val="00A4564C"/>
    <w:rsid w:val="00A573EA"/>
    <w:rsid w:val="00A652E8"/>
    <w:rsid w:val="00AA12AB"/>
    <w:rsid w:val="00AA78B5"/>
    <w:rsid w:val="00AC469E"/>
    <w:rsid w:val="00AC61B9"/>
    <w:rsid w:val="00AD0F31"/>
    <w:rsid w:val="00AE6078"/>
    <w:rsid w:val="00AE7062"/>
    <w:rsid w:val="00B16D93"/>
    <w:rsid w:val="00B21346"/>
    <w:rsid w:val="00B43FB9"/>
    <w:rsid w:val="00BC7E02"/>
    <w:rsid w:val="00BE2D80"/>
    <w:rsid w:val="00C25216"/>
    <w:rsid w:val="00C3136C"/>
    <w:rsid w:val="00CA5642"/>
    <w:rsid w:val="00CC4C6C"/>
    <w:rsid w:val="00CE3FBE"/>
    <w:rsid w:val="00CE5B92"/>
    <w:rsid w:val="00CF6027"/>
    <w:rsid w:val="00D237D7"/>
    <w:rsid w:val="00D67C5E"/>
    <w:rsid w:val="00D733AD"/>
    <w:rsid w:val="00D95C2E"/>
    <w:rsid w:val="00DB1736"/>
    <w:rsid w:val="00DC2CA9"/>
    <w:rsid w:val="00DC4FF1"/>
    <w:rsid w:val="00DE2995"/>
    <w:rsid w:val="00DF3340"/>
    <w:rsid w:val="00DF7D78"/>
    <w:rsid w:val="00E151F5"/>
    <w:rsid w:val="00E22024"/>
    <w:rsid w:val="00E63165"/>
    <w:rsid w:val="00E63310"/>
    <w:rsid w:val="00E646D2"/>
    <w:rsid w:val="00E722BA"/>
    <w:rsid w:val="00E75851"/>
    <w:rsid w:val="00E76DC1"/>
    <w:rsid w:val="00E94AF5"/>
    <w:rsid w:val="00E9522E"/>
    <w:rsid w:val="00EA3D20"/>
    <w:rsid w:val="00ED7566"/>
    <w:rsid w:val="00EE0D09"/>
    <w:rsid w:val="00EE2CCC"/>
    <w:rsid w:val="00EE62D7"/>
    <w:rsid w:val="00EF7264"/>
    <w:rsid w:val="00F02CD4"/>
    <w:rsid w:val="00F635CE"/>
    <w:rsid w:val="00F852DD"/>
    <w:rsid w:val="00F92F9A"/>
    <w:rsid w:val="00FA2BE0"/>
    <w:rsid w:val="00FD11AD"/>
    <w:rsid w:val="00FF3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6A77528-3123-48C8-8651-C9413F37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paragraph" w:styleId="3">
    <w:name w:val="heading 3"/>
    <w:basedOn w:val="a"/>
    <w:link w:val="30"/>
    <w:qFormat/>
    <w:rsid w:val="003115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Знак Знак Знак Знак Знак Знак Знак Знак Знак Знак Знак Знак"/>
    <w:basedOn w:val="a"/>
    <w:rsid w:val="00377E0A"/>
    <w:rPr>
      <w:rFonts w:ascii="Verdana" w:hAnsi="Verdana" w:cs="Verdana"/>
      <w:sz w:val="20"/>
      <w:szCs w:val="20"/>
      <w:lang w:val="en-US" w:eastAsia="en-US"/>
    </w:rPr>
  </w:style>
  <w:style w:type="character" w:customStyle="1" w:styleId="rvts37">
    <w:name w:val="rvts37"/>
    <w:basedOn w:val="a0"/>
    <w:rsid w:val="00377E0A"/>
  </w:style>
  <w:style w:type="paragraph" w:customStyle="1" w:styleId="a8">
    <w:name w:val="Знак"/>
    <w:basedOn w:val="a"/>
    <w:rsid w:val="00E9522E"/>
    <w:rPr>
      <w:rFonts w:ascii="Verdana" w:hAnsi="Verdana" w:cs="Verdana"/>
      <w:sz w:val="20"/>
      <w:szCs w:val="20"/>
      <w:lang w:val="en-US" w:eastAsia="en-US"/>
    </w:rPr>
  </w:style>
  <w:style w:type="character" w:customStyle="1" w:styleId="rvts46">
    <w:name w:val="rvts46"/>
    <w:basedOn w:val="a0"/>
    <w:rsid w:val="0052545E"/>
  </w:style>
  <w:style w:type="character" w:customStyle="1" w:styleId="rvts11">
    <w:name w:val="rvts11"/>
    <w:basedOn w:val="a0"/>
    <w:rsid w:val="0052545E"/>
  </w:style>
  <w:style w:type="character" w:customStyle="1" w:styleId="30">
    <w:name w:val="Заголовок 3 Знак"/>
    <w:link w:val="3"/>
    <w:rsid w:val="0031153F"/>
    <w:rPr>
      <w:b/>
      <w:bCs/>
      <w:sz w:val="27"/>
      <w:szCs w:val="27"/>
    </w:rPr>
  </w:style>
  <w:style w:type="paragraph" w:customStyle="1" w:styleId="tjbmf">
    <w:name w:val="tj bmf"/>
    <w:basedOn w:val="a"/>
    <w:rsid w:val="0031153F"/>
    <w:pPr>
      <w:spacing w:before="100" w:beforeAutospacing="1" w:after="100" w:afterAutospacing="1"/>
    </w:pPr>
  </w:style>
  <w:style w:type="paragraph" w:styleId="a9">
    <w:name w:val="Balloon Text"/>
    <w:basedOn w:val="a"/>
    <w:link w:val="aa"/>
    <w:rsid w:val="00071237"/>
    <w:rPr>
      <w:rFonts w:ascii="Segoe UI" w:hAnsi="Segoe UI" w:cs="Segoe UI"/>
      <w:sz w:val="18"/>
      <w:szCs w:val="18"/>
    </w:rPr>
  </w:style>
  <w:style w:type="character" w:customStyle="1" w:styleId="aa">
    <w:name w:val="Текст у виносці Знак"/>
    <w:link w:val="a9"/>
    <w:rsid w:val="00071237"/>
    <w:rPr>
      <w:rFonts w:ascii="Segoe UI" w:hAnsi="Segoe UI" w:cs="Segoe UI"/>
      <w:sz w:val="18"/>
      <w:szCs w:val="18"/>
    </w:rPr>
  </w:style>
  <w:style w:type="paragraph" w:customStyle="1" w:styleId="tj">
    <w:name w:val="tj"/>
    <w:basedOn w:val="a"/>
    <w:rsid w:val="00E76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1410729307">
      <w:bodyDiv w:val="1"/>
      <w:marLeft w:val="0"/>
      <w:marRight w:val="0"/>
      <w:marTop w:val="0"/>
      <w:marBottom w:val="0"/>
      <w:divBdr>
        <w:top w:val="none" w:sz="0" w:space="0" w:color="auto"/>
        <w:left w:val="none" w:sz="0" w:space="0" w:color="auto"/>
        <w:bottom w:val="none" w:sz="0" w:space="0" w:color="auto"/>
        <w:right w:val="none" w:sz="0" w:space="0" w:color="auto"/>
      </w:divBdr>
    </w:div>
    <w:div w:id="1830361894">
      <w:bodyDiv w:val="1"/>
      <w:marLeft w:val="0"/>
      <w:marRight w:val="0"/>
      <w:marTop w:val="0"/>
      <w:marBottom w:val="0"/>
      <w:divBdr>
        <w:top w:val="none" w:sz="0" w:space="0" w:color="auto"/>
        <w:left w:val="none" w:sz="0" w:space="0" w:color="auto"/>
        <w:bottom w:val="none" w:sz="0" w:space="0" w:color="auto"/>
        <w:right w:val="none" w:sz="0" w:space="0" w:color="auto"/>
      </w:divBdr>
      <w:divsChild>
        <w:div w:id="1401094287">
          <w:marLeft w:val="0"/>
          <w:marRight w:val="0"/>
          <w:marTop w:val="0"/>
          <w:marBottom w:val="0"/>
          <w:divBdr>
            <w:top w:val="none" w:sz="0" w:space="0" w:color="auto"/>
            <w:left w:val="none" w:sz="0" w:space="0" w:color="auto"/>
            <w:bottom w:val="none" w:sz="0" w:space="0" w:color="auto"/>
            <w:right w:val="none" w:sz="0" w:space="0" w:color="auto"/>
          </w:divBdr>
        </w:div>
        <w:div w:id="1649432848">
          <w:marLeft w:val="0"/>
          <w:marRight w:val="0"/>
          <w:marTop w:val="0"/>
          <w:marBottom w:val="0"/>
          <w:divBdr>
            <w:top w:val="none" w:sz="0" w:space="0" w:color="auto"/>
            <w:left w:val="none" w:sz="0" w:space="0" w:color="auto"/>
            <w:bottom w:val="none" w:sz="0" w:space="0" w:color="auto"/>
            <w:right w:val="none" w:sz="0" w:space="0" w:color="auto"/>
          </w:divBdr>
        </w:div>
        <w:div w:id="1910574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re38635?ed=2022_10_27&amp;an=12" TargetMode="External"/><Relationship Id="rId3" Type="http://schemas.openxmlformats.org/officeDocument/2006/relationships/styles" Target="styles.xml"/><Relationship Id="rId7" Type="http://schemas.openxmlformats.org/officeDocument/2006/relationships/hyperlink" Target="https://services.nssmc.gov.ua/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ssmc.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25768-187C-44FA-82D9-A45C60D8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5909</Words>
  <Characters>3369</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9260</CharactersWithSpaces>
  <SharedDoc>false</SharedDoc>
  <HLinks>
    <vt:vector size="18" baseType="variant">
      <vt:variant>
        <vt:i4>720924</vt:i4>
      </vt:variant>
      <vt:variant>
        <vt:i4>6</vt:i4>
      </vt:variant>
      <vt:variant>
        <vt:i4>0</vt:i4>
      </vt:variant>
      <vt:variant>
        <vt:i4>5</vt:i4>
      </vt:variant>
      <vt:variant>
        <vt:lpwstr>https://ips.ligazakon.net/document/view/re38635?ed=2022_10_27&amp;an=12</vt:lpwstr>
      </vt:variant>
      <vt:variant>
        <vt:lpwstr/>
      </vt:variant>
      <vt:variant>
        <vt:i4>2162808</vt:i4>
      </vt:variant>
      <vt:variant>
        <vt:i4>3</vt:i4>
      </vt:variant>
      <vt:variant>
        <vt:i4>0</vt:i4>
      </vt:variant>
      <vt:variant>
        <vt:i4>5</vt:i4>
      </vt:variant>
      <vt:variant>
        <vt:lpwstr>https://services.nssmc.gov.ua/login</vt:lpwstr>
      </vt:variant>
      <vt:variant>
        <vt:lpwstr/>
      </vt:variant>
      <vt:variant>
        <vt:i4>5767258</vt:i4>
      </vt:variant>
      <vt:variant>
        <vt:i4>0</vt:i4>
      </vt:variant>
      <vt:variant>
        <vt:i4>0</vt:i4>
      </vt:variant>
      <vt:variant>
        <vt:i4>5</vt:i4>
      </vt:variant>
      <vt:variant>
        <vt:lpwstr>https://www.nssmc.gov.ua/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2</cp:revision>
  <cp:lastPrinted>2022-12-05T10:20:00Z</cp:lastPrinted>
  <dcterms:created xsi:type="dcterms:W3CDTF">2025-03-31T09:03:00Z</dcterms:created>
  <dcterms:modified xsi:type="dcterms:W3CDTF">2025-03-31T09:03:00Z</dcterms:modified>
</cp:coreProperties>
</file>