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919" w:rsidRPr="00B178EF" w:rsidRDefault="00B07919" w:rsidP="00B07919">
      <w:pPr>
        <w:tabs>
          <w:tab w:val="left" w:pos="0"/>
          <w:tab w:val="left" w:pos="1134"/>
        </w:tabs>
        <w:spacing w:after="0" w:line="240" w:lineRule="auto"/>
        <w:jc w:val="center"/>
        <w:rPr>
          <w:rFonts w:ascii="Times New Roman" w:hAnsi="Times New Roman"/>
          <w:sz w:val="26"/>
          <w:szCs w:val="26"/>
        </w:rPr>
      </w:pPr>
      <w:r w:rsidRPr="00B178EF">
        <w:rPr>
          <w:rFonts w:ascii="Times New Roman" w:eastAsia="Times New Roman" w:hAnsi="Times New Roman"/>
          <w:b/>
          <w:sz w:val="26"/>
          <w:szCs w:val="26"/>
          <w:lang w:eastAsia="uk-UA"/>
        </w:rPr>
        <w:t>ПОЯСНЮВАЛЬНА ЗАПИСКА</w:t>
      </w:r>
    </w:p>
    <w:p w:rsidR="00B07919" w:rsidRPr="00B178EF" w:rsidRDefault="00B07919" w:rsidP="00B07919">
      <w:pPr>
        <w:tabs>
          <w:tab w:val="left" w:pos="0"/>
        </w:tabs>
        <w:spacing w:after="0" w:line="240" w:lineRule="auto"/>
        <w:jc w:val="center"/>
        <w:rPr>
          <w:rFonts w:ascii="Times New Roman" w:hAnsi="Times New Roman"/>
          <w:b/>
          <w:sz w:val="26"/>
          <w:szCs w:val="26"/>
        </w:rPr>
      </w:pPr>
      <w:r w:rsidRPr="00B178EF">
        <w:rPr>
          <w:rFonts w:ascii="Times New Roman" w:eastAsia="Times New Roman" w:hAnsi="Times New Roman"/>
          <w:b/>
          <w:sz w:val="26"/>
          <w:szCs w:val="26"/>
          <w:lang w:eastAsia="uk-UA"/>
        </w:rPr>
        <w:t xml:space="preserve">до </w:t>
      </w:r>
      <w:proofErr w:type="spellStart"/>
      <w:r w:rsidRPr="00B178EF">
        <w:rPr>
          <w:rFonts w:ascii="Times New Roman" w:eastAsia="Times New Roman" w:hAnsi="Times New Roman"/>
          <w:b/>
          <w:kern w:val="2"/>
          <w:sz w:val="26"/>
          <w:szCs w:val="26"/>
        </w:rPr>
        <w:t>проєкту</w:t>
      </w:r>
      <w:proofErr w:type="spellEnd"/>
      <w:r w:rsidRPr="00B178EF">
        <w:rPr>
          <w:rFonts w:ascii="Times New Roman" w:eastAsia="Times New Roman" w:hAnsi="Times New Roman"/>
          <w:b/>
          <w:kern w:val="2"/>
          <w:sz w:val="26"/>
          <w:szCs w:val="26"/>
        </w:rPr>
        <w:t xml:space="preserve"> </w:t>
      </w:r>
      <w:r w:rsidRPr="00B178EF">
        <w:rPr>
          <w:rFonts w:ascii="Times New Roman" w:hAnsi="Times New Roman"/>
          <w:b/>
          <w:sz w:val="26"/>
          <w:szCs w:val="26"/>
        </w:rPr>
        <w:t xml:space="preserve">рішення Національної комісії з цінних паперів та фондового </w:t>
      </w:r>
    </w:p>
    <w:p w:rsidR="00B07919" w:rsidRPr="00B178EF" w:rsidRDefault="00B07919" w:rsidP="00B07919">
      <w:pPr>
        <w:tabs>
          <w:tab w:val="left" w:pos="0"/>
        </w:tabs>
        <w:spacing w:after="0" w:line="240" w:lineRule="auto"/>
        <w:jc w:val="center"/>
        <w:rPr>
          <w:rFonts w:ascii="Times New Roman" w:hAnsi="Times New Roman"/>
          <w:b/>
          <w:sz w:val="26"/>
          <w:szCs w:val="26"/>
        </w:rPr>
      </w:pPr>
      <w:r w:rsidRPr="00B178EF">
        <w:rPr>
          <w:rFonts w:ascii="Times New Roman" w:hAnsi="Times New Roman"/>
          <w:b/>
          <w:sz w:val="26"/>
          <w:szCs w:val="26"/>
        </w:rPr>
        <w:t xml:space="preserve">ринку «Про внесення змін до рішення Національної комісії з цінних паперів </w:t>
      </w:r>
    </w:p>
    <w:p w:rsidR="00B07919" w:rsidRPr="00B178EF" w:rsidRDefault="00B07919" w:rsidP="00B07919">
      <w:pPr>
        <w:tabs>
          <w:tab w:val="left" w:pos="0"/>
        </w:tabs>
        <w:spacing w:after="0" w:line="240" w:lineRule="auto"/>
        <w:jc w:val="center"/>
        <w:rPr>
          <w:rFonts w:ascii="Times New Roman" w:hAnsi="Times New Roman"/>
          <w:b/>
          <w:sz w:val="26"/>
          <w:szCs w:val="26"/>
        </w:rPr>
      </w:pPr>
      <w:r w:rsidRPr="00B178EF">
        <w:rPr>
          <w:rFonts w:ascii="Times New Roman" w:hAnsi="Times New Roman"/>
          <w:b/>
          <w:sz w:val="26"/>
          <w:szCs w:val="26"/>
        </w:rPr>
        <w:t xml:space="preserve">та фондового ринку від 13 січня 2022 року № 3 щодо порядку </w:t>
      </w:r>
    </w:p>
    <w:p w:rsidR="00B07919" w:rsidRPr="00B178EF" w:rsidRDefault="00B07919" w:rsidP="00B07919">
      <w:pPr>
        <w:tabs>
          <w:tab w:val="left" w:pos="0"/>
        </w:tabs>
        <w:spacing w:after="0" w:line="240" w:lineRule="auto"/>
        <w:jc w:val="center"/>
        <w:rPr>
          <w:rFonts w:ascii="Times New Roman" w:eastAsia="Times New Roman" w:hAnsi="Times New Roman"/>
          <w:b/>
          <w:kern w:val="2"/>
          <w:sz w:val="26"/>
          <w:szCs w:val="26"/>
        </w:rPr>
      </w:pPr>
      <w:r w:rsidRPr="00B178EF">
        <w:rPr>
          <w:rFonts w:ascii="Times New Roman" w:hAnsi="Times New Roman"/>
          <w:b/>
          <w:sz w:val="26"/>
          <w:szCs w:val="26"/>
        </w:rPr>
        <w:t>подання фінансової звітності»</w:t>
      </w:r>
    </w:p>
    <w:p w:rsidR="00B07919" w:rsidRPr="00B178EF" w:rsidRDefault="00B07919" w:rsidP="00B07919">
      <w:pPr>
        <w:tabs>
          <w:tab w:val="left" w:pos="0"/>
        </w:tabs>
        <w:spacing w:after="0" w:line="240" w:lineRule="auto"/>
        <w:ind w:firstLine="567"/>
        <w:jc w:val="both"/>
        <w:rPr>
          <w:rFonts w:ascii="Times New Roman" w:eastAsia="Times New Roman" w:hAnsi="Times New Roman"/>
          <w:b/>
          <w:sz w:val="26"/>
          <w:szCs w:val="26"/>
          <w:lang w:eastAsia="ru-RU"/>
        </w:rPr>
      </w:pPr>
    </w:p>
    <w:p w:rsidR="00B07919" w:rsidRPr="00B178EF" w:rsidRDefault="00B07919" w:rsidP="00B07919">
      <w:pPr>
        <w:pStyle w:val="a3"/>
        <w:tabs>
          <w:tab w:val="left" w:pos="0"/>
          <w:tab w:val="left" w:pos="4536"/>
        </w:tabs>
        <w:overflowPunct w:val="0"/>
        <w:autoSpaceDE w:val="0"/>
        <w:ind w:firstLine="567"/>
        <w:jc w:val="both"/>
        <w:rPr>
          <w:rFonts w:ascii="Times New Roman" w:eastAsia="Times New Roman" w:hAnsi="Times New Roman"/>
          <w:b/>
          <w:sz w:val="26"/>
          <w:szCs w:val="26"/>
          <w:lang w:eastAsia="uk-UA"/>
        </w:rPr>
      </w:pPr>
      <w:r w:rsidRPr="00B178EF">
        <w:rPr>
          <w:rFonts w:ascii="Times New Roman" w:eastAsia="Times New Roman" w:hAnsi="Times New Roman"/>
          <w:b/>
          <w:sz w:val="26"/>
          <w:szCs w:val="26"/>
          <w:lang w:eastAsia="uk-UA"/>
        </w:rPr>
        <w:t>1. Мета</w:t>
      </w:r>
    </w:p>
    <w:p w:rsidR="00B07919" w:rsidRPr="00B178EF" w:rsidRDefault="00B07919" w:rsidP="00B07919">
      <w:pPr>
        <w:pStyle w:val="a5"/>
        <w:tabs>
          <w:tab w:val="left" w:pos="0"/>
        </w:tabs>
        <w:spacing w:before="0" w:after="0"/>
        <w:ind w:firstLine="567"/>
        <w:jc w:val="both"/>
        <w:rPr>
          <w:sz w:val="26"/>
          <w:szCs w:val="26"/>
        </w:rPr>
      </w:pPr>
      <w:proofErr w:type="spellStart"/>
      <w:r w:rsidRPr="00B178EF">
        <w:rPr>
          <w:kern w:val="2"/>
          <w:sz w:val="26"/>
          <w:szCs w:val="26"/>
        </w:rPr>
        <w:t>Проєкт</w:t>
      </w:r>
      <w:proofErr w:type="spellEnd"/>
      <w:r w:rsidRPr="00B178EF">
        <w:rPr>
          <w:kern w:val="2"/>
          <w:sz w:val="26"/>
          <w:szCs w:val="26"/>
        </w:rPr>
        <w:t xml:space="preserve"> рішення Національної комісії з цінних паперів та фондового ринку (НКЦПФР) </w:t>
      </w:r>
      <w:r w:rsidRPr="00B178EF">
        <w:rPr>
          <w:sz w:val="26"/>
          <w:szCs w:val="26"/>
        </w:rPr>
        <w:t>«Про внесення змін до рішення Національної комісії з цінних паперів та фондового ринку від 13 січня 2022 року № 3 щодо порядку подання фінансової звітності»</w:t>
      </w:r>
      <w:r w:rsidRPr="00B178EF">
        <w:rPr>
          <w:kern w:val="2"/>
          <w:sz w:val="26"/>
          <w:szCs w:val="26"/>
        </w:rPr>
        <w:t xml:space="preserve"> </w:t>
      </w:r>
      <w:r w:rsidRPr="00B178EF">
        <w:rPr>
          <w:rFonts w:eastAsia="Calibri"/>
          <w:sz w:val="26"/>
          <w:szCs w:val="26"/>
          <w:lang w:eastAsia="uk-UA"/>
        </w:rPr>
        <w:t xml:space="preserve">(далі – </w:t>
      </w:r>
      <w:proofErr w:type="spellStart"/>
      <w:r w:rsidRPr="00B178EF">
        <w:rPr>
          <w:rFonts w:eastAsia="Calibri"/>
          <w:sz w:val="26"/>
          <w:szCs w:val="26"/>
          <w:lang w:eastAsia="uk-UA"/>
        </w:rPr>
        <w:t>Проєкт</w:t>
      </w:r>
      <w:proofErr w:type="spellEnd"/>
      <w:r w:rsidRPr="00B178EF">
        <w:rPr>
          <w:rFonts w:eastAsia="Calibri"/>
          <w:sz w:val="26"/>
          <w:szCs w:val="26"/>
          <w:lang w:eastAsia="uk-UA"/>
        </w:rPr>
        <w:t xml:space="preserve"> </w:t>
      </w:r>
      <w:proofErr w:type="spellStart"/>
      <w:r w:rsidRPr="00B178EF">
        <w:rPr>
          <w:rFonts w:eastAsia="Calibri"/>
          <w:sz w:val="26"/>
          <w:szCs w:val="26"/>
          <w:lang w:eastAsia="uk-UA"/>
        </w:rPr>
        <w:t>акта</w:t>
      </w:r>
      <w:proofErr w:type="spellEnd"/>
      <w:r w:rsidRPr="00B178EF">
        <w:rPr>
          <w:rFonts w:eastAsia="Calibri"/>
          <w:sz w:val="26"/>
          <w:szCs w:val="26"/>
          <w:lang w:eastAsia="uk-UA"/>
        </w:rPr>
        <w:t>)</w:t>
      </w:r>
      <w:r w:rsidRPr="00B178EF">
        <w:rPr>
          <w:sz w:val="26"/>
          <w:szCs w:val="26"/>
          <w:lang w:eastAsia="ru-RU"/>
        </w:rPr>
        <w:t xml:space="preserve"> розроблено з метою встановлення єдиних підходів до порядку складання та подання фінансової звітності професійними учасниками ринків капіталу, зокрема товарними біржами, відповідно до вимог законодавства України </w:t>
      </w:r>
      <w:r w:rsidRPr="00B178EF">
        <w:rPr>
          <w:sz w:val="26"/>
          <w:szCs w:val="26"/>
        </w:rPr>
        <w:t>та міжнародних стандартів у сфері фінансової звітності та аудиту.</w:t>
      </w:r>
    </w:p>
    <w:p w:rsidR="00B07919" w:rsidRPr="00B178EF" w:rsidRDefault="00B07919" w:rsidP="00B07919">
      <w:pPr>
        <w:pStyle w:val="a5"/>
        <w:tabs>
          <w:tab w:val="left" w:pos="0"/>
        </w:tabs>
        <w:spacing w:before="0" w:after="0"/>
        <w:ind w:firstLine="567"/>
        <w:jc w:val="both"/>
        <w:rPr>
          <w:sz w:val="26"/>
          <w:szCs w:val="26"/>
          <w:lang w:eastAsia="ru-RU"/>
        </w:rPr>
      </w:pPr>
    </w:p>
    <w:p w:rsidR="00B07919" w:rsidRPr="00B178EF" w:rsidRDefault="00B07919" w:rsidP="00B07919">
      <w:pPr>
        <w:tabs>
          <w:tab w:val="left" w:pos="0"/>
          <w:tab w:val="left" w:pos="1134"/>
        </w:tabs>
        <w:spacing w:after="0" w:line="240" w:lineRule="auto"/>
        <w:ind w:firstLine="567"/>
        <w:jc w:val="both"/>
        <w:rPr>
          <w:rFonts w:ascii="Times New Roman" w:eastAsia="Times New Roman" w:hAnsi="Times New Roman"/>
          <w:kern w:val="2"/>
          <w:sz w:val="26"/>
          <w:szCs w:val="26"/>
          <w:lang w:eastAsia="ar-SA"/>
        </w:rPr>
      </w:pPr>
      <w:r w:rsidRPr="00B178EF">
        <w:rPr>
          <w:rFonts w:ascii="Times New Roman" w:eastAsia="Times New Roman" w:hAnsi="Times New Roman"/>
          <w:b/>
          <w:sz w:val="26"/>
          <w:szCs w:val="26"/>
          <w:lang w:eastAsia="uk-UA"/>
        </w:rPr>
        <w:t xml:space="preserve">2. </w:t>
      </w:r>
      <w:r w:rsidRPr="00B178EF">
        <w:rPr>
          <w:rFonts w:ascii="Times New Roman" w:eastAsia="Times New Roman" w:hAnsi="Times New Roman"/>
          <w:b/>
          <w:kern w:val="2"/>
          <w:sz w:val="26"/>
          <w:szCs w:val="26"/>
          <w:lang w:eastAsia="ar-SA"/>
        </w:rPr>
        <w:t xml:space="preserve">Обґрунтування необхідності прийняття </w:t>
      </w:r>
      <w:proofErr w:type="spellStart"/>
      <w:r w:rsidRPr="00B178EF">
        <w:rPr>
          <w:rFonts w:ascii="Times New Roman" w:eastAsia="Times New Roman" w:hAnsi="Times New Roman"/>
          <w:b/>
          <w:kern w:val="2"/>
          <w:sz w:val="26"/>
          <w:szCs w:val="26"/>
          <w:lang w:eastAsia="ar-SA"/>
        </w:rPr>
        <w:t>акта</w:t>
      </w:r>
      <w:proofErr w:type="spellEnd"/>
      <w:r w:rsidRPr="00B178EF">
        <w:rPr>
          <w:rFonts w:ascii="Times New Roman" w:eastAsia="Times New Roman" w:hAnsi="Times New Roman"/>
          <w:kern w:val="2"/>
          <w:sz w:val="26"/>
          <w:szCs w:val="26"/>
          <w:lang w:eastAsia="ar-SA"/>
        </w:rPr>
        <w:t xml:space="preserve"> </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Законом України «Про бухгалтерський облік та фінансову звітність в Україні» визначено правові засади регулювання, організації, ведення бухгалтерського обліку та складання фінансової звітності в Україні. Законом України «Про аудит фінансової звітності та аудиторську діяльність» визначено правові засади регулювання аудиту фінансової звітності, провадження аудиторської діяльності в Україні та відносин, що виникають під час її провадження.</w:t>
      </w:r>
    </w:p>
    <w:p w:rsidR="00B07919" w:rsidRPr="00B178EF" w:rsidRDefault="00B07919" w:rsidP="00B07919">
      <w:pPr>
        <w:tabs>
          <w:tab w:val="left" w:pos="0"/>
        </w:tabs>
        <w:spacing w:after="0" w:line="240" w:lineRule="auto"/>
        <w:ind w:firstLine="567"/>
        <w:jc w:val="both"/>
        <w:rPr>
          <w:rFonts w:ascii="Times New Roman" w:hAnsi="Times New Roman"/>
          <w:sz w:val="26"/>
          <w:szCs w:val="26"/>
          <w:shd w:val="clear" w:color="auto" w:fill="FFFFFF"/>
        </w:rPr>
      </w:pPr>
      <w:r w:rsidRPr="00B178EF">
        <w:rPr>
          <w:rFonts w:ascii="Times New Roman" w:hAnsi="Times New Roman"/>
          <w:sz w:val="26"/>
          <w:szCs w:val="26"/>
        </w:rPr>
        <w:t>Згідно із частиною шостою статті 11 Закону України «Про бухгалтерський облік та фінансову звітність в Україні» (далі – Закон), ф</w:t>
      </w:r>
      <w:r w:rsidRPr="00B178EF">
        <w:rPr>
          <w:rFonts w:ascii="Times New Roman" w:hAnsi="Times New Roman"/>
          <w:sz w:val="26"/>
          <w:szCs w:val="26"/>
          <w:shd w:val="clear" w:color="auto" w:fill="FFFFFF"/>
        </w:rPr>
        <w:t>інансова звітність та консолідована фінансова звітність за міжнародними стандартами складаються на підставі таксономії фінансової звітності за міжнародними стандартами, яка оприлюднена державною мовою на офіційному веб-сайті центрального органу виконавчої влади, що забезпечує формування та реалізує державну політику у сфері бухгалтерського обліку та аудиту.</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shd w:val="clear" w:color="auto" w:fill="FFFFFF"/>
        </w:rPr>
        <w:t>Відповідно до частини п’ятої статті 12</w:t>
      </w:r>
      <w:r w:rsidRPr="00B178EF">
        <w:rPr>
          <w:rFonts w:ascii="Times New Roman" w:hAnsi="Times New Roman"/>
          <w:sz w:val="26"/>
          <w:szCs w:val="26"/>
          <w:shd w:val="clear" w:color="auto" w:fill="FFFFFF"/>
          <w:vertAlign w:val="superscript"/>
        </w:rPr>
        <w:t>1</w:t>
      </w:r>
      <w:r w:rsidRPr="00B178EF">
        <w:rPr>
          <w:rFonts w:ascii="Times New Roman" w:hAnsi="Times New Roman"/>
          <w:sz w:val="26"/>
          <w:szCs w:val="26"/>
          <w:shd w:val="clear" w:color="auto" w:fill="FFFFFF"/>
        </w:rPr>
        <w:t xml:space="preserve"> Закону, </w:t>
      </w:r>
      <w:r w:rsidRPr="00B178EF">
        <w:rPr>
          <w:rFonts w:ascii="Times New Roman" w:hAnsi="Times New Roman"/>
          <w:sz w:val="26"/>
          <w:szCs w:val="26"/>
        </w:rPr>
        <w:t>підприємства, що становлять суспільний інтерес (у тому числі професійних учасників ринків капіталу та організованих товарних ринків, крім банків), подавати фінансову звітність та консолідовану фінансову звітність на основі таксономії фінансової звітності за міжнародними стандартами у єдиному електронному форматі. Подання такої звітності здійснюється через єдиний електронний портал відповідно до порядку, затвердженого Кабінетом Міністрів України.</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Окрім того, згідно частини шостої статті 14 Закону України «</w:t>
      </w:r>
      <w:r w:rsidRPr="00B178EF">
        <w:rPr>
          <w:rFonts w:ascii="Times New Roman" w:hAnsi="Times New Roman"/>
          <w:bCs/>
          <w:sz w:val="26"/>
          <w:szCs w:val="26"/>
          <w:shd w:val="clear" w:color="auto" w:fill="FFFFFF"/>
        </w:rPr>
        <w:t>Про аудит фінансової звітності та аудиторську діяльність</w:t>
      </w:r>
      <w:r w:rsidRPr="00B178EF">
        <w:rPr>
          <w:rFonts w:ascii="Times New Roman" w:hAnsi="Times New Roman"/>
          <w:sz w:val="26"/>
          <w:szCs w:val="26"/>
        </w:rPr>
        <w:t>», а</w:t>
      </w:r>
      <w:r w:rsidRPr="00B178EF">
        <w:rPr>
          <w:rFonts w:ascii="Times New Roman" w:hAnsi="Times New Roman"/>
          <w:sz w:val="26"/>
          <w:szCs w:val="26"/>
          <w:shd w:val="clear" w:color="auto" w:fill="FFFFFF"/>
        </w:rPr>
        <w:t>удиторський звіт, підготовлений за результатами аудиту фінансової звітності (консолідованої фінансової звітності), складеної на основі таксономії фінансової звітності за міжнародними стандартами і яка подається в єдиному електронному форматі, надається разом з фінансовою звітністю (консолідованою фінансовою звітністю) згідно із законодавством в єдиному електронному форматі.</w:t>
      </w:r>
      <w:r w:rsidRPr="00B178EF">
        <w:rPr>
          <w:rFonts w:ascii="Times New Roman" w:hAnsi="Times New Roman"/>
          <w:i/>
          <w:iCs/>
          <w:sz w:val="26"/>
          <w:szCs w:val="26"/>
          <w:shd w:val="clear" w:color="auto" w:fill="FFFFFF"/>
        </w:rPr>
        <w:t xml:space="preserve"> </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 xml:space="preserve">Порядком подання фінансової звітності, затвердженим постановою Кабінету Міністрів України від 28 лютого 2000 року № 419, встановлено, що фінансова звітність </w:t>
      </w:r>
      <w:r w:rsidRPr="00B178EF">
        <w:rPr>
          <w:rFonts w:ascii="Times New Roman" w:hAnsi="Times New Roman"/>
          <w:sz w:val="26"/>
          <w:szCs w:val="26"/>
        </w:rPr>
        <w:lastRenderedPageBreak/>
        <w:t>та консолідована фінансова звітність, складена на основі таксономії фінансової звітності за міжнародними стандартами фінансової звітності у єдиному електронному форматі, визначеному Міністерством фінансів України, подається до центру збору фінансової звітності, операційне управління яким здійснюється НКЦПФР.</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Порядок функціонування центру збору фінансової звітності, затверджений постановою Кабінету Міністрів України від 11 серпня 2023 року № 845, визначає основні організаційні засади функціонування центру збору фінансової звітності, правила доступу та обміну інформацією між державними органами щодо фінансової звітності у форматі XBRL, поданої до центру збору фінансової звітності.</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 xml:space="preserve">Прийняття </w:t>
      </w:r>
      <w:proofErr w:type="spellStart"/>
      <w:r w:rsidRPr="00B178EF">
        <w:rPr>
          <w:rFonts w:ascii="Times New Roman" w:hAnsi="Times New Roman"/>
          <w:sz w:val="26"/>
          <w:szCs w:val="26"/>
        </w:rPr>
        <w:t>Проєкту</w:t>
      </w:r>
      <w:proofErr w:type="spellEnd"/>
      <w:r w:rsidRPr="00B178EF">
        <w:rPr>
          <w:rFonts w:ascii="Times New Roman" w:hAnsi="Times New Roman"/>
          <w:sz w:val="26"/>
          <w:szCs w:val="26"/>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hAnsi="Times New Roman"/>
          <w:sz w:val="26"/>
          <w:szCs w:val="26"/>
        </w:rPr>
        <w:t xml:space="preserve"> спрямоване на підвищення прозорості та якості фінансової звітності, удосконалення порядку її подання в єдиному електронному форматі (XBRL) і забезпечення належного державного нагляду у сфері регулювання ринків капіталу та організованих товарних ринків.</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p>
    <w:p w:rsidR="00B07919" w:rsidRPr="00B178EF" w:rsidRDefault="00B07919" w:rsidP="00B07919">
      <w:pPr>
        <w:pStyle w:val="a3"/>
        <w:tabs>
          <w:tab w:val="left" w:pos="0"/>
          <w:tab w:val="left" w:pos="4536"/>
        </w:tabs>
        <w:overflowPunct w:val="0"/>
        <w:autoSpaceDE w:val="0"/>
        <w:ind w:firstLine="567"/>
        <w:jc w:val="both"/>
        <w:rPr>
          <w:rFonts w:ascii="Times New Roman" w:eastAsia="Times New Roman" w:hAnsi="Times New Roman"/>
          <w:b/>
          <w:sz w:val="26"/>
          <w:szCs w:val="26"/>
        </w:rPr>
      </w:pPr>
      <w:r w:rsidRPr="00B178EF">
        <w:rPr>
          <w:rFonts w:ascii="Times New Roman" w:eastAsia="Times New Roman" w:hAnsi="Times New Roman"/>
          <w:b/>
          <w:sz w:val="26"/>
          <w:szCs w:val="26"/>
          <w:lang w:eastAsia="uk-UA"/>
        </w:rPr>
        <w:t xml:space="preserve">3. </w:t>
      </w:r>
      <w:r w:rsidRPr="00B178EF">
        <w:rPr>
          <w:rFonts w:ascii="Times New Roman" w:eastAsia="Times New Roman" w:hAnsi="Times New Roman"/>
          <w:b/>
          <w:sz w:val="26"/>
          <w:szCs w:val="26"/>
        </w:rPr>
        <w:t xml:space="preserve">Основні положення </w:t>
      </w:r>
      <w:proofErr w:type="spellStart"/>
      <w:r w:rsidRPr="00B178EF">
        <w:rPr>
          <w:rFonts w:ascii="Times New Roman" w:eastAsia="Times New Roman" w:hAnsi="Times New Roman"/>
          <w:b/>
          <w:sz w:val="26"/>
          <w:szCs w:val="26"/>
        </w:rPr>
        <w:t>проєкту</w:t>
      </w:r>
      <w:proofErr w:type="spellEnd"/>
      <w:r w:rsidRPr="00B178EF">
        <w:rPr>
          <w:rFonts w:ascii="Times New Roman" w:eastAsia="Times New Roman" w:hAnsi="Times New Roman"/>
          <w:b/>
          <w:sz w:val="26"/>
          <w:szCs w:val="26"/>
        </w:rPr>
        <w:t xml:space="preserve"> </w:t>
      </w:r>
      <w:proofErr w:type="spellStart"/>
      <w:r w:rsidRPr="00B178EF">
        <w:rPr>
          <w:rFonts w:ascii="Times New Roman" w:eastAsia="Times New Roman" w:hAnsi="Times New Roman"/>
          <w:b/>
          <w:sz w:val="26"/>
          <w:szCs w:val="26"/>
        </w:rPr>
        <w:t>акта</w:t>
      </w:r>
      <w:proofErr w:type="spellEnd"/>
    </w:p>
    <w:p w:rsidR="00B07919" w:rsidRPr="00B178EF" w:rsidRDefault="00B07919" w:rsidP="00B178EF">
      <w:pPr>
        <w:spacing w:after="0" w:line="240" w:lineRule="auto"/>
        <w:ind w:firstLine="567"/>
        <w:jc w:val="both"/>
        <w:rPr>
          <w:rFonts w:ascii="Times New Roman" w:hAnsi="Times New Roman"/>
          <w:sz w:val="26"/>
          <w:szCs w:val="26"/>
        </w:rPr>
      </w:pPr>
      <w:proofErr w:type="spellStart"/>
      <w:r w:rsidRPr="00B178EF">
        <w:rPr>
          <w:rFonts w:ascii="Times New Roman" w:hAnsi="Times New Roman"/>
          <w:sz w:val="26"/>
          <w:szCs w:val="26"/>
        </w:rPr>
        <w:t>Проєктом</w:t>
      </w:r>
      <w:proofErr w:type="spellEnd"/>
      <w:r w:rsidRPr="00B178EF">
        <w:rPr>
          <w:rFonts w:ascii="Times New Roman" w:hAnsi="Times New Roman"/>
          <w:sz w:val="26"/>
          <w:szCs w:val="26"/>
        </w:rPr>
        <w:t xml:space="preserve"> </w:t>
      </w:r>
      <w:proofErr w:type="spellStart"/>
      <w:r w:rsidRPr="00B178EF">
        <w:rPr>
          <w:rFonts w:ascii="Times New Roman" w:hAnsi="Times New Roman"/>
          <w:sz w:val="26"/>
          <w:szCs w:val="26"/>
        </w:rPr>
        <w:t>акта</w:t>
      </w:r>
      <w:proofErr w:type="spellEnd"/>
      <w:r w:rsidRPr="00B178EF">
        <w:rPr>
          <w:rFonts w:ascii="Times New Roman" w:hAnsi="Times New Roman"/>
          <w:sz w:val="26"/>
          <w:szCs w:val="26"/>
        </w:rPr>
        <w:t xml:space="preserve"> передбачено внесення змін до Положення про порядок складання, подання та оприлюднення товарними біржами звітних даних, затвердженим рішенням Національної комісії з цінних паперів та фондового ринку від 13 січня 2022 року  № 3, зареєстрованим в Міністерстві юстиції України 01 лютого 2022 року за № 115/37451. Основною метою внесення змін є приведення у відповідність положень нормативно-правового акту НКЦПФР до законодавства України у сфері </w:t>
      </w:r>
      <w:r w:rsidRPr="00B178EF">
        <w:rPr>
          <w:rFonts w:ascii="Times New Roman" w:hAnsi="Times New Roman"/>
          <w:sz w:val="26"/>
          <w:szCs w:val="26"/>
          <w:shd w:val="clear" w:color="auto" w:fill="FFFFFF"/>
        </w:rPr>
        <w:t>бухгалтерського обліку та аудиту, шляхом</w:t>
      </w:r>
      <w:r w:rsidRPr="00B178EF">
        <w:rPr>
          <w:rFonts w:ascii="Times New Roman" w:hAnsi="Times New Roman"/>
          <w:sz w:val="26"/>
          <w:szCs w:val="26"/>
        </w:rPr>
        <w:t xml:space="preserve"> запровадження подання та розкриття фінансової звітності та аудиторських звітів відповідно до міжнародних стандартів. </w:t>
      </w:r>
    </w:p>
    <w:p w:rsidR="00B07919" w:rsidRPr="00B178EF" w:rsidRDefault="00B07919" w:rsidP="00B178EF">
      <w:pPr>
        <w:tabs>
          <w:tab w:val="left" w:pos="0"/>
        </w:tabs>
        <w:spacing w:after="0" w:line="240" w:lineRule="auto"/>
        <w:ind w:firstLine="567"/>
        <w:jc w:val="both"/>
        <w:rPr>
          <w:rFonts w:ascii="Times New Roman" w:eastAsia="Times New Roman" w:hAnsi="Times New Roman"/>
          <w:sz w:val="26"/>
          <w:szCs w:val="26"/>
          <w:lang w:eastAsia="uk-UA"/>
        </w:rPr>
      </w:pPr>
      <w:r w:rsidRPr="00B178EF">
        <w:rPr>
          <w:rFonts w:ascii="Times New Roman" w:hAnsi="Times New Roman"/>
          <w:sz w:val="26"/>
          <w:szCs w:val="26"/>
        </w:rPr>
        <w:t>Пропоновані зміни передбачають</w:t>
      </w:r>
      <w:r w:rsidRPr="00B178EF">
        <w:rPr>
          <w:rFonts w:ascii="Times New Roman" w:eastAsia="Times New Roman" w:hAnsi="Times New Roman"/>
          <w:sz w:val="26"/>
          <w:szCs w:val="26"/>
          <w:lang w:eastAsia="uk-UA"/>
        </w:rPr>
        <w:t>:</w:t>
      </w:r>
    </w:p>
    <w:p w:rsidR="00B178EF" w:rsidRPr="00B178EF" w:rsidRDefault="00B178EF" w:rsidP="00B178EF">
      <w:pPr>
        <w:suppressAutoHyphens w:val="0"/>
        <w:spacing w:after="0" w:line="240" w:lineRule="auto"/>
        <w:ind w:firstLine="567"/>
        <w:jc w:val="both"/>
        <w:rPr>
          <w:rFonts w:ascii="Times New Roman" w:eastAsia="Times New Roman" w:hAnsi="Times New Roman"/>
          <w:sz w:val="26"/>
          <w:szCs w:val="26"/>
          <w:lang w:eastAsia="uk-UA"/>
        </w:rPr>
      </w:pPr>
      <w:r w:rsidRPr="00B178EF">
        <w:rPr>
          <w:rFonts w:ascii="Times New Roman" w:eastAsia="Times New Roman" w:hAnsi="Times New Roman"/>
          <w:sz w:val="26"/>
          <w:szCs w:val="26"/>
          <w:lang w:eastAsia="uk-UA"/>
        </w:rPr>
        <w:t>надання товарним біржам можливості подавати фінансову звітність та аудиторські звіти на основі таксономії фінансової звітності за міжнародними стандартами у єдиному електронному форматі XBRL</w:t>
      </w:r>
      <w:r w:rsidR="003547A8">
        <w:rPr>
          <w:rFonts w:ascii="Times New Roman" w:eastAsia="Times New Roman" w:hAnsi="Times New Roman"/>
          <w:sz w:val="26"/>
          <w:szCs w:val="26"/>
          <w:lang w:eastAsia="uk-UA"/>
        </w:rPr>
        <w:t xml:space="preserve">, </w:t>
      </w:r>
      <w:r w:rsidR="003547A8" w:rsidRPr="003547A8">
        <w:rPr>
          <w:rFonts w:ascii="Times New Roman" w:hAnsi="Times New Roman"/>
          <w:sz w:val="26"/>
          <w:szCs w:val="26"/>
        </w:rPr>
        <w:t>при цьому товарна біржа має право за власним вибором подавати таку звітність у фо</w:t>
      </w:r>
      <w:bookmarkStart w:id="0" w:name="_GoBack"/>
      <w:bookmarkEnd w:id="0"/>
      <w:r w:rsidR="003547A8" w:rsidRPr="003547A8">
        <w:rPr>
          <w:rFonts w:ascii="Times New Roman" w:hAnsi="Times New Roman"/>
          <w:sz w:val="26"/>
          <w:szCs w:val="26"/>
        </w:rPr>
        <w:t>рматі XML або у форматі XBRL</w:t>
      </w:r>
      <w:r w:rsidRPr="003547A8">
        <w:rPr>
          <w:rFonts w:ascii="Times New Roman" w:eastAsia="Times New Roman" w:hAnsi="Times New Roman"/>
          <w:sz w:val="26"/>
          <w:szCs w:val="26"/>
          <w:lang w:eastAsia="uk-UA"/>
        </w:rPr>
        <w:t>;</w:t>
      </w:r>
    </w:p>
    <w:p w:rsidR="00B178EF" w:rsidRPr="00B178EF" w:rsidRDefault="00B178EF" w:rsidP="00B178EF">
      <w:pPr>
        <w:suppressAutoHyphens w:val="0"/>
        <w:spacing w:after="0" w:line="240" w:lineRule="auto"/>
        <w:ind w:firstLine="567"/>
        <w:jc w:val="both"/>
        <w:rPr>
          <w:rFonts w:ascii="Times New Roman" w:eastAsia="Times New Roman" w:hAnsi="Times New Roman"/>
          <w:sz w:val="26"/>
          <w:szCs w:val="26"/>
          <w:lang w:eastAsia="uk-UA"/>
        </w:rPr>
      </w:pPr>
      <w:r w:rsidRPr="00B178EF">
        <w:rPr>
          <w:rFonts w:ascii="Times New Roman" w:eastAsia="Times New Roman" w:hAnsi="Times New Roman"/>
          <w:sz w:val="26"/>
          <w:szCs w:val="26"/>
          <w:lang w:eastAsia="uk-UA"/>
        </w:rPr>
        <w:t>встановлення порядку подання такої звітності через центр збору фінансової звітності, адміністрування якого здійснює НКЦПФР.</w:t>
      </w:r>
    </w:p>
    <w:p w:rsidR="00B07919" w:rsidRPr="00B178EF" w:rsidRDefault="00B07919" w:rsidP="00B07919">
      <w:pPr>
        <w:pStyle w:val="a6"/>
        <w:tabs>
          <w:tab w:val="left" w:pos="0"/>
        </w:tabs>
        <w:ind w:firstLine="567"/>
        <w:jc w:val="both"/>
        <w:rPr>
          <w:rFonts w:ascii="Times New Roman" w:eastAsia="SimSun" w:hAnsi="Times New Roman"/>
          <w:b/>
          <w:bCs/>
          <w:kern w:val="2"/>
          <w:sz w:val="26"/>
          <w:szCs w:val="26"/>
          <w:lang w:eastAsia="ar-SA"/>
        </w:rPr>
      </w:pPr>
    </w:p>
    <w:p w:rsidR="00B07919" w:rsidRPr="00B178EF" w:rsidRDefault="00B07919" w:rsidP="00B07919">
      <w:pPr>
        <w:pStyle w:val="a6"/>
        <w:tabs>
          <w:tab w:val="left" w:pos="0"/>
        </w:tabs>
        <w:ind w:firstLine="567"/>
        <w:jc w:val="both"/>
        <w:rPr>
          <w:rFonts w:ascii="Times New Roman" w:hAnsi="Times New Roman"/>
          <w:sz w:val="26"/>
          <w:szCs w:val="26"/>
        </w:rPr>
      </w:pPr>
      <w:r w:rsidRPr="00B178EF">
        <w:rPr>
          <w:rFonts w:ascii="Times New Roman" w:eastAsia="SimSun" w:hAnsi="Times New Roman"/>
          <w:b/>
          <w:bCs/>
          <w:kern w:val="2"/>
          <w:sz w:val="26"/>
          <w:szCs w:val="26"/>
          <w:lang w:eastAsia="ar-SA"/>
        </w:rPr>
        <w:t>4. Правові аспекти</w:t>
      </w:r>
    </w:p>
    <w:p w:rsidR="00B07919" w:rsidRPr="00B178EF" w:rsidRDefault="00B07919" w:rsidP="00B178EF">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 xml:space="preserve">Акти законодавства, які містять правові підстави розроблення </w:t>
      </w:r>
      <w:proofErr w:type="spellStart"/>
      <w:r w:rsidRPr="00B178EF">
        <w:rPr>
          <w:rFonts w:ascii="Times New Roman" w:hAnsi="Times New Roman"/>
          <w:sz w:val="26"/>
          <w:szCs w:val="26"/>
        </w:rPr>
        <w:t>Проєкту</w:t>
      </w:r>
      <w:proofErr w:type="spellEnd"/>
      <w:r w:rsidRPr="00B178EF">
        <w:rPr>
          <w:rFonts w:ascii="Times New Roman" w:hAnsi="Times New Roman"/>
          <w:sz w:val="26"/>
          <w:szCs w:val="26"/>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hAnsi="Times New Roman"/>
          <w:sz w:val="26"/>
          <w:szCs w:val="26"/>
        </w:rPr>
        <w:t xml:space="preserve">, та інші нормативно-правові акти, що діють у відповідній сфері суспільних відносин: </w:t>
      </w:r>
    </w:p>
    <w:p w:rsidR="00B07919" w:rsidRPr="00B178EF" w:rsidRDefault="00B07919" w:rsidP="00B178EF">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 xml:space="preserve">Закон України «Про державне регулювання ринків капіталу та організованих товарних ринків»; </w:t>
      </w:r>
    </w:p>
    <w:p w:rsidR="00B07919" w:rsidRPr="00B178EF" w:rsidRDefault="00B07919" w:rsidP="00B178EF">
      <w:pPr>
        <w:tabs>
          <w:tab w:val="left" w:pos="0"/>
        </w:tabs>
        <w:suppressAutoHyphens w:val="0"/>
        <w:spacing w:after="0" w:line="240" w:lineRule="auto"/>
        <w:ind w:firstLine="567"/>
        <w:jc w:val="both"/>
        <w:rPr>
          <w:rFonts w:ascii="Times New Roman" w:eastAsia="Times New Roman" w:hAnsi="Times New Roman"/>
          <w:sz w:val="26"/>
          <w:szCs w:val="26"/>
          <w:lang w:eastAsia="uk-UA"/>
        </w:rPr>
      </w:pPr>
      <w:r w:rsidRPr="00B178EF">
        <w:rPr>
          <w:rFonts w:ascii="Times New Roman" w:hAnsi="Times New Roman"/>
          <w:sz w:val="26"/>
          <w:szCs w:val="26"/>
        </w:rPr>
        <w:t>Закон України «Про ринки капіталу та організовані товарні ринки»;</w:t>
      </w:r>
      <w:r w:rsidRPr="00B178EF">
        <w:rPr>
          <w:rFonts w:ascii="Times New Roman" w:eastAsia="Times New Roman" w:hAnsi="Times New Roman"/>
          <w:sz w:val="26"/>
          <w:szCs w:val="26"/>
          <w:lang w:eastAsia="uk-UA"/>
        </w:rPr>
        <w:t xml:space="preserve"> Закону України «Про інститути спільного інвестування»;</w:t>
      </w:r>
    </w:p>
    <w:p w:rsidR="00B07919" w:rsidRPr="00B178EF" w:rsidRDefault="00B07919" w:rsidP="00B178EF">
      <w:pPr>
        <w:tabs>
          <w:tab w:val="left" w:pos="0"/>
        </w:tabs>
        <w:spacing w:after="0" w:line="240" w:lineRule="auto"/>
        <w:ind w:firstLine="567"/>
        <w:jc w:val="both"/>
        <w:rPr>
          <w:rFonts w:ascii="Times New Roman" w:hAnsi="Times New Roman"/>
          <w:sz w:val="26"/>
          <w:szCs w:val="26"/>
        </w:rPr>
      </w:pPr>
      <w:r w:rsidRPr="00B178EF">
        <w:rPr>
          <w:rFonts w:ascii="Times New Roman" w:eastAsia="Times New Roman" w:hAnsi="Times New Roman"/>
          <w:sz w:val="26"/>
          <w:szCs w:val="26"/>
          <w:lang w:eastAsia="uk-UA"/>
        </w:rPr>
        <w:t>Закону України «Про недержавне пенсійне забезпечення»</w:t>
      </w:r>
    </w:p>
    <w:p w:rsidR="00B07919" w:rsidRPr="00B178EF" w:rsidRDefault="00B07919" w:rsidP="00B178EF">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Закон України «Про бухгалтерський облік та фінансову звітність в Україні»;</w:t>
      </w:r>
    </w:p>
    <w:p w:rsidR="00B07919" w:rsidRPr="00B178EF" w:rsidRDefault="00B07919" w:rsidP="00B178EF">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t>Закон України «Про аудит фінансової звітності та аудиторську діяльність»;</w:t>
      </w:r>
    </w:p>
    <w:p w:rsidR="00B07919" w:rsidRPr="00B178EF" w:rsidRDefault="00B07919" w:rsidP="00B178EF">
      <w:pPr>
        <w:tabs>
          <w:tab w:val="left" w:pos="0"/>
        </w:tabs>
        <w:ind w:firstLine="567"/>
        <w:jc w:val="both"/>
        <w:rPr>
          <w:rFonts w:ascii="Times New Roman" w:hAnsi="Times New Roman"/>
          <w:sz w:val="26"/>
          <w:szCs w:val="26"/>
        </w:rPr>
      </w:pPr>
      <w:bookmarkStart w:id="1" w:name="n4"/>
      <w:bookmarkEnd w:id="1"/>
      <w:r w:rsidRPr="00B178EF">
        <w:rPr>
          <w:rFonts w:ascii="Times New Roman" w:hAnsi="Times New Roman"/>
          <w:sz w:val="26"/>
          <w:szCs w:val="26"/>
        </w:rPr>
        <w:t>рішення НКЦПФР від 13 січня 2022 року  № 3 «Про затвердження Положення про порядок складання, подання та оприлюднення товарними біржами звітних даних», зареєстроване в Міністерстві юстиції України 01 лютого 2022 р. за № 115/37451;</w:t>
      </w:r>
    </w:p>
    <w:p w:rsidR="00B07919" w:rsidRPr="00B178EF" w:rsidRDefault="00B07919" w:rsidP="00B178EF">
      <w:pPr>
        <w:tabs>
          <w:tab w:val="left" w:pos="0"/>
        </w:tabs>
        <w:spacing w:after="0" w:line="240" w:lineRule="auto"/>
        <w:ind w:firstLine="567"/>
        <w:jc w:val="both"/>
        <w:rPr>
          <w:rFonts w:ascii="Times New Roman" w:hAnsi="Times New Roman"/>
          <w:sz w:val="26"/>
          <w:szCs w:val="26"/>
        </w:rPr>
      </w:pPr>
      <w:r w:rsidRPr="00B178EF">
        <w:rPr>
          <w:rFonts w:ascii="Times New Roman" w:hAnsi="Times New Roman"/>
          <w:sz w:val="26"/>
          <w:szCs w:val="26"/>
        </w:rPr>
        <w:lastRenderedPageBreak/>
        <w:t>рішення НКЦПФР від 06 червня 2025 року № 36/21/2383/К03 «Про затвердження Вимог до розкриття показників фінансової звітності у форматі XBRL для суб’єктів звітування, що є учасниками ринків капіталу та професійними учасниками організованих товарних ринків», зареєстроване в Міністерстві юстиції України 20</w:t>
      </w:r>
      <w:r w:rsidR="00BC07DF">
        <w:rPr>
          <w:rFonts w:ascii="Times New Roman" w:hAnsi="Times New Roman"/>
          <w:sz w:val="26"/>
          <w:szCs w:val="26"/>
        </w:rPr>
        <w:t> </w:t>
      </w:r>
      <w:r w:rsidRPr="00B178EF">
        <w:rPr>
          <w:rFonts w:ascii="Times New Roman" w:hAnsi="Times New Roman"/>
          <w:sz w:val="26"/>
          <w:szCs w:val="26"/>
        </w:rPr>
        <w:t xml:space="preserve"> червня 2025 року за № 958/44364.</w:t>
      </w:r>
    </w:p>
    <w:p w:rsidR="00B07919" w:rsidRPr="00B178EF" w:rsidRDefault="00B07919" w:rsidP="00B07919">
      <w:pPr>
        <w:tabs>
          <w:tab w:val="left" w:pos="0"/>
        </w:tabs>
        <w:spacing w:after="0" w:line="240" w:lineRule="auto"/>
        <w:ind w:firstLine="567"/>
        <w:jc w:val="both"/>
        <w:rPr>
          <w:rFonts w:ascii="Times New Roman" w:hAnsi="Times New Roman"/>
          <w:sz w:val="26"/>
          <w:szCs w:val="26"/>
        </w:rPr>
      </w:pPr>
    </w:p>
    <w:p w:rsidR="00B07919" w:rsidRPr="00B178EF" w:rsidRDefault="00B07919" w:rsidP="00B07919">
      <w:pPr>
        <w:suppressLineNumbers/>
        <w:tabs>
          <w:tab w:val="left" w:pos="0"/>
          <w:tab w:val="left" w:pos="4536"/>
        </w:tabs>
        <w:spacing w:after="0" w:line="240" w:lineRule="auto"/>
        <w:ind w:firstLine="567"/>
        <w:jc w:val="both"/>
        <w:rPr>
          <w:rFonts w:ascii="Times New Roman" w:hAnsi="Times New Roman"/>
          <w:sz w:val="26"/>
          <w:szCs w:val="26"/>
        </w:rPr>
      </w:pPr>
      <w:r w:rsidRPr="00B178EF">
        <w:rPr>
          <w:rFonts w:ascii="Times New Roman" w:eastAsia="Times New Roman" w:hAnsi="Times New Roman"/>
          <w:b/>
          <w:kern w:val="2"/>
          <w:sz w:val="26"/>
          <w:szCs w:val="26"/>
          <w:lang w:eastAsia="ar-SA"/>
        </w:rPr>
        <w:t>5. Фінансово-економічне обґрунтування</w:t>
      </w:r>
    </w:p>
    <w:p w:rsidR="00B07919" w:rsidRPr="00B178EF" w:rsidRDefault="00B07919" w:rsidP="00B07919">
      <w:pPr>
        <w:widowControl w:val="0"/>
        <w:suppressLineNumbers/>
        <w:tabs>
          <w:tab w:val="left" w:pos="0"/>
          <w:tab w:val="left" w:pos="4536"/>
          <w:tab w:val="center" w:pos="4819"/>
          <w:tab w:val="right" w:pos="9639"/>
        </w:tabs>
        <w:suppressAutoHyphens w:val="0"/>
        <w:spacing w:after="0" w:line="240" w:lineRule="auto"/>
        <w:ind w:firstLine="567"/>
        <w:jc w:val="both"/>
        <w:rPr>
          <w:rFonts w:ascii="Times New Roman" w:eastAsia="SimSun" w:hAnsi="Times New Roman"/>
          <w:kern w:val="1"/>
          <w:sz w:val="26"/>
          <w:szCs w:val="26"/>
          <w:lang w:eastAsia="ar-SA"/>
        </w:rPr>
      </w:pPr>
      <w:r w:rsidRPr="00B178EF">
        <w:rPr>
          <w:rFonts w:ascii="Times New Roman" w:eastAsia="SimSun" w:hAnsi="Times New Roman"/>
          <w:kern w:val="1"/>
          <w:sz w:val="26"/>
          <w:szCs w:val="26"/>
          <w:lang w:eastAsia="ar-SA"/>
        </w:rPr>
        <w:t xml:space="preserve">Реалізація </w:t>
      </w:r>
      <w:proofErr w:type="spellStart"/>
      <w:r w:rsidRPr="00B178EF">
        <w:rPr>
          <w:rFonts w:ascii="Times New Roman" w:hAnsi="Times New Roman"/>
          <w:sz w:val="26"/>
          <w:szCs w:val="26"/>
          <w:lang w:eastAsia="en-US"/>
        </w:rPr>
        <w:t>Проєкту</w:t>
      </w:r>
      <w:proofErr w:type="spellEnd"/>
      <w:r w:rsidRPr="00B178EF">
        <w:rPr>
          <w:rFonts w:ascii="Times New Roman" w:hAnsi="Times New Roman"/>
          <w:sz w:val="26"/>
          <w:szCs w:val="26"/>
          <w:lang w:eastAsia="en-US"/>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SimSun" w:hAnsi="Times New Roman"/>
          <w:kern w:val="1"/>
          <w:sz w:val="26"/>
          <w:szCs w:val="26"/>
          <w:lang w:eastAsia="ar-SA"/>
        </w:rPr>
        <w:t xml:space="preserve"> не матиме впливу на надходження та витрати державного та/або місцевих бюджетів.</w:t>
      </w:r>
    </w:p>
    <w:p w:rsidR="00B07919" w:rsidRPr="00B178EF" w:rsidRDefault="00B07919" w:rsidP="00B07919">
      <w:pPr>
        <w:widowControl w:val="0"/>
        <w:tabs>
          <w:tab w:val="left" w:pos="0"/>
          <w:tab w:val="left" w:pos="4536"/>
        </w:tabs>
        <w:suppressAutoHyphens w:val="0"/>
        <w:spacing w:after="0" w:line="240" w:lineRule="auto"/>
        <w:ind w:firstLine="567"/>
        <w:jc w:val="both"/>
        <w:rPr>
          <w:rFonts w:ascii="Times New Roman" w:eastAsia="SimSun" w:hAnsi="Times New Roman"/>
          <w:kern w:val="1"/>
          <w:sz w:val="26"/>
          <w:szCs w:val="26"/>
          <w:lang w:eastAsia="ar-SA"/>
        </w:rPr>
      </w:pPr>
      <w:r w:rsidRPr="00B178EF">
        <w:rPr>
          <w:rFonts w:ascii="Times New Roman" w:eastAsia="SimSun" w:hAnsi="Times New Roman"/>
          <w:kern w:val="1"/>
          <w:sz w:val="26"/>
          <w:szCs w:val="26"/>
          <w:lang w:eastAsia="ar-SA"/>
        </w:rPr>
        <w:t xml:space="preserve">Реалізація </w:t>
      </w:r>
      <w:proofErr w:type="spellStart"/>
      <w:r w:rsidRPr="00B178EF">
        <w:rPr>
          <w:rFonts w:ascii="Times New Roman" w:hAnsi="Times New Roman"/>
          <w:sz w:val="26"/>
          <w:szCs w:val="26"/>
          <w:lang w:eastAsia="en-US"/>
        </w:rPr>
        <w:t>Проєкту</w:t>
      </w:r>
      <w:proofErr w:type="spellEnd"/>
      <w:r w:rsidRPr="00B178EF">
        <w:rPr>
          <w:rFonts w:ascii="Times New Roman" w:hAnsi="Times New Roman"/>
          <w:sz w:val="26"/>
          <w:szCs w:val="26"/>
          <w:lang w:eastAsia="en-US"/>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SimSun" w:hAnsi="Times New Roman"/>
          <w:kern w:val="1"/>
          <w:sz w:val="26"/>
          <w:szCs w:val="26"/>
          <w:lang w:eastAsia="ar-SA"/>
        </w:rPr>
        <w:t xml:space="preserve"> не потребує фінансування з державного чи місцевих бюджетів.</w:t>
      </w:r>
    </w:p>
    <w:p w:rsidR="00B07919" w:rsidRPr="00B178EF" w:rsidRDefault="00B07919" w:rsidP="00B07919">
      <w:pPr>
        <w:widowControl w:val="0"/>
        <w:tabs>
          <w:tab w:val="left" w:pos="0"/>
          <w:tab w:val="left" w:pos="4536"/>
        </w:tabs>
        <w:suppressAutoHyphens w:val="0"/>
        <w:spacing w:after="0" w:line="240" w:lineRule="auto"/>
        <w:ind w:firstLine="567"/>
        <w:jc w:val="both"/>
        <w:rPr>
          <w:rFonts w:ascii="Times New Roman" w:eastAsia="SimSun" w:hAnsi="Times New Roman"/>
          <w:kern w:val="1"/>
          <w:sz w:val="26"/>
          <w:szCs w:val="26"/>
          <w:lang w:eastAsia="ar-SA"/>
        </w:rPr>
      </w:pPr>
    </w:p>
    <w:p w:rsidR="00B07919" w:rsidRPr="00B178EF" w:rsidRDefault="00B07919" w:rsidP="00B07919">
      <w:pPr>
        <w:tabs>
          <w:tab w:val="left" w:pos="0"/>
          <w:tab w:val="center" w:pos="4819"/>
          <w:tab w:val="right" w:pos="9639"/>
        </w:tabs>
        <w:spacing w:after="0" w:line="240" w:lineRule="auto"/>
        <w:ind w:firstLine="567"/>
        <w:jc w:val="both"/>
        <w:rPr>
          <w:rFonts w:ascii="Times New Roman" w:hAnsi="Times New Roman"/>
          <w:sz w:val="26"/>
          <w:szCs w:val="26"/>
        </w:rPr>
      </w:pPr>
      <w:r w:rsidRPr="00B178EF">
        <w:rPr>
          <w:rFonts w:ascii="Times New Roman" w:eastAsia="Times New Roman" w:hAnsi="Times New Roman"/>
          <w:b/>
          <w:kern w:val="2"/>
          <w:sz w:val="26"/>
          <w:szCs w:val="26"/>
          <w:lang w:eastAsia="ar-SA"/>
        </w:rPr>
        <w:t>6. Позиція заінтересованих сторін</w:t>
      </w:r>
    </w:p>
    <w:p w:rsidR="00B07919" w:rsidRPr="00B178EF" w:rsidRDefault="00B07919" w:rsidP="00B07919">
      <w:pPr>
        <w:widowControl w:val="0"/>
        <w:shd w:val="clear" w:color="auto" w:fill="FFFFFF"/>
        <w:tabs>
          <w:tab w:val="left" w:pos="0"/>
        </w:tabs>
        <w:suppressAutoHyphens w:val="0"/>
        <w:spacing w:after="0" w:line="240" w:lineRule="auto"/>
        <w:ind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стосується питань функціонування 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 функціонування і застосування української мови як державної.</w:t>
      </w:r>
    </w:p>
    <w:p w:rsidR="00B07919" w:rsidRPr="00B178EF" w:rsidRDefault="00B07919" w:rsidP="00B07919">
      <w:pPr>
        <w:widowControl w:val="0"/>
        <w:shd w:val="clear" w:color="auto" w:fill="FFFFFF"/>
        <w:tabs>
          <w:tab w:val="left" w:pos="0"/>
        </w:tabs>
        <w:suppressAutoHyphens w:val="0"/>
        <w:spacing w:after="0" w:line="240" w:lineRule="auto"/>
        <w:ind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потребує погодження із уповноваженими представниками всеукраїнських асоціацій органів місцевого самоврядування чи відповідними органами місцевого самоврядування, уповноваженими представниками всеукраїнських профспілок, їх об’єднаннями та всеукраїнськими об’єднаннями організацій роботодавців, Уповноваженим Президента України з прав людей з інвалідністю, Урядовим уповноваженим з прав осіб з інвалідністю та всеукраїнськими громадськими організаціями осіб з інвалідністю, їх спілками, Уповноваженим із захисту державної мови.</w:t>
      </w:r>
    </w:p>
    <w:p w:rsidR="00B07919" w:rsidRPr="00B178EF" w:rsidRDefault="00B07919" w:rsidP="00B07919">
      <w:pPr>
        <w:widowControl w:val="0"/>
        <w:tabs>
          <w:tab w:val="left" w:pos="0"/>
        </w:tabs>
        <w:suppressAutoHyphens w:val="0"/>
        <w:spacing w:after="0" w:line="240" w:lineRule="auto"/>
        <w:ind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стосується сфери наукової та науково-технічної діяльності та не потребує розгляду Науковим комітетом Національної ради з питань розвитку науки і технологій.</w:t>
      </w:r>
    </w:p>
    <w:p w:rsidR="00B178EF" w:rsidRPr="00B178EF" w:rsidRDefault="00B178EF" w:rsidP="00B178EF">
      <w:pPr>
        <w:widowControl w:val="0"/>
        <w:shd w:val="clear" w:color="auto" w:fill="FFFFFF"/>
        <w:suppressAutoHyphens w:val="0"/>
        <w:spacing w:after="0" w:line="240" w:lineRule="auto"/>
        <w:ind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потребує оприлюднення на офіційному </w:t>
      </w:r>
      <w:proofErr w:type="spellStart"/>
      <w:r w:rsidRPr="00B178EF">
        <w:rPr>
          <w:rFonts w:ascii="Times New Roman" w:eastAsia="Times New Roman" w:hAnsi="Times New Roman"/>
          <w:kern w:val="1"/>
          <w:sz w:val="26"/>
          <w:szCs w:val="26"/>
          <w:lang w:eastAsia="ar-SA"/>
        </w:rPr>
        <w:t>вебсайті</w:t>
      </w:r>
      <w:proofErr w:type="spellEnd"/>
      <w:r w:rsidRPr="00B178EF">
        <w:rPr>
          <w:rFonts w:ascii="Times New Roman" w:eastAsia="Times New Roman" w:hAnsi="Times New Roman"/>
          <w:kern w:val="1"/>
          <w:sz w:val="26"/>
          <w:szCs w:val="26"/>
          <w:lang w:eastAsia="ar-SA"/>
        </w:rPr>
        <w:t xml:space="preserve"> Національної комісії з цінних паперів та фондового ринку (</w:t>
      </w:r>
      <w:hyperlink r:id="rId6" w:history="1">
        <w:r w:rsidRPr="00B178EF">
          <w:rPr>
            <w:rStyle w:val="a9"/>
            <w:rFonts w:ascii="Times New Roman" w:eastAsia="Times New Roman" w:hAnsi="Times New Roman"/>
            <w:color w:val="auto"/>
            <w:kern w:val="1"/>
            <w:sz w:val="26"/>
            <w:szCs w:val="26"/>
            <w:u w:val="none"/>
            <w:lang w:eastAsia="ar-SA"/>
          </w:rPr>
          <w:t>http://www.nssmc.gov.ua</w:t>
        </w:r>
      </w:hyperlink>
      <w:r w:rsidRPr="00B178EF">
        <w:rPr>
          <w:rFonts w:ascii="Times New Roman" w:eastAsia="Times New Roman" w:hAnsi="Times New Roman"/>
          <w:kern w:val="1"/>
          <w:sz w:val="26"/>
          <w:szCs w:val="26"/>
          <w:lang w:eastAsia="ar-SA"/>
        </w:rPr>
        <w:t>) відповідно до Закону України «Про державне регулювання ринків капіталу та організованих товарних ринків».</w:t>
      </w:r>
    </w:p>
    <w:p w:rsidR="00B07919" w:rsidRPr="00B178EF" w:rsidRDefault="00B07919" w:rsidP="00B07919">
      <w:pPr>
        <w:widowControl w:val="0"/>
        <w:shd w:val="clear" w:color="auto" w:fill="FFFFFF"/>
        <w:tabs>
          <w:tab w:val="left" w:pos="0"/>
        </w:tabs>
        <w:suppressAutoHyphens w:val="0"/>
        <w:spacing w:after="0" w:line="240" w:lineRule="auto"/>
        <w:ind w:firstLine="567"/>
        <w:jc w:val="both"/>
        <w:rPr>
          <w:rFonts w:ascii="Times New Roman" w:eastAsia="Times New Roman" w:hAnsi="Times New Roman"/>
          <w:kern w:val="1"/>
          <w:sz w:val="26"/>
          <w:szCs w:val="26"/>
          <w:lang w:eastAsia="ar-SA"/>
        </w:rPr>
      </w:pPr>
    </w:p>
    <w:p w:rsidR="00B07919" w:rsidRPr="00B178EF" w:rsidRDefault="00B07919" w:rsidP="00B07919">
      <w:pPr>
        <w:suppressLineNumbers/>
        <w:tabs>
          <w:tab w:val="left" w:pos="0"/>
          <w:tab w:val="left" w:pos="4536"/>
        </w:tabs>
        <w:spacing w:after="0" w:line="240" w:lineRule="auto"/>
        <w:ind w:firstLine="567"/>
        <w:jc w:val="both"/>
        <w:rPr>
          <w:rFonts w:ascii="Times New Roman" w:hAnsi="Times New Roman"/>
          <w:sz w:val="26"/>
          <w:szCs w:val="26"/>
        </w:rPr>
      </w:pPr>
      <w:r w:rsidRPr="00B178EF">
        <w:rPr>
          <w:rFonts w:ascii="Times New Roman" w:eastAsia="Times New Roman" w:hAnsi="Times New Roman"/>
          <w:b/>
          <w:kern w:val="2"/>
          <w:sz w:val="26"/>
          <w:szCs w:val="26"/>
          <w:lang w:eastAsia="ar-SA"/>
        </w:rPr>
        <w:t xml:space="preserve">7. Оцінка відповідності </w:t>
      </w:r>
    </w:p>
    <w:p w:rsidR="00B07919" w:rsidRPr="00B178EF" w:rsidRDefault="00B07919" w:rsidP="00B07919">
      <w:pPr>
        <w:widowControl w:val="0"/>
        <w:shd w:val="clear" w:color="auto" w:fill="FFFFFF"/>
        <w:tabs>
          <w:tab w:val="left" w:pos="0"/>
        </w:tabs>
        <w:suppressAutoHyphens w:val="0"/>
        <w:spacing w:after="0" w:line="240" w:lineRule="auto"/>
        <w:ind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стосується сфери компетенції інших органів державної влади та відповідно не потребує погодження з іншими органами державної влади.</w:t>
      </w:r>
    </w:p>
    <w:p w:rsidR="00B07919" w:rsidRPr="00B178EF" w:rsidRDefault="00B07919" w:rsidP="00B07919">
      <w:pPr>
        <w:widowControl w:val="0"/>
        <w:tabs>
          <w:tab w:val="left" w:pos="0"/>
          <w:tab w:val="left" w:pos="4536"/>
          <w:tab w:val="center" w:pos="4819"/>
          <w:tab w:val="right" w:pos="9639"/>
        </w:tabs>
        <w:suppressAutoHyphens w:val="0"/>
        <w:spacing w:after="0" w:line="240" w:lineRule="auto"/>
        <w:ind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містить положення, що стосуються зобов’язань України у сфері європейської інтеграції.</w:t>
      </w:r>
    </w:p>
    <w:p w:rsidR="00B07919" w:rsidRPr="00B178EF" w:rsidRDefault="00B07919" w:rsidP="00B07919">
      <w:pPr>
        <w:widowControl w:val="0"/>
        <w:tabs>
          <w:tab w:val="left" w:pos="0"/>
          <w:tab w:val="left" w:pos="4536"/>
          <w:tab w:val="center" w:pos="4819"/>
          <w:tab w:val="right" w:pos="9639"/>
        </w:tabs>
        <w:suppressAutoHyphens w:val="0"/>
        <w:spacing w:after="0" w:line="240" w:lineRule="auto"/>
        <w:ind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містить положень, що стосуються прав та свобод, гарантованих Конвенцією про захист прав людини і основоположних свобод.</w:t>
      </w:r>
    </w:p>
    <w:p w:rsidR="00B07919" w:rsidRPr="00B178EF" w:rsidRDefault="00B07919" w:rsidP="00B07919">
      <w:pPr>
        <w:widowControl w:val="0"/>
        <w:tabs>
          <w:tab w:val="left" w:pos="0"/>
          <w:tab w:val="left" w:pos="4536"/>
          <w:tab w:val="center" w:pos="4819"/>
          <w:tab w:val="right" w:pos="9639"/>
        </w:tabs>
        <w:suppressAutoHyphens w:val="0"/>
        <w:spacing w:after="0" w:line="240" w:lineRule="auto"/>
        <w:ind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У </w:t>
      </w:r>
      <w:proofErr w:type="spellStart"/>
      <w:r w:rsidRPr="00B178EF">
        <w:rPr>
          <w:rFonts w:ascii="Times New Roman" w:eastAsia="Times New Roman" w:hAnsi="Times New Roman"/>
          <w:kern w:val="1"/>
          <w:sz w:val="26"/>
          <w:szCs w:val="26"/>
          <w:lang w:eastAsia="ar-SA"/>
        </w:rPr>
        <w:t>Проєкті</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відсутні положення, які впливають на забезпечення рівних прав та можливостей жінок і чоловіків. Рішення відповідає положенням міжнародно-правових актів з питань забезпечення рівних прав та можливостей жінок і чоловіків, є </w:t>
      </w:r>
      <w:proofErr w:type="spellStart"/>
      <w:r w:rsidRPr="00B178EF">
        <w:rPr>
          <w:rFonts w:ascii="Times New Roman" w:eastAsia="Times New Roman" w:hAnsi="Times New Roman"/>
          <w:kern w:val="1"/>
          <w:sz w:val="26"/>
          <w:szCs w:val="26"/>
          <w:lang w:eastAsia="ar-SA"/>
        </w:rPr>
        <w:t>гендерно</w:t>
      </w:r>
      <w:proofErr w:type="spellEnd"/>
      <w:r w:rsidRPr="00B178EF">
        <w:rPr>
          <w:rFonts w:ascii="Times New Roman" w:eastAsia="Times New Roman" w:hAnsi="Times New Roman"/>
          <w:kern w:val="1"/>
          <w:sz w:val="26"/>
          <w:szCs w:val="26"/>
          <w:lang w:eastAsia="ar-SA"/>
        </w:rPr>
        <w:t xml:space="preserve"> нейтральним.</w:t>
      </w:r>
    </w:p>
    <w:p w:rsidR="00B07919" w:rsidRPr="00B178EF" w:rsidRDefault="00B07919" w:rsidP="00B07919">
      <w:pPr>
        <w:widowControl w:val="0"/>
        <w:tabs>
          <w:tab w:val="left" w:pos="0"/>
          <w:tab w:val="left" w:pos="4536"/>
          <w:tab w:val="center" w:pos="4819"/>
          <w:tab w:val="right" w:pos="9639"/>
        </w:tabs>
        <w:suppressAutoHyphens w:val="0"/>
        <w:spacing w:after="0" w:line="240" w:lineRule="auto"/>
        <w:ind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lastRenderedPageBreak/>
        <w:t xml:space="preserve">У </w:t>
      </w:r>
      <w:proofErr w:type="spellStart"/>
      <w:r w:rsidRPr="00B178EF">
        <w:rPr>
          <w:rFonts w:ascii="Times New Roman" w:eastAsia="Times New Roman" w:hAnsi="Times New Roman"/>
          <w:kern w:val="1"/>
          <w:sz w:val="26"/>
          <w:szCs w:val="26"/>
          <w:lang w:eastAsia="ar-SA"/>
        </w:rPr>
        <w:t>Проєкті</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відсутні положення, що містять ризики вчинення корупційних правопорушень та правопорушень, пов’язаних із корупцією.</w:t>
      </w:r>
    </w:p>
    <w:p w:rsidR="00B07919" w:rsidRPr="00B178EF" w:rsidRDefault="00B07919" w:rsidP="00B07919">
      <w:pPr>
        <w:widowControl w:val="0"/>
        <w:tabs>
          <w:tab w:val="left" w:pos="0"/>
          <w:tab w:val="left" w:pos="4536"/>
          <w:tab w:val="center" w:pos="4819"/>
          <w:tab w:val="right" w:pos="9639"/>
        </w:tabs>
        <w:suppressAutoHyphens w:val="0"/>
        <w:spacing w:after="0" w:line="240" w:lineRule="auto"/>
        <w:ind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У </w:t>
      </w:r>
      <w:proofErr w:type="spellStart"/>
      <w:r w:rsidRPr="00B178EF">
        <w:rPr>
          <w:rFonts w:ascii="Times New Roman" w:eastAsia="Times New Roman" w:hAnsi="Times New Roman"/>
          <w:kern w:val="1"/>
          <w:sz w:val="26"/>
          <w:szCs w:val="26"/>
          <w:lang w:eastAsia="ar-SA"/>
        </w:rPr>
        <w:t>Проєкті</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відсутні положення, які містять ознаки дискримінації чи створюють підстави для дискримінації. </w:t>
      </w: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потребує проведення громадської </w:t>
      </w:r>
      <w:proofErr w:type="spellStart"/>
      <w:r w:rsidRPr="00B178EF">
        <w:rPr>
          <w:rFonts w:ascii="Times New Roman" w:eastAsia="Times New Roman" w:hAnsi="Times New Roman"/>
          <w:kern w:val="1"/>
          <w:sz w:val="26"/>
          <w:szCs w:val="26"/>
          <w:lang w:eastAsia="ar-SA"/>
        </w:rPr>
        <w:t>антидискримінаційної</w:t>
      </w:r>
      <w:proofErr w:type="spellEnd"/>
      <w:r w:rsidRPr="00B178EF">
        <w:rPr>
          <w:rFonts w:ascii="Times New Roman" w:eastAsia="Times New Roman" w:hAnsi="Times New Roman"/>
          <w:kern w:val="1"/>
          <w:sz w:val="26"/>
          <w:szCs w:val="26"/>
          <w:lang w:eastAsia="ar-SA"/>
        </w:rPr>
        <w:t xml:space="preserve"> експертизи.</w:t>
      </w:r>
    </w:p>
    <w:p w:rsidR="00B07919" w:rsidRPr="00B178EF" w:rsidRDefault="00B07919" w:rsidP="00B07919">
      <w:pPr>
        <w:widowControl w:val="0"/>
        <w:tabs>
          <w:tab w:val="left" w:pos="0"/>
          <w:tab w:val="left" w:pos="4536"/>
          <w:tab w:val="center" w:pos="4819"/>
          <w:tab w:val="right" w:pos="9639"/>
        </w:tabs>
        <w:suppressAutoHyphens w:val="0"/>
        <w:spacing w:after="0" w:line="240" w:lineRule="auto"/>
        <w:ind w:firstLine="567"/>
        <w:jc w:val="both"/>
        <w:rPr>
          <w:rFonts w:ascii="Times New Roman" w:eastAsia="Times New Roman" w:hAnsi="Times New Roman"/>
          <w:kern w:val="1"/>
          <w:sz w:val="26"/>
          <w:szCs w:val="26"/>
          <w:lang w:eastAsia="ar-SA"/>
        </w:rPr>
      </w:pPr>
    </w:p>
    <w:p w:rsidR="00B07919" w:rsidRPr="00B178EF" w:rsidRDefault="00B07919" w:rsidP="00B07919">
      <w:pPr>
        <w:suppressLineNumbers/>
        <w:tabs>
          <w:tab w:val="left" w:pos="0"/>
          <w:tab w:val="left" w:pos="4536"/>
        </w:tabs>
        <w:spacing w:after="0" w:line="240" w:lineRule="auto"/>
        <w:ind w:firstLine="567"/>
        <w:jc w:val="both"/>
        <w:rPr>
          <w:rFonts w:ascii="Times New Roman" w:eastAsia="Times New Roman" w:hAnsi="Times New Roman"/>
          <w:b/>
          <w:kern w:val="2"/>
          <w:sz w:val="26"/>
          <w:szCs w:val="26"/>
          <w:lang w:eastAsia="ar-SA"/>
        </w:rPr>
      </w:pPr>
      <w:r w:rsidRPr="00B178EF">
        <w:rPr>
          <w:rFonts w:ascii="Times New Roman" w:eastAsia="Times New Roman" w:hAnsi="Times New Roman"/>
          <w:b/>
          <w:kern w:val="2"/>
          <w:sz w:val="26"/>
          <w:szCs w:val="26"/>
          <w:lang w:eastAsia="ar-SA"/>
        </w:rPr>
        <w:t xml:space="preserve">8. Прогноз результатів </w:t>
      </w:r>
    </w:p>
    <w:p w:rsidR="00B07919" w:rsidRPr="00B178EF" w:rsidRDefault="00B07919" w:rsidP="00B07919">
      <w:pPr>
        <w:tabs>
          <w:tab w:val="left" w:pos="0"/>
        </w:tabs>
        <w:suppressAutoHyphens w:val="0"/>
        <w:spacing w:after="0" w:line="240" w:lineRule="auto"/>
        <w:ind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Очікуваний вплив реалізації </w:t>
      </w:r>
      <w:proofErr w:type="spellStart"/>
      <w:r w:rsidRPr="00B178EF">
        <w:rPr>
          <w:rFonts w:ascii="Times New Roman" w:eastAsia="Times New Roman" w:hAnsi="Times New Roman"/>
          <w:kern w:val="1"/>
          <w:sz w:val="26"/>
          <w:szCs w:val="26"/>
          <w:lang w:eastAsia="ar-SA"/>
        </w:rPr>
        <w:t>Проєкту</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на: </w:t>
      </w:r>
    </w:p>
    <w:p w:rsidR="00B07919" w:rsidRPr="00B178EF" w:rsidRDefault="00B07919" w:rsidP="00B07919">
      <w:pPr>
        <w:tabs>
          <w:tab w:val="left" w:pos="0"/>
        </w:tabs>
        <w:suppressAutoHyphens w:val="0"/>
        <w:spacing w:after="0" w:line="240" w:lineRule="auto"/>
        <w:ind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ринкове середовище, забезпечення захисту прав та інтересів суб’єктів господарювання, громадян і держави; розвиток регіонів, ринок праці, сфери суспільних відносин – </w:t>
      </w: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спрямований на удосконалення нормативно-правової бази НКЦПФР;</w:t>
      </w:r>
    </w:p>
    <w:p w:rsidR="00B07919" w:rsidRPr="00B178EF" w:rsidRDefault="00B07919" w:rsidP="00B07919">
      <w:pPr>
        <w:tabs>
          <w:tab w:val="left" w:pos="0"/>
          <w:tab w:val="left" w:pos="9781"/>
        </w:tabs>
        <w:suppressAutoHyphens w:val="0"/>
        <w:spacing w:after="0" w:line="240" w:lineRule="auto"/>
        <w:ind w:right="8"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громадське здоров’я, екологію та навколишнє природне середовище, обсяг природних ресурсів, рівень забрудненого атмосферного повітря, води, земель – </w:t>
      </w: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за предметом правового регулювання не регулює зазначені сфери. </w:t>
      </w:r>
    </w:p>
    <w:p w:rsidR="00B07919" w:rsidRPr="00B178EF" w:rsidRDefault="00B07919" w:rsidP="00B07919">
      <w:pPr>
        <w:tabs>
          <w:tab w:val="left" w:pos="0"/>
          <w:tab w:val="left" w:pos="9781"/>
        </w:tabs>
        <w:suppressAutoHyphens w:val="0"/>
        <w:spacing w:after="0" w:line="240" w:lineRule="auto"/>
        <w:ind w:right="8"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Реалізація </w:t>
      </w:r>
      <w:proofErr w:type="spellStart"/>
      <w:r w:rsidRPr="00B178EF">
        <w:rPr>
          <w:rFonts w:ascii="Times New Roman" w:eastAsia="Times New Roman" w:hAnsi="Times New Roman"/>
          <w:kern w:val="1"/>
          <w:sz w:val="26"/>
          <w:szCs w:val="26"/>
          <w:lang w:eastAsia="ar-SA"/>
        </w:rPr>
        <w:t>Проєкту</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матиме негативного впливу на ринкове середовище, забезпечення захисту прав та інтересів суб’єктів господарювання, громадян і держави. </w:t>
      </w:r>
    </w:p>
    <w:p w:rsidR="00B07919" w:rsidRPr="00B178EF" w:rsidRDefault="00B07919" w:rsidP="00B07919">
      <w:pPr>
        <w:tabs>
          <w:tab w:val="left" w:pos="0"/>
          <w:tab w:val="left" w:pos="851"/>
          <w:tab w:val="left" w:pos="9781"/>
        </w:tabs>
        <w:suppressAutoHyphens w:val="0"/>
        <w:spacing w:after="0" w:line="240" w:lineRule="auto"/>
        <w:ind w:right="8"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Реалізація </w:t>
      </w:r>
      <w:proofErr w:type="spellStart"/>
      <w:r w:rsidRPr="00B178EF">
        <w:rPr>
          <w:rFonts w:ascii="Times New Roman" w:eastAsia="Times New Roman" w:hAnsi="Times New Roman"/>
          <w:kern w:val="1"/>
          <w:sz w:val="26"/>
          <w:szCs w:val="26"/>
          <w:lang w:eastAsia="ar-SA"/>
        </w:rPr>
        <w:t>Проєкту</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матиме впливу на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 </w:t>
      </w:r>
    </w:p>
    <w:p w:rsidR="00B07919" w:rsidRPr="00B178EF" w:rsidRDefault="00B07919" w:rsidP="00B07919">
      <w:pPr>
        <w:tabs>
          <w:tab w:val="left" w:pos="0"/>
          <w:tab w:val="left" w:pos="9781"/>
        </w:tabs>
        <w:suppressAutoHyphens w:val="0"/>
        <w:spacing w:after="0" w:line="240" w:lineRule="auto"/>
        <w:ind w:right="8" w:firstLine="567"/>
        <w:jc w:val="both"/>
        <w:rPr>
          <w:rFonts w:ascii="Times New Roman" w:eastAsia="Times New Roman" w:hAnsi="Times New Roman"/>
          <w:kern w:val="1"/>
          <w:sz w:val="26"/>
          <w:szCs w:val="26"/>
          <w:lang w:eastAsia="ar-SA"/>
        </w:rPr>
      </w:pPr>
      <w:proofErr w:type="spellStart"/>
      <w:r w:rsidRPr="00B178EF">
        <w:rPr>
          <w:rFonts w:ascii="Times New Roman" w:eastAsia="Times New Roman" w:hAnsi="Times New Roman"/>
          <w:kern w:val="1"/>
          <w:sz w:val="26"/>
          <w:szCs w:val="26"/>
          <w:lang w:eastAsia="ar-SA"/>
        </w:rPr>
        <w:t>Проєкт</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не містить ризиків при реалізації його положень. </w:t>
      </w:r>
    </w:p>
    <w:p w:rsidR="00B07919" w:rsidRPr="00B178EF" w:rsidRDefault="00B07919" w:rsidP="00B07919">
      <w:pPr>
        <w:tabs>
          <w:tab w:val="left" w:pos="0"/>
          <w:tab w:val="left" w:pos="9781"/>
        </w:tabs>
        <w:suppressAutoHyphens w:val="0"/>
        <w:spacing w:after="0" w:line="240" w:lineRule="auto"/>
        <w:ind w:right="8" w:firstLine="567"/>
        <w:jc w:val="both"/>
        <w:rPr>
          <w:rFonts w:ascii="Times New Roman" w:eastAsia="Times New Roman" w:hAnsi="Times New Roman"/>
          <w:kern w:val="1"/>
          <w:sz w:val="26"/>
          <w:szCs w:val="26"/>
          <w:lang w:eastAsia="ar-SA"/>
        </w:rPr>
      </w:pPr>
      <w:r w:rsidRPr="00B178EF">
        <w:rPr>
          <w:rFonts w:ascii="Times New Roman" w:eastAsia="Times New Roman" w:hAnsi="Times New Roman"/>
          <w:kern w:val="1"/>
          <w:sz w:val="26"/>
          <w:szCs w:val="26"/>
          <w:lang w:eastAsia="ar-SA"/>
        </w:rPr>
        <w:t xml:space="preserve">Прогноз очікуваних результатів реалізації </w:t>
      </w:r>
      <w:proofErr w:type="spellStart"/>
      <w:r w:rsidRPr="00B178EF">
        <w:rPr>
          <w:rFonts w:ascii="Times New Roman" w:eastAsia="Times New Roman" w:hAnsi="Times New Roman"/>
          <w:kern w:val="1"/>
          <w:sz w:val="26"/>
          <w:szCs w:val="26"/>
          <w:lang w:eastAsia="ar-SA"/>
        </w:rPr>
        <w:t>Проєкту</w:t>
      </w:r>
      <w:proofErr w:type="spellEnd"/>
      <w:r w:rsidRPr="00B178EF">
        <w:rPr>
          <w:rFonts w:ascii="Times New Roman" w:eastAsia="Times New Roman" w:hAnsi="Times New Roman"/>
          <w:kern w:val="1"/>
          <w:sz w:val="26"/>
          <w:szCs w:val="26"/>
          <w:lang w:eastAsia="ar-SA"/>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eastAsia="Times New Roman" w:hAnsi="Times New Roman"/>
          <w:kern w:val="1"/>
          <w:sz w:val="26"/>
          <w:szCs w:val="26"/>
          <w:lang w:eastAsia="ar-SA"/>
        </w:rPr>
        <w:t xml:space="preserve"> визначається в якісному вимірі та є позитивним для всіх заінтересованих сторін: держави, професійних учасників ринків капіталу та їх клієнтів. </w:t>
      </w:r>
      <w:r w:rsidRPr="00B178EF">
        <w:rPr>
          <w:rFonts w:ascii="Times New Roman" w:hAnsi="Times New Roman"/>
          <w:sz w:val="26"/>
          <w:szCs w:val="26"/>
        </w:rPr>
        <w:t xml:space="preserve">Прийняття </w:t>
      </w:r>
      <w:proofErr w:type="spellStart"/>
      <w:r w:rsidRPr="00B178EF">
        <w:rPr>
          <w:rFonts w:ascii="Times New Roman" w:hAnsi="Times New Roman"/>
          <w:sz w:val="26"/>
          <w:szCs w:val="26"/>
        </w:rPr>
        <w:t>Проєкту</w:t>
      </w:r>
      <w:proofErr w:type="spellEnd"/>
      <w:r w:rsidRPr="00B178EF">
        <w:rPr>
          <w:rFonts w:ascii="Times New Roman" w:hAnsi="Times New Roman"/>
          <w:sz w:val="26"/>
          <w:szCs w:val="26"/>
        </w:rPr>
        <w:t xml:space="preserve"> </w:t>
      </w:r>
      <w:proofErr w:type="spellStart"/>
      <w:r w:rsidRPr="00B178EF">
        <w:rPr>
          <w:rFonts w:ascii="Times New Roman" w:hAnsi="Times New Roman"/>
          <w:sz w:val="26"/>
          <w:szCs w:val="26"/>
          <w:lang w:eastAsia="uk-UA"/>
        </w:rPr>
        <w:t>акта</w:t>
      </w:r>
      <w:proofErr w:type="spellEnd"/>
      <w:r w:rsidRPr="00B178EF">
        <w:rPr>
          <w:rFonts w:ascii="Times New Roman" w:hAnsi="Times New Roman"/>
          <w:sz w:val="26"/>
          <w:szCs w:val="26"/>
        </w:rPr>
        <w:t xml:space="preserve"> дозволить підвищити якість фінансової звітності, забезпечити належний нагляд у сфері ринків капіталу та організованих товарних ринків, а також сприятиме прозорості та довірі до фінансової інформації.</w:t>
      </w:r>
    </w:p>
    <w:p w:rsidR="00B07919" w:rsidRPr="00B178EF" w:rsidRDefault="00B07919" w:rsidP="00194641">
      <w:pPr>
        <w:spacing w:after="0" w:line="360" w:lineRule="auto"/>
        <w:ind w:firstLine="567"/>
        <w:jc w:val="both"/>
        <w:textAlignment w:val="baseline"/>
        <w:rPr>
          <w:rFonts w:ascii="Times New Roman" w:eastAsia="Times New Roman" w:hAnsi="Times New Roman"/>
          <w:b/>
          <w:kern w:val="2"/>
          <w:sz w:val="26"/>
          <w:szCs w:val="26"/>
        </w:rPr>
      </w:pPr>
    </w:p>
    <w:p w:rsidR="00B07919" w:rsidRPr="00B178EF" w:rsidRDefault="00B07919" w:rsidP="00B07919">
      <w:pPr>
        <w:widowControl w:val="0"/>
        <w:tabs>
          <w:tab w:val="left" w:pos="142"/>
          <w:tab w:val="center" w:pos="4819"/>
          <w:tab w:val="right" w:pos="9639"/>
        </w:tabs>
        <w:suppressAutoHyphens w:val="0"/>
        <w:spacing w:after="0" w:line="240" w:lineRule="auto"/>
        <w:jc w:val="both"/>
        <w:rPr>
          <w:rFonts w:ascii="Times New Roman" w:hAnsi="Times New Roman"/>
          <w:b/>
          <w:sz w:val="26"/>
          <w:szCs w:val="26"/>
        </w:rPr>
      </w:pPr>
      <w:r w:rsidRPr="00B178EF">
        <w:rPr>
          <w:rFonts w:ascii="Times New Roman" w:hAnsi="Times New Roman"/>
          <w:b/>
          <w:sz w:val="26"/>
          <w:szCs w:val="26"/>
        </w:rPr>
        <w:t xml:space="preserve">Директор департаменту методології </w:t>
      </w:r>
    </w:p>
    <w:p w:rsidR="00B07919" w:rsidRPr="00B178EF" w:rsidRDefault="00B07919" w:rsidP="00B07919">
      <w:pPr>
        <w:widowControl w:val="0"/>
        <w:tabs>
          <w:tab w:val="left" w:pos="142"/>
          <w:tab w:val="center" w:pos="4819"/>
          <w:tab w:val="right" w:pos="9639"/>
        </w:tabs>
        <w:suppressAutoHyphens w:val="0"/>
        <w:spacing w:after="0" w:line="240" w:lineRule="auto"/>
        <w:jc w:val="both"/>
        <w:rPr>
          <w:rFonts w:ascii="Times New Roman" w:hAnsi="Times New Roman"/>
          <w:b/>
          <w:sz w:val="26"/>
          <w:szCs w:val="26"/>
        </w:rPr>
      </w:pPr>
      <w:r w:rsidRPr="00B178EF">
        <w:rPr>
          <w:rFonts w:ascii="Times New Roman" w:hAnsi="Times New Roman"/>
          <w:b/>
          <w:sz w:val="26"/>
          <w:szCs w:val="26"/>
        </w:rPr>
        <w:t xml:space="preserve">регулювання професійних учасників </w:t>
      </w:r>
    </w:p>
    <w:p w:rsidR="00B07919" w:rsidRPr="00B178EF" w:rsidRDefault="00B07919" w:rsidP="00B07919">
      <w:pPr>
        <w:widowControl w:val="0"/>
        <w:tabs>
          <w:tab w:val="left" w:pos="142"/>
          <w:tab w:val="center" w:pos="4819"/>
          <w:tab w:val="right" w:pos="9639"/>
        </w:tabs>
        <w:suppressAutoHyphens w:val="0"/>
        <w:spacing w:after="0" w:line="240" w:lineRule="auto"/>
        <w:jc w:val="both"/>
        <w:rPr>
          <w:rFonts w:ascii="Times New Roman" w:hAnsi="Times New Roman"/>
          <w:b/>
          <w:sz w:val="26"/>
          <w:szCs w:val="26"/>
        </w:rPr>
      </w:pPr>
      <w:r w:rsidRPr="00B178EF">
        <w:rPr>
          <w:rFonts w:ascii="Times New Roman" w:hAnsi="Times New Roman"/>
          <w:b/>
          <w:sz w:val="26"/>
          <w:szCs w:val="26"/>
        </w:rPr>
        <w:t xml:space="preserve">ринку цінних паперів </w:t>
      </w:r>
      <w:r w:rsidRPr="00B178EF">
        <w:rPr>
          <w:rFonts w:ascii="Times New Roman" w:hAnsi="Times New Roman"/>
          <w:b/>
          <w:sz w:val="26"/>
          <w:szCs w:val="26"/>
        </w:rPr>
        <w:tab/>
        <w:t xml:space="preserve">                                                           </w:t>
      </w:r>
      <w:r w:rsidR="00B178EF">
        <w:rPr>
          <w:rFonts w:ascii="Times New Roman" w:hAnsi="Times New Roman"/>
          <w:b/>
          <w:sz w:val="26"/>
          <w:szCs w:val="26"/>
        </w:rPr>
        <w:t xml:space="preserve">    </w:t>
      </w:r>
      <w:r w:rsidRPr="00B178EF">
        <w:rPr>
          <w:rFonts w:ascii="Times New Roman" w:hAnsi="Times New Roman"/>
          <w:b/>
          <w:sz w:val="26"/>
          <w:szCs w:val="26"/>
        </w:rPr>
        <w:t xml:space="preserve">  Максим ТИМОХІН</w:t>
      </w:r>
    </w:p>
    <w:p w:rsidR="00B07919" w:rsidRPr="00B178EF" w:rsidRDefault="00B07919" w:rsidP="00B07919">
      <w:pPr>
        <w:pBdr>
          <w:top w:val="nil"/>
          <w:left w:val="nil"/>
          <w:bottom w:val="nil"/>
          <w:right w:val="nil"/>
          <w:between w:val="nil"/>
        </w:pBdr>
        <w:spacing w:after="0" w:line="240" w:lineRule="auto"/>
        <w:ind w:firstLine="567"/>
        <w:jc w:val="both"/>
        <w:rPr>
          <w:rFonts w:ascii="Times New Roman" w:eastAsia="Times New Roman" w:hAnsi="Times New Roman"/>
          <w:b/>
          <w:bCs/>
          <w:sz w:val="26"/>
          <w:szCs w:val="26"/>
          <w:lang w:eastAsia="uk-UA"/>
        </w:rPr>
      </w:pPr>
    </w:p>
    <w:p w:rsidR="00B07919" w:rsidRPr="00B178EF" w:rsidRDefault="00B07919" w:rsidP="00B07919">
      <w:pPr>
        <w:pBdr>
          <w:top w:val="nil"/>
          <w:left w:val="nil"/>
          <w:bottom w:val="nil"/>
          <w:right w:val="nil"/>
          <w:between w:val="nil"/>
        </w:pBdr>
        <w:spacing w:after="0" w:line="240" w:lineRule="auto"/>
        <w:ind w:firstLine="567"/>
        <w:jc w:val="both"/>
        <w:rPr>
          <w:rFonts w:ascii="Times New Roman" w:eastAsia="Times New Roman" w:hAnsi="Times New Roman"/>
          <w:b/>
          <w:bCs/>
          <w:sz w:val="26"/>
          <w:szCs w:val="26"/>
          <w:lang w:eastAsia="uk-UA"/>
        </w:rPr>
      </w:pPr>
    </w:p>
    <w:p w:rsidR="00B07919" w:rsidRPr="00B178EF" w:rsidRDefault="00B07919" w:rsidP="00B07919">
      <w:pPr>
        <w:spacing w:after="0" w:line="240" w:lineRule="auto"/>
        <w:jc w:val="both"/>
        <w:textAlignment w:val="baseline"/>
        <w:rPr>
          <w:rFonts w:ascii="Times New Roman" w:hAnsi="Times New Roman"/>
          <w:sz w:val="26"/>
          <w:szCs w:val="26"/>
        </w:rPr>
      </w:pPr>
      <w:r w:rsidRPr="00B178EF">
        <w:rPr>
          <w:rFonts w:ascii="Times New Roman" w:eastAsia="Times New Roman" w:hAnsi="Times New Roman"/>
          <w:kern w:val="2"/>
          <w:sz w:val="26"/>
          <w:szCs w:val="26"/>
        </w:rPr>
        <w:t>________________________2025 року</w:t>
      </w:r>
    </w:p>
    <w:p w:rsidR="004039AC" w:rsidRPr="00B178EF" w:rsidRDefault="003547A8">
      <w:pPr>
        <w:rPr>
          <w:rFonts w:ascii="Times New Roman" w:hAnsi="Times New Roman"/>
          <w:sz w:val="26"/>
          <w:szCs w:val="26"/>
        </w:rPr>
      </w:pPr>
    </w:p>
    <w:sectPr w:rsidR="004039AC" w:rsidRPr="00B178EF" w:rsidSect="00BF785E">
      <w:headerReference w:type="even" r:id="rId7"/>
      <w:headerReference w:type="default" r:id="rId8"/>
      <w:footerReference w:type="even" r:id="rId9"/>
      <w:footerReference w:type="default" r:id="rId10"/>
      <w:headerReference w:type="first" r:id="rId11"/>
      <w:footerReference w:type="first" r:id="rId12"/>
      <w:pgSz w:w="11906" w:h="16838"/>
      <w:pgMar w:top="1134" w:right="567" w:bottom="2268"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E3F" w:rsidRDefault="00BC07DF">
      <w:pPr>
        <w:spacing w:after="0" w:line="240" w:lineRule="auto"/>
      </w:pPr>
      <w:r>
        <w:separator/>
      </w:r>
    </w:p>
  </w:endnote>
  <w:endnote w:type="continuationSeparator" w:id="0">
    <w:p w:rsidR="00880E3F" w:rsidRDefault="00BC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7B9" w:rsidRDefault="003547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7B9" w:rsidRDefault="003547A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7B9" w:rsidRDefault="003547A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E3F" w:rsidRDefault="00BC07DF">
      <w:pPr>
        <w:spacing w:after="0" w:line="240" w:lineRule="auto"/>
      </w:pPr>
      <w:r>
        <w:separator/>
      </w:r>
    </w:p>
  </w:footnote>
  <w:footnote w:type="continuationSeparator" w:id="0">
    <w:p w:rsidR="00880E3F" w:rsidRDefault="00BC0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7B9" w:rsidRDefault="003547A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8E0" w:rsidRPr="007317B9" w:rsidRDefault="00194641">
    <w:pPr>
      <w:pStyle w:val="a3"/>
      <w:jc w:val="center"/>
      <w:rPr>
        <w:rFonts w:ascii="Times New Roman" w:hAnsi="Times New Roman"/>
        <w:sz w:val="24"/>
        <w:szCs w:val="24"/>
      </w:rPr>
    </w:pPr>
    <w:r w:rsidRPr="007317B9">
      <w:rPr>
        <w:rFonts w:ascii="Times New Roman" w:hAnsi="Times New Roman"/>
        <w:sz w:val="24"/>
        <w:szCs w:val="24"/>
      </w:rPr>
      <w:fldChar w:fldCharType="begin"/>
    </w:r>
    <w:r w:rsidRPr="007317B9">
      <w:rPr>
        <w:rFonts w:ascii="Times New Roman" w:hAnsi="Times New Roman"/>
        <w:sz w:val="24"/>
        <w:szCs w:val="24"/>
      </w:rPr>
      <w:instrText xml:space="preserve"> PAGE </w:instrText>
    </w:r>
    <w:r w:rsidRPr="007317B9">
      <w:rPr>
        <w:rFonts w:ascii="Times New Roman" w:hAnsi="Times New Roman"/>
        <w:sz w:val="24"/>
        <w:szCs w:val="24"/>
      </w:rPr>
      <w:fldChar w:fldCharType="separate"/>
    </w:r>
    <w:r w:rsidR="003547A8">
      <w:rPr>
        <w:rFonts w:ascii="Times New Roman" w:hAnsi="Times New Roman"/>
        <w:noProof/>
        <w:sz w:val="24"/>
        <w:szCs w:val="24"/>
      </w:rPr>
      <w:t>3</w:t>
    </w:r>
    <w:r w:rsidRPr="007317B9">
      <w:rPr>
        <w:rFonts w:ascii="Times New Roman" w:hAnsi="Times New Roman"/>
        <w:sz w:val="24"/>
        <w:szCs w:val="24"/>
      </w:rPr>
      <w:fldChar w:fldCharType="end"/>
    </w:r>
  </w:p>
  <w:p w:rsidR="003D48E0" w:rsidRDefault="003547A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8E0" w:rsidRDefault="003547A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919"/>
    <w:rsid w:val="00194641"/>
    <w:rsid w:val="003547A8"/>
    <w:rsid w:val="006039B1"/>
    <w:rsid w:val="007E4B6F"/>
    <w:rsid w:val="00880E3F"/>
    <w:rsid w:val="00B07919"/>
    <w:rsid w:val="00B178EF"/>
    <w:rsid w:val="00BC07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0CBA"/>
  <w15:chartTrackingRefBased/>
  <w15:docId w15:val="{3F5F3CD7-3A7A-499B-B59A-F90412711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919"/>
    <w:pPr>
      <w:suppressAutoHyphens/>
      <w:spacing w:line="252"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7919"/>
    <w:pPr>
      <w:spacing w:after="0" w:line="240" w:lineRule="auto"/>
    </w:pPr>
  </w:style>
  <w:style w:type="character" w:customStyle="1" w:styleId="a4">
    <w:name w:val="Верхній колонтитул Знак"/>
    <w:basedOn w:val="a0"/>
    <w:link w:val="a3"/>
    <w:uiPriority w:val="99"/>
    <w:rsid w:val="00B07919"/>
    <w:rPr>
      <w:rFonts w:ascii="Calibri" w:eastAsia="Calibri" w:hAnsi="Calibri" w:cs="Times New Roman"/>
      <w:lang w:eastAsia="zh-CN"/>
    </w:rPr>
  </w:style>
  <w:style w:type="paragraph" w:styleId="a5">
    <w:name w:val="Normal (Web)"/>
    <w:basedOn w:val="a"/>
    <w:uiPriority w:val="99"/>
    <w:rsid w:val="00B07919"/>
    <w:pPr>
      <w:spacing w:before="280" w:after="280" w:line="240" w:lineRule="auto"/>
    </w:pPr>
    <w:rPr>
      <w:rFonts w:ascii="Times New Roman" w:eastAsia="Times New Roman" w:hAnsi="Times New Roman"/>
      <w:sz w:val="24"/>
      <w:szCs w:val="24"/>
    </w:rPr>
  </w:style>
  <w:style w:type="paragraph" w:styleId="a6">
    <w:name w:val="No Spacing"/>
    <w:qFormat/>
    <w:rsid w:val="00B07919"/>
    <w:pPr>
      <w:suppressAutoHyphens/>
      <w:spacing w:after="0" w:line="240" w:lineRule="auto"/>
    </w:pPr>
    <w:rPr>
      <w:rFonts w:ascii="Calibri" w:eastAsia="Calibri" w:hAnsi="Calibri" w:cs="Times New Roman"/>
      <w:lang w:eastAsia="zh-CN"/>
    </w:rPr>
  </w:style>
  <w:style w:type="paragraph" w:styleId="a7">
    <w:name w:val="footer"/>
    <w:basedOn w:val="a"/>
    <w:link w:val="a8"/>
    <w:uiPriority w:val="99"/>
    <w:unhideWhenUsed/>
    <w:rsid w:val="00B07919"/>
    <w:pPr>
      <w:tabs>
        <w:tab w:val="center" w:pos="4677"/>
        <w:tab w:val="right" w:pos="9355"/>
      </w:tabs>
    </w:pPr>
  </w:style>
  <w:style w:type="character" w:customStyle="1" w:styleId="a8">
    <w:name w:val="Нижній колонтитул Знак"/>
    <w:basedOn w:val="a0"/>
    <w:link w:val="a7"/>
    <w:uiPriority w:val="99"/>
    <w:rsid w:val="00B07919"/>
    <w:rPr>
      <w:rFonts w:ascii="Calibri" w:eastAsia="Calibri" w:hAnsi="Calibri" w:cs="Times New Roman"/>
      <w:lang w:eastAsia="zh-CN"/>
    </w:rPr>
  </w:style>
  <w:style w:type="character" w:customStyle="1" w:styleId="rvts9">
    <w:name w:val="rvts9"/>
    <w:basedOn w:val="a0"/>
    <w:rsid w:val="00B07919"/>
  </w:style>
  <w:style w:type="character" w:styleId="a9">
    <w:name w:val="Hyperlink"/>
    <w:basedOn w:val="a0"/>
    <w:uiPriority w:val="99"/>
    <w:semiHidden/>
    <w:unhideWhenUsed/>
    <w:rsid w:val="00B178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69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smc.gov.ua"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6700</Words>
  <Characters>3819</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NSSMC</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2025-09-23T12:58:00Z</dcterms:created>
  <dcterms:modified xsi:type="dcterms:W3CDTF">2025-09-26T07:16:00Z</dcterms:modified>
</cp:coreProperties>
</file>