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DAD" w:rsidRPr="0095417F" w:rsidRDefault="004A4DAD" w:rsidP="004A4DAD">
      <w:pPr>
        <w:spacing w:after="0" w:line="240" w:lineRule="auto"/>
        <w:jc w:val="center"/>
        <w:rPr>
          <w:rFonts w:ascii="Times New Roman" w:hAnsi="Times New Roman" w:cs="Times New Roman"/>
          <w:b/>
          <w:sz w:val="24"/>
          <w:szCs w:val="24"/>
        </w:rPr>
      </w:pPr>
      <w:r w:rsidRPr="0095417F">
        <w:rPr>
          <w:rFonts w:ascii="Times New Roman" w:hAnsi="Times New Roman" w:cs="Times New Roman"/>
          <w:b/>
          <w:sz w:val="24"/>
          <w:szCs w:val="24"/>
        </w:rPr>
        <w:t>Порівняльна таблиця</w:t>
      </w:r>
    </w:p>
    <w:p w:rsidR="004A4DAD" w:rsidRPr="0095417F" w:rsidRDefault="004A4DAD" w:rsidP="004A4DAD">
      <w:pPr>
        <w:spacing w:after="0" w:line="240" w:lineRule="auto"/>
        <w:jc w:val="center"/>
        <w:rPr>
          <w:rFonts w:ascii="Times New Roman" w:hAnsi="Times New Roman" w:cs="Times New Roman"/>
          <w:b/>
          <w:sz w:val="24"/>
          <w:szCs w:val="24"/>
        </w:rPr>
      </w:pPr>
      <w:r w:rsidRPr="0095417F">
        <w:rPr>
          <w:rFonts w:ascii="Times New Roman" w:hAnsi="Times New Roman" w:cs="Times New Roman"/>
          <w:b/>
          <w:sz w:val="24"/>
          <w:szCs w:val="24"/>
        </w:rPr>
        <w:t xml:space="preserve">до </w:t>
      </w:r>
      <w:proofErr w:type="spellStart"/>
      <w:r w:rsidRPr="0095417F">
        <w:rPr>
          <w:rFonts w:ascii="Times New Roman" w:hAnsi="Times New Roman" w:cs="Times New Roman"/>
          <w:b/>
          <w:sz w:val="24"/>
          <w:szCs w:val="24"/>
        </w:rPr>
        <w:t>проєкту</w:t>
      </w:r>
      <w:proofErr w:type="spellEnd"/>
      <w:r w:rsidRPr="0095417F">
        <w:rPr>
          <w:rFonts w:ascii="Times New Roman" w:hAnsi="Times New Roman" w:cs="Times New Roman"/>
          <w:b/>
          <w:sz w:val="24"/>
          <w:szCs w:val="24"/>
        </w:rPr>
        <w:t xml:space="preserve"> рішення Національної комісії з цінних паперів та фондового ринку «Про внесення змін до рішення Національної комісії з цінних паперів та фондового ринку від 13 січня 2022 року № 3 щодо порядку подання фінансової звітності»</w:t>
      </w:r>
    </w:p>
    <w:p w:rsidR="004A4DAD" w:rsidRPr="0095417F" w:rsidRDefault="004A4DAD" w:rsidP="004A4DAD">
      <w:pPr>
        <w:spacing w:after="0" w:line="240" w:lineRule="auto"/>
        <w:rPr>
          <w:sz w:val="24"/>
          <w:szCs w:val="24"/>
          <w:lang w:eastAsia="zh-CN"/>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5"/>
        <w:gridCol w:w="7726"/>
      </w:tblGrid>
      <w:tr w:rsidR="004A4DAD" w:rsidRPr="0095417F" w:rsidTr="00043799">
        <w:tc>
          <w:tcPr>
            <w:tcW w:w="7725" w:type="dxa"/>
          </w:tcPr>
          <w:p w:rsidR="004A4DAD" w:rsidRPr="0095417F" w:rsidRDefault="004A4DAD" w:rsidP="00043799">
            <w:pPr>
              <w:spacing w:after="0" w:line="240" w:lineRule="auto"/>
              <w:jc w:val="center"/>
              <w:rPr>
                <w:rFonts w:ascii="Times New Roman" w:hAnsi="Times New Roman" w:cs="Times New Roman"/>
                <w:sz w:val="24"/>
                <w:szCs w:val="24"/>
                <w:lang w:eastAsia="zh-CN"/>
              </w:rPr>
            </w:pPr>
            <w:r w:rsidRPr="0095417F">
              <w:rPr>
                <w:rFonts w:ascii="Times New Roman" w:hAnsi="Times New Roman" w:cs="Times New Roman"/>
                <w:b/>
                <w:sz w:val="24"/>
                <w:szCs w:val="24"/>
              </w:rPr>
              <w:t xml:space="preserve">Зміст положення </w:t>
            </w:r>
            <w:proofErr w:type="spellStart"/>
            <w:r w:rsidRPr="0095417F">
              <w:rPr>
                <w:rFonts w:ascii="Times New Roman" w:hAnsi="Times New Roman" w:cs="Times New Roman"/>
                <w:b/>
                <w:sz w:val="24"/>
                <w:szCs w:val="24"/>
              </w:rPr>
              <w:t>акта</w:t>
            </w:r>
            <w:proofErr w:type="spellEnd"/>
            <w:r w:rsidRPr="0095417F">
              <w:rPr>
                <w:rFonts w:ascii="Times New Roman" w:hAnsi="Times New Roman" w:cs="Times New Roman"/>
                <w:b/>
                <w:sz w:val="24"/>
                <w:szCs w:val="24"/>
              </w:rPr>
              <w:t xml:space="preserve"> законодавства</w:t>
            </w:r>
          </w:p>
        </w:tc>
        <w:tc>
          <w:tcPr>
            <w:tcW w:w="7726" w:type="dxa"/>
          </w:tcPr>
          <w:p w:rsidR="004A4DAD" w:rsidRPr="0095417F" w:rsidRDefault="004A4DAD" w:rsidP="00043799">
            <w:pPr>
              <w:spacing w:after="0" w:line="240" w:lineRule="auto"/>
              <w:jc w:val="center"/>
              <w:rPr>
                <w:rFonts w:ascii="Times New Roman" w:hAnsi="Times New Roman" w:cs="Times New Roman"/>
                <w:sz w:val="24"/>
                <w:szCs w:val="24"/>
                <w:lang w:eastAsia="zh-CN"/>
              </w:rPr>
            </w:pPr>
            <w:r w:rsidRPr="0095417F">
              <w:rPr>
                <w:rFonts w:ascii="Times New Roman" w:eastAsia="Times New Roman" w:hAnsi="Times New Roman" w:cs="Times New Roman"/>
                <w:b/>
                <w:kern w:val="2"/>
                <w:sz w:val="24"/>
                <w:szCs w:val="24"/>
                <w:lang w:eastAsia="zh-CN"/>
              </w:rPr>
              <w:t xml:space="preserve">Зміст відповідного положення </w:t>
            </w:r>
            <w:proofErr w:type="spellStart"/>
            <w:r w:rsidRPr="0095417F">
              <w:rPr>
                <w:rFonts w:ascii="Times New Roman" w:eastAsia="Times New Roman" w:hAnsi="Times New Roman" w:cs="Times New Roman"/>
                <w:b/>
                <w:kern w:val="2"/>
                <w:sz w:val="24"/>
                <w:szCs w:val="24"/>
                <w:lang w:eastAsia="zh-CN"/>
              </w:rPr>
              <w:t>проєкту</w:t>
            </w:r>
            <w:proofErr w:type="spellEnd"/>
            <w:r w:rsidRPr="0095417F">
              <w:rPr>
                <w:rFonts w:ascii="Times New Roman" w:eastAsia="Times New Roman" w:hAnsi="Times New Roman" w:cs="Times New Roman"/>
                <w:b/>
                <w:kern w:val="2"/>
                <w:sz w:val="24"/>
                <w:szCs w:val="24"/>
                <w:lang w:eastAsia="zh-CN"/>
              </w:rPr>
              <w:t xml:space="preserve"> </w:t>
            </w:r>
            <w:proofErr w:type="spellStart"/>
            <w:r w:rsidRPr="0095417F">
              <w:rPr>
                <w:rFonts w:ascii="Times New Roman" w:eastAsia="Times New Roman" w:hAnsi="Times New Roman" w:cs="Times New Roman"/>
                <w:b/>
                <w:kern w:val="2"/>
                <w:sz w:val="24"/>
                <w:szCs w:val="24"/>
                <w:lang w:eastAsia="zh-CN"/>
              </w:rPr>
              <w:t>акта</w:t>
            </w:r>
            <w:proofErr w:type="spellEnd"/>
          </w:p>
        </w:tc>
      </w:tr>
      <w:tr w:rsidR="004A4DAD" w:rsidRPr="0095417F" w:rsidTr="00043799">
        <w:tc>
          <w:tcPr>
            <w:tcW w:w="15451" w:type="dxa"/>
            <w:gridSpan w:val="2"/>
          </w:tcPr>
          <w:p w:rsidR="004A4DAD" w:rsidRPr="0095417F" w:rsidRDefault="004A4DAD" w:rsidP="00043799">
            <w:pPr>
              <w:spacing w:after="0" w:line="240" w:lineRule="auto"/>
              <w:jc w:val="center"/>
              <w:rPr>
                <w:rFonts w:ascii="Times New Roman" w:hAnsi="Times New Roman" w:cs="Times New Roman"/>
                <w:b/>
                <w:sz w:val="24"/>
                <w:szCs w:val="24"/>
              </w:rPr>
            </w:pPr>
            <w:bookmarkStart w:id="0" w:name="n84"/>
            <w:bookmarkEnd w:id="0"/>
            <w:r w:rsidRPr="0095417F">
              <w:rPr>
                <w:rFonts w:ascii="Times New Roman" w:hAnsi="Times New Roman" w:cs="Times New Roman"/>
                <w:b/>
                <w:sz w:val="24"/>
                <w:szCs w:val="24"/>
              </w:rPr>
              <w:t>Положення про порядок складання, подання та оприлюднення товарними біржами звітних даних, затверджен</w:t>
            </w:r>
            <w:r w:rsidR="00F0766B">
              <w:rPr>
                <w:rFonts w:ascii="Times New Roman" w:hAnsi="Times New Roman" w:cs="Times New Roman"/>
                <w:b/>
                <w:sz w:val="24"/>
                <w:szCs w:val="24"/>
              </w:rPr>
              <w:t>ого</w:t>
            </w:r>
            <w:r w:rsidRPr="0095417F">
              <w:rPr>
                <w:rFonts w:ascii="Times New Roman" w:hAnsi="Times New Roman" w:cs="Times New Roman"/>
                <w:b/>
                <w:sz w:val="24"/>
                <w:szCs w:val="24"/>
              </w:rPr>
              <w:t xml:space="preserve"> рішенням Національної комісії з цінних паперів та фондового ринку від 13 січня 2022 року  № 3, зареєстрован</w:t>
            </w:r>
            <w:r w:rsidR="00F0766B">
              <w:rPr>
                <w:rFonts w:ascii="Times New Roman" w:hAnsi="Times New Roman" w:cs="Times New Roman"/>
                <w:b/>
                <w:sz w:val="24"/>
                <w:szCs w:val="24"/>
              </w:rPr>
              <w:t>ого</w:t>
            </w:r>
            <w:r w:rsidRPr="0095417F">
              <w:rPr>
                <w:rFonts w:ascii="Times New Roman" w:hAnsi="Times New Roman" w:cs="Times New Roman"/>
                <w:b/>
                <w:sz w:val="24"/>
                <w:szCs w:val="24"/>
              </w:rPr>
              <w:t xml:space="preserve"> в Міністерстві юстиції України </w:t>
            </w:r>
          </w:p>
          <w:p w:rsidR="004A4DAD" w:rsidRPr="0095417F" w:rsidRDefault="004A4DAD" w:rsidP="00043799">
            <w:pPr>
              <w:spacing w:after="0" w:line="240" w:lineRule="auto"/>
              <w:jc w:val="center"/>
              <w:rPr>
                <w:rFonts w:ascii="Times New Roman" w:hAnsi="Times New Roman" w:cs="Times New Roman"/>
                <w:b/>
                <w:sz w:val="24"/>
                <w:szCs w:val="24"/>
              </w:rPr>
            </w:pPr>
            <w:r w:rsidRPr="0095417F">
              <w:rPr>
                <w:rFonts w:ascii="Times New Roman" w:hAnsi="Times New Roman" w:cs="Times New Roman"/>
                <w:b/>
                <w:sz w:val="24"/>
                <w:szCs w:val="24"/>
              </w:rPr>
              <w:t>01 лютого 2022 року за № 115/37451</w:t>
            </w:r>
          </w:p>
        </w:tc>
      </w:tr>
      <w:tr w:rsidR="004A4DAD" w:rsidRPr="0095417F" w:rsidTr="00043799">
        <w:tc>
          <w:tcPr>
            <w:tcW w:w="7725" w:type="dxa"/>
          </w:tcPr>
          <w:p w:rsidR="004A4DAD" w:rsidRPr="0095417F" w:rsidRDefault="004A4DAD" w:rsidP="00043799">
            <w:pPr>
              <w:pStyle w:val="rvps7"/>
              <w:shd w:val="clear" w:color="auto" w:fill="FFFFFF"/>
              <w:tabs>
                <w:tab w:val="left" w:pos="6406"/>
              </w:tabs>
              <w:spacing w:before="0" w:beforeAutospacing="0" w:after="0" w:afterAutospacing="0"/>
              <w:ind w:left="28" w:firstLine="288"/>
              <w:jc w:val="center"/>
              <w:rPr>
                <w:b/>
                <w:bCs/>
                <w:shd w:val="clear" w:color="auto" w:fill="FFFFFF"/>
              </w:rPr>
            </w:pPr>
            <w:r w:rsidRPr="0095417F">
              <w:rPr>
                <w:b/>
                <w:bCs/>
                <w:shd w:val="clear" w:color="auto" w:fill="FFFFFF"/>
              </w:rPr>
              <w:t>I. Загальні положення</w:t>
            </w:r>
          </w:p>
          <w:p w:rsidR="004A4DAD" w:rsidRPr="0095417F" w:rsidRDefault="004A4DAD" w:rsidP="00043799">
            <w:pPr>
              <w:pStyle w:val="rvps7"/>
              <w:shd w:val="clear" w:color="auto" w:fill="FFFFFF"/>
              <w:tabs>
                <w:tab w:val="left" w:pos="6406"/>
              </w:tabs>
              <w:spacing w:before="0" w:beforeAutospacing="0" w:after="0" w:afterAutospacing="0"/>
              <w:ind w:left="28" w:firstLine="288"/>
              <w:jc w:val="both"/>
              <w:rPr>
                <w:bCs/>
                <w:shd w:val="clear" w:color="auto" w:fill="FFFFFF"/>
              </w:rPr>
            </w:pPr>
            <w:r w:rsidRPr="0095417F">
              <w:rPr>
                <w:bCs/>
                <w:shd w:val="clear" w:color="auto" w:fill="FFFFFF"/>
              </w:rPr>
              <w:t>(…)</w:t>
            </w:r>
          </w:p>
          <w:p w:rsidR="004A4DAD" w:rsidRPr="0095417F" w:rsidRDefault="004A4DAD" w:rsidP="0078258B">
            <w:pPr>
              <w:pStyle w:val="rvps7"/>
              <w:shd w:val="clear" w:color="auto" w:fill="FFFFFF"/>
              <w:tabs>
                <w:tab w:val="left" w:pos="6406"/>
              </w:tabs>
              <w:spacing w:before="0" w:beforeAutospacing="0" w:after="0" w:afterAutospacing="0"/>
              <w:ind w:left="28" w:firstLine="288"/>
              <w:jc w:val="both"/>
              <w:rPr>
                <w:rStyle w:val="rvts15"/>
                <w:b/>
                <w:bCs/>
              </w:rPr>
            </w:pPr>
            <w:r w:rsidRPr="0095417F">
              <w:rPr>
                <w:shd w:val="clear" w:color="auto" w:fill="FFFFFF"/>
              </w:rPr>
              <w:t xml:space="preserve">9. </w:t>
            </w:r>
            <w:r w:rsidRPr="0095417F">
              <w:rPr>
                <w:strike/>
                <w:shd w:val="clear" w:color="auto" w:fill="FFFFFF"/>
              </w:rPr>
              <w:t>Формат фінансової звітності формується відповідно до опису розділів та схем XML-файлів, визначених окремим документом НКЦПФР нормативно-технічного характеру з урахуванням вимог, визначених Вимогами до форматів даних електронного документообігу в органах державної влади, затвердженими наказом Державного агентства з питань електронного урядування України від 07 вересня 2018 року № 60, зареєстрованими в Міністерстві юстиції України 20 листопада 2018 року за № 1309/32761.</w:t>
            </w:r>
          </w:p>
        </w:tc>
        <w:tc>
          <w:tcPr>
            <w:tcW w:w="7726" w:type="dxa"/>
          </w:tcPr>
          <w:p w:rsidR="004A4DAD" w:rsidRPr="0095417F" w:rsidRDefault="004A4DAD" w:rsidP="00531E0D">
            <w:pPr>
              <w:pStyle w:val="rvps7"/>
              <w:shd w:val="clear" w:color="auto" w:fill="FFFFFF"/>
              <w:tabs>
                <w:tab w:val="left" w:pos="6406"/>
              </w:tabs>
              <w:spacing w:before="0" w:beforeAutospacing="0" w:after="0" w:afterAutospacing="0"/>
              <w:ind w:left="-25" w:firstLine="25"/>
              <w:jc w:val="center"/>
              <w:rPr>
                <w:b/>
                <w:bCs/>
                <w:shd w:val="clear" w:color="auto" w:fill="FFFFFF"/>
              </w:rPr>
            </w:pPr>
            <w:r w:rsidRPr="0095417F">
              <w:rPr>
                <w:b/>
                <w:bCs/>
                <w:shd w:val="clear" w:color="auto" w:fill="FFFFFF"/>
              </w:rPr>
              <w:t>I. Загальні положення</w:t>
            </w:r>
          </w:p>
          <w:p w:rsidR="004A4DAD" w:rsidRPr="0095417F" w:rsidRDefault="004A4DAD" w:rsidP="00531E0D">
            <w:pPr>
              <w:pStyle w:val="rvps7"/>
              <w:shd w:val="clear" w:color="auto" w:fill="FFFFFF"/>
              <w:tabs>
                <w:tab w:val="left" w:pos="6406"/>
              </w:tabs>
              <w:spacing w:before="0" w:beforeAutospacing="0" w:after="0" w:afterAutospacing="0"/>
              <w:ind w:left="-25" w:firstLine="554"/>
              <w:jc w:val="both"/>
              <w:rPr>
                <w:bCs/>
                <w:shd w:val="clear" w:color="auto" w:fill="FFFFFF"/>
              </w:rPr>
            </w:pPr>
            <w:r w:rsidRPr="0095417F">
              <w:rPr>
                <w:bCs/>
                <w:shd w:val="clear" w:color="auto" w:fill="FFFFFF"/>
              </w:rPr>
              <w:t>(…)</w:t>
            </w:r>
          </w:p>
          <w:p w:rsidR="004A4DAD" w:rsidRPr="0095417F" w:rsidRDefault="004A4DAD" w:rsidP="00531E0D">
            <w:pPr>
              <w:spacing w:after="0" w:line="240" w:lineRule="auto"/>
              <w:ind w:firstLine="554"/>
              <w:jc w:val="both"/>
              <w:rPr>
                <w:rFonts w:ascii="Times New Roman" w:hAnsi="Times New Roman" w:cs="Times New Roman"/>
                <w:b/>
                <w:sz w:val="24"/>
                <w:szCs w:val="24"/>
              </w:rPr>
            </w:pPr>
            <w:r w:rsidRPr="0095417F">
              <w:rPr>
                <w:rFonts w:ascii="Times New Roman" w:hAnsi="Times New Roman" w:cs="Times New Roman"/>
                <w:sz w:val="24"/>
                <w:szCs w:val="24"/>
                <w:shd w:val="clear" w:color="auto" w:fill="FFFFFF"/>
              </w:rPr>
              <w:t>9.</w:t>
            </w:r>
            <w:r w:rsidRPr="0095417F">
              <w:rPr>
                <w:rFonts w:ascii="Times New Roman" w:hAnsi="Times New Roman" w:cs="Times New Roman"/>
                <w:b/>
                <w:sz w:val="24"/>
                <w:szCs w:val="24"/>
                <w:shd w:val="clear" w:color="auto" w:fill="FFFFFF"/>
              </w:rPr>
              <w:t xml:space="preserve"> </w:t>
            </w:r>
            <w:r w:rsidRPr="0095417F">
              <w:rPr>
                <w:rFonts w:ascii="Times New Roman" w:hAnsi="Times New Roman" w:cs="Times New Roman"/>
                <w:sz w:val="24"/>
                <w:szCs w:val="24"/>
                <w:shd w:val="clear" w:color="auto" w:fill="FFFFFF"/>
              </w:rPr>
              <w:t>Дані складаються відповідно до опису розділів та схем XML-файлів, визначених окремим документом НКЦПФР нормативно-технічного характеру</w:t>
            </w:r>
            <w:r w:rsidRPr="0095417F">
              <w:rPr>
                <w:rFonts w:ascii="Times New Roman" w:hAnsi="Times New Roman" w:cs="Times New Roman"/>
                <w:sz w:val="24"/>
                <w:szCs w:val="24"/>
              </w:rPr>
              <w:t>.</w:t>
            </w:r>
          </w:p>
          <w:p w:rsidR="004A4DAD" w:rsidRPr="0095417F" w:rsidRDefault="004A4DAD" w:rsidP="00531E0D">
            <w:pPr>
              <w:pStyle w:val="rvps7"/>
              <w:shd w:val="clear" w:color="auto" w:fill="FFFFFF"/>
              <w:tabs>
                <w:tab w:val="left" w:pos="6406"/>
              </w:tabs>
              <w:spacing w:before="0" w:beforeAutospacing="0" w:after="0" w:afterAutospacing="0"/>
              <w:ind w:left="28" w:firstLine="554"/>
              <w:jc w:val="both"/>
              <w:rPr>
                <w:rStyle w:val="rvts15"/>
                <w:b/>
                <w:bCs/>
              </w:rPr>
            </w:pPr>
          </w:p>
        </w:tc>
      </w:tr>
      <w:tr w:rsidR="004A4DAD" w:rsidRPr="0095417F" w:rsidTr="00043799">
        <w:tc>
          <w:tcPr>
            <w:tcW w:w="7725" w:type="dxa"/>
          </w:tcPr>
          <w:p w:rsidR="004A4DAD" w:rsidRPr="0095417F" w:rsidRDefault="004A4DAD" w:rsidP="00043799">
            <w:pPr>
              <w:pStyle w:val="rvps7"/>
              <w:shd w:val="clear" w:color="auto" w:fill="FFFFFF"/>
              <w:tabs>
                <w:tab w:val="left" w:pos="6406"/>
              </w:tabs>
              <w:spacing w:before="0" w:beforeAutospacing="0" w:after="0" w:afterAutospacing="0"/>
              <w:ind w:left="28" w:firstLine="288"/>
              <w:jc w:val="both"/>
              <w:rPr>
                <w:strike/>
                <w:shd w:val="clear" w:color="auto" w:fill="FFFFFF"/>
              </w:rPr>
            </w:pPr>
            <w:r w:rsidRPr="0095417F">
              <w:rPr>
                <w:shd w:val="clear" w:color="auto" w:fill="FFFFFF"/>
              </w:rPr>
              <w:t xml:space="preserve">10. </w:t>
            </w:r>
            <w:r w:rsidRPr="0095417F">
              <w:rPr>
                <w:strike/>
                <w:shd w:val="clear" w:color="auto" w:fill="FFFFFF"/>
              </w:rPr>
              <w:t>Дані складаються відповідно до опису розділів та схем XML-файлів, визначених окремим документом НКЦПФР нормативно-технічного характеру.</w:t>
            </w:r>
          </w:p>
          <w:p w:rsidR="004A4DAD" w:rsidRPr="0095417F" w:rsidRDefault="004A4DAD" w:rsidP="00043799">
            <w:pPr>
              <w:pStyle w:val="rvps7"/>
              <w:shd w:val="clear" w:color="auto" w:fill="FFFFFF"/>
              <w:tabs>
                <w:tab w:val="left" w:pos="6406"/>
              </w:tabs>
              <w:spacing w:before="0" w:beforeAutospacing="0" w:after="0" w:afterAutospacing="0"/>
              <w:ind w:left="28" w:firstLine="288"/>
              <w:jc w:val="both"/>
              <w:rPr>
                <w:shd w:val="clear" w:color="auto" w:fill="FFFFFF"/>
              </w:rPr>
            </w:pPr>
            <w:r w:rsidRPr="0095417F">
              <w:rPr>
                <w:shd w:val="clear" w:color="auto" w:fill="FFFFFF"/>
              </w:rPr>
              <w:t>(…)</w:t>
            </w:r>
          </w:p>
          <w:p w:rsidR="004A4DAD" w:rsidRPr="0095417F" w:rsidRDefault="004A4DAD" w:rsidP="00043799">
            <w:pPr>
              <w:pStyle w:val="rvps7"/>
              <w:shd w:val="clear" w:color="auto" w:fill="FFFFFF"/>
              <w:tabs>
                <w:tab w:val="left" w:pos="6406"/>
              </w:tabs>
              <w:spacing w:before="0" w:beforeAutospacing="0" w:after="0" w:afterAutospacing="0"/>
              <w:ind w:left="28" w:firstLine="288"/>
              <w:jc w:val="both"/>
              <w:rPr>
                <w:shd w:val="clear" w:color="auto" w:fill="FFFFFF"/>
              </w:rPr>
            </w:pPr>
          </w:p>
          <w:p w:rsidR="004A4DAD" w:rsidRPr="0095417F" w:rsidRDefault="004A4DAD" w:rsidP="00043799">
            <w:pPr>
              <w:pStyle w:val="rvps7"/>
              <w:shd w:val="clear" w:color="auto" w:fill="FFFFFF"/>
              <w:tabs>
                <w:tab w:val="left" w:pos="6406"/>
              </w:tabs>
              <w:spacing w:before="0" w:beforeAutospacing="0" w:after="0" w:afterAutospacing="0"/>
              <w:ind w:left="28" w:firstLine="288"/>
              <w:jc w:val="center"/>
              <w:rPr>
                <w:b/>
                <w:bCs/>
                <w:shd w:val="clear" w:color="auto" w:fill="FFFFFF"/>
              </w:rPr>
            </w:pPr>
          </w:p>
        </w:tc>
        <w:tc>
          <w:tcPr>
            <w:tcW w:w="7726" w:type="dxa"/>
          </w:tcPr>
          <w:p w:rsidR="008F1C96" w:rsidRPr="0095417F" w:rsidRDefault="004A4DAD" w:rsidP="00531E0D">
            <w:pPr>
              <w:spacing w:after="0" w:line="240" w:lineRule="auto"/>
              <w:ind w:firstLine="554"/>
              <w:jc w:val="both"/>
              <w:rPr>
                <w:rFonts w:ascii="Times New Roman" w:hAnsi="Times New Roman" w:cs="Times New Roman"/>
                <w:b/>
                <w:sz w:val="24"/>
                <w:szCs w:val="24"/>
                <w:shd w:val="clear" w:color="auto" w:fill="FFFFFF"/>
              </w:rPr>
            </w:pPr>
            <w:r w:rsidRPr="0095417F">
              <w:rPr>
                <w:rFonts w:ascii="Times New Roman" w:hAnsi="Times New Roman" w:cs="Times New Roman"/>
                <w:b/>
                <w:sz w:val="24"/>
                <w:szCs w:val="24"/>
                <w:shd w:val="clear" w:color="auto" w:fill="FFFFFF"/>
              </w:rPr>
              <w:t xml:space="preserve">10. </w:t>
            </w:r>
            <w:r w:rsidR="00A0138B" w:rsidRPr="0095417F">
              <w:rPr>
                <w:rFonts w:ascii="Times New Roman" w:hAnsi="Times New Roman" w:cs="Times New Roman"/>
                <w:b/>
                <w:sz w:val="24"/>
                <w:szCs w:val="24"/>
                <w:shd w:val="clear" w:color="auto" w:fill="FFFFFF"/>
              </w:rPr>
              <w:t>Формат фінансової звітності формується відповідно до опису розділів та схем XML-файлів</w:t>
            </w:r>
            <w:r w:rsidR="008F1C96" w:rsidRPr="0095417F">
              <w:rPr>
                <w:rFonts w:ascii="Times New Roman" w:hAnsi="Times New Roman" w:cs="Times New Roman"/>
                <w:b/>
                <w:sz w:val="24"/>
                <w:szCs w:val="24"/>
                <w:shd w:val="clear" w:color="auto" w:fill="FFFFFF"/>
              </w:rPr>
              <w:t xml:space="preserve"> (далі – формат </w:t>
            </w:r>
            <w:r w:rsidR="008F1C96" w:rsidRPr="0095417F">
              <w:rPr>
                <w:rFonts w:ascii="Times New Roman" w:hAnsi="Times New Roman" w:cs="Times New Roman"/>
                <w:b/>
                <w:sz w:val="24"/>
                <w:szCs w:val="24"/>
                <w:shd w:val="clear" w:color="auto" w:fill="FFFFFF"/>
                <w:lang w:val="en-US"/>
              </w:rPr>
              <w:t>XML</w:t>
            </w:r>
            <w:r w:rsidR="008F1C96" w:rsidRPr="0095417F">
              <w:rPr>
                <w:rFonts w:ascii="Times New Roman" w:hAnsi="Times New Roman" w:cs="Times New Roman"/>
                <w:b/>
                <w:sz w:val="24"/>
                <w:szCs w:val="24"/>
                <w:shd w:val="clear" w:color="auto" w:fill="FFFFFF"/>
              </w:rPr>
              <w:t>)</w:t>
            </w:r>
            <w:r w:rsidR="00A0138B" w:rsidRPr="0095417F">
              <w:rPr>
                <w:rFonts w:ascii="Times New Roman" w:hAnsi="Times New Roman" w:cs="Times New Roman"/>
                <w:b/>
                <w:sz w:val="24"/>
                <w:szCs w:val="24"/>
                <w:shd w:val="clear" w:color="auto" w:fill="FFFFFF"/>
              </w:rPr>
              <w:t>, визначених окремим документом НКЦПФР нормативно-технічного характеру</w:t>
            </w:r>
            <w:r w:rsidR="008F1C96" w:rsidRPr="0095417F">
              <w:rPr>
                <w:rFonts w:ascii="Times New Roman" w:hAnsi="Times New Roman" w:cs="Times New Roman"/>
                <w:b/>
                <w:sz w:val="24"/>
                <w:szCs w:val="24"/>
                <w:shd w:val="clear" w:color="auto" w:fill="FFFFFF"/>
              </w:rPr>
              <w:t>.</w:t>
            </w:r>
          </w:p>
          <w:p w:rsidR="004A4DAD" w:rsidRPr="0095417F" w:rsidRDefault="00A0138B" w:rsidP="00531E0D">
            <w:pPr>
              <w:pStyle w:val="rvps2"/>
              <w:shd w:val="clear" w:color="auto" w:fill="FFFFFF"/>
              <w:spacing w:before="0" w:beforeAutospacing="0" w:after="0" w:afterAutospacing="0"/>
              <w:ind w:left="-25" w:firstLine="554"/>
              <w:jc w:val="both"/>
              <w:rPr>
                <w:b/>
                <w:bCs/>
                <w:shd w:val="clear" w:color="auto" w:fill="FFFFFF"/>
              </w:rPr>
            </w:pPr>
            <w:r w:rsidRPr="0095417F">
              <w:rPr>
                <w:b/>
              </w:rPr>
              <w:t>У разі якщо ф</w:t>
            </w:r>
            <w:r w:rsidR="004A4DAD" w:rsidRPr="0095417F">
              <w:rPr>
                <w:b/>
              </w:rPr>
              <w:t>інансова звітність (річна, проміжна)</w:t>
            </w:r>
            <w:r w:rsidR="00531E0D">
              <w:rPr>
                <w:b/>
              </w:rPr>
              <w:t> / </w:t>
            </w:r>
            <w:r w:rsidR="004A4DAD" w:rsidRPr="0095417F">
              <w:rPr>
                <w:b/>
              </w:rPr>
              <w:t>консолідована фінансова звітність</w:t>
            </w:r>
            <w:r w:rsidR="00F51CD1" w:rsidRPr="0095417F">
              <w:rPr>
                <w:b/>
              </w:rPr>
              <w:t xml:space="preserve"> (річна, проміжна</w:t>
            </w:r>
            <w:r w:rsidR="00A909E1" w:rsidRPr="0095417F">
              <w:rPr>
                <w:b/>
              </w:rPr>
              <w:t xml:space="preserve">, </w:t>
            </w:r>
            <w:r w:rsidR="00F51CD1" w:rsidRPr="0095417F">
              <w:rPr>
                <w:b/>
              </w:rPr>
              <w:t xml:space="preserve">у разі складання консолідованої фінансової звітності) </w:t>
            </w:r>
            <w:r w:rsidR="004A4DAD" w:rsidRPr="0095417F">
              <w:rPr>
                <w:b/>
              </w:rPr>
              <w:t>склада</w:t>
            </w:r>
            <w:r w:rsidR="00A909E1" w:rsidRPr="0095417F">
              <w:rPr>
                <w:b/>
              </w:rPr>
              <w:t>є</w:t>
            </w:r>
            <w:r w:rsidR="004A4DAD" w:rsidRPr="0095417F">
              <w:rPr>
                <w:b/>
              </w:rPr>
              <w:t>ться відповідно до Закону України «Про бухгалтерський облік та фінансову звітність в Україні» на основі таксономії фінансової звітності за міжнародними стандартами в єдиному електронному форматі XBRL</w:t>
            </w:r>
            <w:r w:rsidR="008F1C96" w:rsidRPr="0095417F">
              <w:rPr>
                <w:b/>
              </w:rPr>
              <w:t xml:space="preserve"> (далі – формат </w:t>
            </w:r>
            <w:r w:rsidR="008F1C96" w:rsidRPr="0095417F">
              <w:rPr>
                <w:b/>
                <w:lang w:val="en-US"/>
              </w:rPr>
              <w:t>XBRL</w:t>
            </w:r>
            <w:r w:rsidR="008F1C96" w:rsidRPr="0095417F">
              <w:rPr>
                <w:b/>
              </w:rPr>
              <w:t>)</w:t>
            </w:r>
            <w:r w:rsidR="00F51CD1" w:rsidRPr="0095417F">
              <w:rPr>
                <w:b/>
              </w:rPr>
              <w:t>, вон</w:t>
            </w:r>
            <w:r w:rsidR="00A909E1" w:rsidRPr="0095417F">
              <w:rPr>
                <w:b/>
              </w:rPr>
              <w:t>а</w:t>
            </w:r>
            <w:r w:rsidR="004A4DAD" w:rsidRPr="0095417F">
              <w:rPr>
                <w:b/>
              </w:rPr>
              <w:t xml:space="preserve"> пода</w:t>
            </w:r>
            <w:r w:rsidR="00A909E1" w:rsidRPr="0095417F">
              <w:rPr>
                <w:b/>
              </w:rPr>
              <w:t>є</w:t>
            </w:r>
            <w:r w:rsidR="004A4DAD" w:rsidRPr="0095417F">
              <w:rPr>
                <w:b/>
              </w:rPr>
              <w:t xml:space="preserve">ться до центру збору фінансової звітності у порядку, встановленому Кабінетом Міністрів </w:t>
            </w:r>
            <w:r w:rsidR="004A4DAD" w:rsidRPr="0095417F">
              <w:rPr>
                <w:b/>
              </w:rPr>
              <w:lastRenderedPageBreak/>
              <w:t>України, з урахуванням вимог нормативно-правових актів НКЦПФР</w:t>
            </w:r>
            <w:r w:rsidR="0095417F">
              <w:rPr>
                <w:b/>
              </w:rPr>
              <w:t>.</w:t>
            </w:r>
          </w:p>
        </w:tc>
      </w:tr>
      <w:tr w:rsidR="004A4DAD" w:rsidRPr="0095417F" w:rsidTr="00043799">
        <w:tc>
          <w:tcPr>
            <w:tcW w:w="7725" w:type="dxa"/>
          </w:tcPr>
          <w:p w:rsidR="004A4DAD" w:rsidRPr="0095417F" w:rsidRDefault="004A4DAD" w:rsidP="00043799">
            <w:pPr>
              <w:pStyle w:val="rvps7"/>
              <w:shd w:val="clear" w:color="auto" w:fill="FFFFFF"/>
              <w:tabs>
                <w:tab w:val="left" w:pos="6406"/>
              </w:tabs>
              <w:spacing w:before="0" w:beforeAutospacing="0" w:after="0" w:afterAutospacing="0"/>
              <w:ind w:left="28" w:firstLine="9"/>
              <w:jc w:val="center"/>
              <w:rPr>
                <w:b/>
                <w:bCs/>
                <w:shd w:val="clear" w:color="auto" w:fill="FFFFFF"/>
              </w:rPr>
            </w:pPr>
            <w:r w:rsidRPr="0095417F">
              <w:rPr>
                <w:b/>
                <w:bCs/>
                <w:shd w:val="clear" w:color="auto" w:fill="FFFFFF"/>
              </w:rPr>
              <w:lastRenderedPageBreak/>
              <w:t>II. Перелік Даних</w:t>
            </w:r>
          </w:p>
          <w:p w:rsidR="004A4DAD" w:rsidRPr="0095417F" w:rsidRDefault="004A4DAD" w:rsidP="00043799">
            <w:pPr>
              <w:pStyle w:val="rvps7"/>
              <w:shd w:val="clear" w:color="auto" w:fill="FFFFFF"/>
              <w:tabs>
                <w:tab w:val="left" w:pos="6406"/>
              </w:tabs>
              <w:spacing w:before="0" w:beforeAutospacing="0" w:after="0" w:afterAutospacing="0"/>
              <w:ind w:left="28" w:firstLine="288"/>
              <w:jc w:val="both"/>
              <w:rPr>
                <w:bCs/>
                <w:shd w:val="clear" w:color="auto" w:fill="FFFFFF"/>
              </w:rPr>
            </w:pPr>
            <w:r w:rsidRPr="0095417F">
              <w:rPr>
                <w:bCs/>
                <w:shd w:val="clear" w:color="auto" w:fill="FFFFFF"/>
              </w:rPr>
              <w:t>(…)</w:t>
            </w:r>
          </w:p>
          <w:p w:rsidR="004A4DAD" w:rsidRPr="0095417F" w:rsidRDefault="004A4DAD" w:rsidP="00043799">
            <w:pPr>
              <w:pStyle w:val="rvps7"/>
              <w:shd w:val="clear" w:color="auto" w:fill="FFFFFF"/>
              <w:tabs>
                <w:tab w:val="left" w:pos="6406"/>
              </w:tabs>
              <w:spacing w:before="0" w:beforeAutospacing="0" w:after="0" w:afterAutospacing="0"/>
              <w:ind w:left="28" w:firstLine="288"/>
              <w:jc w:val="both"/>
              <w:rPr>
                <w:shd w:val="clear" w:color="auto" w:fill="FFFFFF"/>
              </w:rPr>
            </w:pPr>
            <w:r w:rsidRPr="0095417F">
              <w:rPr>
                <w:shd w:val="clear" w:color="auto" w:fill="FFFFFF"/>
              </w:rPr>
              <w:t>3. Щомісячні Дані складаються з:</w:t>
            </w:r>
          </w:p>
          <w:p w:rsidR="004A4DAD" w:rsidRPr="0095417F" w:rsidRDefault="004A4DAD" w:rsidP="00043799">
            <w:pPr>
              <w:pStyle w:val="rvps7"/>
              <w:shd w:val="clear" w:color="auto" w:fill="FFFFFF"/>
              <w:tabs>
                <w:tab w:val="left" w:pos="6406"/>
              </w:tabs>
              <w:spacing w:before="0" w:beforeAutospacing="0" w:after="0" w:afterAutospacing="0"/>
              <w:ind w:left="28" w:firstLine="288"/>
              <w:jc w:val="both"/>
              <w:rPr>
                <w:shd w:val="clear" w:color="auto" w:fill="FFFFFF"/>
              </w:rPr>
            </w:pPr>
            <w:r w:rsidRPr="0095417F">
              <w:rPr>
                <w:shd w:val="clear" w:color="auto" w:fill="FFFFFF"/>
              </w:rPr>
              <w:t>(…)</w:t>
            </w:r>
          </w:p>
          <w:p w:rsidR="004A4DAD" w:rsidRPr="0095417F" w:rsidRDefault="004A4DAD" w:rsidP="00043799">
            <w:pPr>
              <w:pStyle w:val="rvps2"/>
              <w:shd w:val="clear" w:color="auto" w:fill="FFFFFF"/>
              <w:spacing w:before="0" w:beforeAutospacing="0" w:after="0" w:afterAutospacing="0"/>
              <w:ind w:left="28" w:firstLine="288"/>
              <w:jc w:val="both"/>
              <w:rPr>
                <w:b/>
                <w:bCs/>
                <w:strike/>
                <w:shd w:val="clear" w:color="auto" w:fill="FFFFFF"/>
              </w:rPr>
            </w:pPr>
            <w:r w:rsidRPr="0095417F">
              <w:rPr>
                <w:strike/>
              </w:rPr>
              <w:t>До складу щомісячних Даних за березень, червень та вересень включається проміжна фінансова звітність за I, II та III квартали, яка має бути складена відповідно до Закону України «Про бухгалтерський облік та фінансову звітність в Україні» та відповідати міжнародним стандартам фінансової звітності.</w:t>
            </w:r>
          </w:p>
        </w:tc>
        <w:tc>
          <w:tcPr>
            <w:tcW w:w="7726" w:type="dxa"/>
          </w:tcPr>
          <w:p w:rsidR="004A4DAD" w:rsidRPr="0095417F" w:rsidRDefault="004A4DAD" w:rsidP="00531E0D">
            <w:pPr>
              <w:pStyle w:val="rvps7"/>
              <w:shd w:val="clear" w:color="auto" w:fill="FFFFFF"/>
              <w:tabs>
                <w:tab w:val="left" w:pos="6406"/>
              </w:tabs>
              <w:spacing w:before="0" w:beforeAutospacing="0" w:after="0" w:afterAutospacing="0"/>
              <w:ind w:left="28" w:hanging="28"/>
              <w:jc w:val="center"/>
              <w:rPr>
                <w:b/>
                <w:bCs/>
                <w:shd w:val="clear" w:color="auto" w:fill="FFFFFF"/>
              </w:rPr>
            </w:pPr>
            <w:r w:rsidRPr="0095417F">
              <w:rPr>
                <w:b/>
                <w:bCs/>
                <w:shd w:val="clear" w:color="auto" w:fill="FFFFFF"/>
              </w:rPr>
              <w:t>II. Перелік Даних</w:t>
            </w:r>
          </w:p>
          <w:p w:rsidR="004A4DAD" w:rsidRPr="0095417F" w:rsidRDefault="004A4DAD" w:rsidP="00531E0D">
            <w:pPr>
              <w:pStyle w:val="rvps7"/>
              <w:shd w:val="clear" w:color="auto" w:fill="FFFFFF"/>
              <w:tabs>
                <w:tab w:val="left" w:pos="6406"/>
              </w:tabs>
              <w:spacing w:before="0" w:beforeAutospacing="0" w:after="0" w:afterAutospacing="0"/>
              <w:ind w:left="28" w:firstLine="554"/>
              <w:jc w:val="both"/>
              <w:rPr>
                <w:bCs/>
                <w:shd w:val="clear" w:color="auto" w:fill="FFFFFF"/>
              </w:rPr>
            </w:pPr>
            <w:r w:rsidRPr="0095417F">
              <w:rPr>
                <w:bCs/>
                <w:shd w:val="clear" w:color="auto" w:fill="FFFFFF"/>
              </w:rPr>
              <w:t>(…)</w:t>
            </w:r>
          </w:p>
          <w:p w:rsidR="004A4DAD" w:rsidRPr="0095417F" w:rsidRDefault="004A4DAD" w:rsidP="00531E0D">
            <w:pPr>
              <w:pStyle w:val="rvps7"/>
              <w:shd w:val="clear" w:color="auto" w:fill="FFFFFF"/>
              <w:tabs>
                <w:tab w:val="left" w:pos="6406"/>
              </w:tabs>
              <w:spacing w:before="0" w:beforeAutospacing="0" w:after="0" w:afterAutospacing="0"/>
              <w:ind w:left="28" w:firstLine="554"/>
              <w:jc w:val="both"/>
              <w:rPr>
                <w:shd w:val="clear" w:color="auto" w:fill="FFFFFF"/>
              </w:rPr>
            </w:pPr>
            <w:r w:rsidRPr="0095417F">
              <w:rPr>
                <w:shd w:val="clear" w:color="auto" w:fill="FFFFFF"/>
              </w:rPr>
              <w:t>3. Щомісячні Дані складаються з:</w:t>
            </w:r>
          </w:p>
          <w:p w:rsidR="004A4DAD" w:rsidRPr="0095417F" w:rsidRDefault="004A4DAD" w:rsidP="00531E0D">
            <w:pPr>
              <w:pStyle w:val="rvps7"/>
              <w:shd w:val="clear" w:color="auto" w:fill="FFFFFF"/>
              <w:tabs>
                <w:tab w:val="left" w:pos="6406"/>
              </w:tabs>
              <w:spacing w:before="0" w:beforeAutospacing="0" w:after="0" w:afterAutospacing="0"/>
              <w:ind w:left="28" w:firstLine="554"/>
              <w:jc w:val="both"/>
              <w:rPr>
                <w:shd w:val="clear" w:color="auto" w:fill="FFFFFF"/>
              </w:rPr>
            </w:pPr>
            <w:r w:rsidRPr="0095417F">
              <w:rPr>
                <w:shd w:val="clear" w:color="auto" w:fill="FFFFFF"/>
              </w:rPr>
              <w:t>(…)</w:t>
            </w:r>
          </w:p>
          <w:p w:rsidR="006B55D1" w:rsidRDefault="004A4DAD" w:rsidP="00531E0D">
            <w:pPr>
              <w:spacing w:after="0" w:line="240" w:lineRule="auto"/>
              <w:ind w:firstLine="554"/>
              <w:jc w:val="both"/>
              <w:rPr>
                <w:rFonts w:ascii="Times New Roman" w:hAnsi="Times New Roman" w:cs="Times New Roman"/>
                <w:b/>
                <w:sz w:val="24"/>
                <w:szCs w:val="24"/>
                <w:shd w:val="clear" w:color="auto" w:fill="FFFFFF"/>
              </w:rPr>
            </w:pPr>
            <w:r w:rsidRPr="0095417F">
              <w:rPr>
                <w:rFonts w:ascii="Times New Roman" w:hAnsi="Times New Roman" w:cs="Times New Roman"/>
                <w:b/>
                <w:sz w:val="24"/>
                <w:szCs w:val="24"/>
              </w:rPr>
              <w:t>До складу щомісячних Даних за березень, червень та вересень включається проміжна фінансова звітність / проміжна консолідована фінансова звітність (у разі складання проміжної консолідованої фінансової звітності) за I, II та III квартали</w:t>
            </w:r>
            <w:r w:rsidR="0078258B" w:rsidRPr="0095417F">
              <w:rPr>
                <w:rFonts w:ascii="Times New Roman" w:hAnsi="Times New Roman" w:cs="Times New Roman"/>
                <w:b/>
                <w:sz w:val="24"/>
                <w:szCs w:val="24"/>
              </w:rPr>
              <w:t xml:space="preserve"> (крім проміжної фінансової звітності, яка складається у форматі </w:t>
            </w:r>
            <w:r w:rsidR="0078258B" w:rsidRPr="0095417F">
              <w:rPr>
                <w:rFonts w:ascii="Times New Roman" w:hAnsi="Times New Roman" w:cs="Times New Roman"/>
                <w:b/>
                <w:sz w:val="24"/>
                <w:szCs w:val="24"/>
                <w:shd w:val="clear" w:color="auto" w:fill="FFFFFF"/>
                <w:lang w:val="en-US"/>
              </w:rPr>
              <w:t>XBRL</w:t>
            </w:r>
            <w:r w:rsidR="0078258B" w:rsidRPr="0095417F">
              <w:rPr>
                <w:rFonts w:ascii="Times New Roman" w:hAnsi="Times New Roman" w:cs="Times New Roman"/>
                <w:b/>
                <w:sz w:val="24"/>
                <w:szCs w:val="24"/>
                <w:shd w:val="clear" w:color="auto" w:fill="FFFFFF"/>
              </w:rPr>
              <w:t>)</w:t>
            </w:r>
            <w:r w:rsidRPr="0095417F">
              <w:rPr>
                <w:rFonts w:ascii="Times New Roman" w:hAnsi="Times New Roman" w:cs="Times New Roman"/>
                <w:b/>
                <w:sz w:val="24"/>
                <w:szCs w:val="24"/>
              </w:rPr>
              <w:t xml:space="preserve">, яка має бути складена відповідно до Закону України «Про бухгалтерський облік та фінансову звітність в Україні» та відповідати міжнародним </w:t>
            </w:r>
            <w:r w:rsidR="006B55D1" w:rsidRPr="0095417F">
              <w:rPr>
                <w:rFonts w:ascii="Times New Roman" w:hAnsi="Times New Roman" w:cs="Times New Roman"/>
                <w:b/>
                <w:sz w:val="24"/>
                <w:szCs w:val="24"/>
              </w:rPr>
              <w:t>стандартам фінансової звітності</w:t>
            </w:r>
            <w:r w:rsidR="00530CF7" w:rsidRPr="0095417F">
              <w:rPr>
                <w:rFonts w:ascii="Times New Roman" w:hAnsi="Times New Roman" w:cs="Times New Roman"/>
                <w:b/>
                <w:sz w:val="24"/>
                <w:szCs w:val="24"/>
                <w:shd w:val="clear" w:color="auto" w:fill="FFFFFF"/>
              </w:rPr>
              <w:t>.</w:t>
            </w:r>
          </w:p>
          <w:p w:rsidR="0095417F" w:rsidRPr="0095417F" w:rsidRDefault="0095417F" w:rsidP="00531E0D">
            <w:pPr>
              <w:pStyle w:val="rvps2"/>
              <w:shd w:val="clear" w:color="auto" w:fill="FFFFFF"/>
              <w:spacing w:before="0" w:beforeAutospacing="0" w:after="0" w:afterAutospacing="0"/>
              <w:ind w:left="28" w:firstLine="554"/>
              <w:jc w:val="both"/>
              <w:rPr>
                <w:b/>
                <w:bCs/>
                <w:shd w:val="clear" w:color="auto" w:fill="FFFFFF"/>
              </w:rPr>
            </w:pPr>
            <w:r w:rsidRPr="0095417F">
              <w:rPr>
                <w:b/>
              </w:rPr>
              <w:t xml:space="preserve">У разі складання товарною біржою </w:t>
            </w:r>
            <w:r>
              <w:rPr>
                <w:b/>
              </w:rPr>
              <w:t>проміжної</w:t>
            </w:r>
            <w:r w:rsidRPr="0095417F">
              <w:rPr>
                <w:b/>
              </w:rPr>
              <w:t xml:space="preserve"> фінансової звітності</w:t>
            </w:r>
            <w:r w:rsidR="00B7422C">
              <w:rPr>
                <w:b/>
              </w:rPr>
              <w:t> / </w:t>
            </w:r>
            <w:r>
              <w:rPr>
                <w:b/>
              </w:rPr>
              <w:t>проміжної</w:t>
            </w:r>
            <w:r w:rsidRPr="0095417F">
              <w:rPr>
                <w:b/>
              </w:rPr>
              <w:t xml:space="preserve"> консолідованої фінансової звітності (у разі складання консолідованої фінансової звітності) у форматі </w:t>
            </w:r>
            <w:r w:rsidRPr="0095417F">
              <w:rPr>
                <w:b/>
                <w:lang w:val="en-US"/>
              </w:rPr>
              <w:t>X</w:t>
            </w:r>
            <w:r>
              <w:rPr>
                <w:b/>
                <w:lang w:val="en-US"/>
              </w:rPr>
              <w:t>BR</w:t>
            </w:r>
            <w:r w:rsidRPr="0095417F">
              <w:rPr>
                <w:b/>
                <w:lang w:val="en-US"/>
              </w:rPr>
              <w:t>L</w:t>
            </w:r>
            <w:r w:rsidRPr="0095417F">
              <w:rPr>
                <w:b/>
              </w:rPr>
              <w:t xml:space="preserve"> така</w:t>
            </w:r>
            <w:r>
              <w:rPr>
                <w:b/>
              </w:rPr>
              <w:t xml:space="preserve"> проміжна</w:t>
            </w:r>
            <w:r w:rsidRPr="0095417F">
              <w:rPr>
                <w:b/>
              </w:rPr>
              <w:t xml:space="preserve"> фінансова звітність</w:t>
            </w:r>
            <w:r w:rsidR="00B7422C">
              <w:rPr>
                <w:b/>
              </w:rPr>
              <w:t> / проміжна</w:t>
            </w:r>
            <w:r w:rsidR="00B7422C" w:rsidRPr="0095417F">
              <w:rPr>
                <w:b/>
              </w:rPr>
              <w:t xml:space="preserve"> консолідован</w:t>
            </w:r>
            <w:r w:rsidR="00B7422C">
              <w:rPr>
                <w:b/>
              </w:rPr>
              <w:t>а</w:t>
            </w:r>
            <w:r w:rsidR="00B7422C" w:rsidRPr="0095417F">
              <w:rPr>
                <w:b/>
              </w:rPr>
              <w:t xml:space="preserve"> фінансов</w:t>
            </w:r>
            <w:r w:rsidR="00B7422C">
              <w:rPr>
                <w:b/>
              </w:rPr>
              <w:t>а</w:t>
            </w:r>
            <w:r w:rsidR="00B7422C" w:rsidRPr="0095417F">
              <w:rPr>
                <w:b/>
              </w:rPr>
              <w:t xml:space="preserve"> звітні</w:t>
            </w:r>
            <w:r w:rsidR="00B7422C">
              <w:rPr>
                <w:b/>
              </w:rPr>
              <w:t>сть</w:t>
            </w:r>
            <w:r w:rsidR="00B7422C" w:rsidRPr="0095417F">
              <w:rPr>
                <w:b/>
              </w:rPr>
              <w:t xml:space="preserve"> (у разі складання консолідованої фінансової звітності)</w:t>
            </w:r>
            <w:r w:rsidRPr="0095417F">
              <w:rPr>
                <w:b/>
              </w:rPr>
              <w:t xml:space="preserve"> подається</w:t>
            </w:r>
            <w:r>
              <w:rPr>
                <w:b/>
              </w:rPr>
              <w:t xml:space="preserve"> у строки, передбачені пунктом І розділу ІІІ цього Положення для подання щомісячних даних.</w:t>
            </w:r>
          </w:p>
        </w:tc>
      </w:tr>
      <w:tr w:rsidR="004A4DAD" w:rsidRPr="0095417F" w:rsidTr="00043799">
        <w:tc>
          <w:tcPr>
            <w:tcW w:w="7725" w:type="dxa"/>
          </w:tcPr>
          <w:p w:rsidR="004A4DAD" w:rsidRPr="0095417F" w:rsidRDefault="004A4DAD" w:rsidP="00043799">
            <w:pPr>
              <w:pStyle w:val="rvps2"/>
              <w:shd w:val="clear" w:color="auto" w:fill="FFFFFF"/>
              <w:spacing w:before="0" w:beforeAutospacing="0" w:after="0" w:afterAutospacing="0"/>
              <w:ind w:left="28" w:firstLine="288"/>
              <w:jc w:val="both"/>
              <w:rPr>
                <w:strike/>
              </w:rPr>
            </w:pPr>
            <w:bookmarkStart w:id="1" w:name="n57"/>
            <w:bookmarkEnd w:id="1"/>
            <w:r w:rsidRPr="0095417F">
              <w:rPr>
                <w:strike/>
              </w:rPr>
              <w:t>4. Щорічними Даними є річна фінансова звітність та річна консолідована фінансова звітність (у разі складення консолідованої фінансової звітності) товарної біржі, яка має бути складена відповідно до Закону України «Про бухгалтерський облік та фінансову звітність в Україні» та відповідати міжнародним стандартам фінансової звітності, разом з довідкою щодо відомостей про аудиторський звіт щодо фінансової звітності товарної біржі за звітний рік (додаток 12), складена про аудиторський звіт, яким була підтверджена річна фінансова звітність, подана разом з цією довідкою.</w:t>
            </w:r>
          </w:p>
          <w:p w:rsidR="004A4DAD" w:rsidRPr="0095417F" w:rsidRDefault="004A4DAD" w:rsidP="00043799">
            <w:pPr>
              <w:pStyle w:val="rvps2"/>
              <w:shd w:val="clear" w:color="auto" w:fill="FFFFFF"/>
              <w:spacing w:before="0" w:beforeAutospacing="0" w:after="0" w:afterAutospacing="0"/>
              <w:ind w:left="28" w:firstLine="288"/>
              <w:jc w:val="both"/>
            </w:pPr>
            <w:r w:rsidRPr="0095417F">
              <w:lastRenderedPageBreak/>
              <w:t>(…)</w:t>
            </w:r>
          </w:p>
          <w:p w:rsidR="004A4DAD" w:rsidRPr="0095417F" w:rsidRDefault="004A4DAD" w:rsidP="00043799">
            <w:pPr>
              <w:pStyle w:val="rvps2"/>
              <w:shd w:val="clear" w:color="auto" w:fill="FFFFFF"/>
              <w:spacing w:before="0" w:beforeAutospacing="0" w:after="0" w:afterAutospacing="0"/>
              <w:ind w:firstLine="288"/>
              <w:jc w:val="both"/>
              <w:rPr>
                <w:shd w:val="clear" w:color="auto" w:fill="FFFFFF"/>
              </w:rPr>
            </w:pPr>
          </w:p>
        </w:tc>
        <w:tc>
          <w:tcPr>
            <w:tcW w:w="7726" w:type="dxa"/>
          </w:tcPr>
          <w:p w:rsidR="00530CF7" w:rsidRPr="0095417F" w:rsidRDefault="004A4DAD" w:rsidP="00531E0D">
            <w:pPr>
              <w:pStyle w:val="rvps2"/>
              <w:shd w:val="clear" w:color="auto" w:fill="FFFFFF"/>
              <w:spacing w:before="0" w:beforeAutospacing="0" w:after="0" w:afterAutospacing="0"/>
              <w:ind w:left="28" w:firstLine="554"/>
              <w:jc w:val="both"/>
              <w:rPr>
                <w:b/>
              </w:rPr>
            </w:pPr>
            <w:r w:rsidRPr="0095417F">
              <w:rPr>
                <w:b/>
              </w:rPr>
              <w:lastRenderedPageBreak/>
              <w:t>4. Щорічними Даними є річна фінансова звітність</w:t>
            </w:r>
            <w:r w:rsidR="00B7422C">
              <w:rPr>
                <w:b/>
              </w:rPr>
              <w:t> / </w:t>
            </w:r>
            <w:r w:rsidRPr="0095417F">
              <w:rPr>
                <w:b/>
              </w:rPr>
              <w:t>річна консолідована фінансова звітність (у разі складання консолідованої фінансової звітності) товарної біржі, яка має бути складена відповідно до Закону України «Про бухгалтерський облік та фінансову звітність в Україні»</w:t>
            </w:r>
            <w:r w:rsidR="00530CF7" w:rsidRPr="0095417F">
              <w:rPr>
                <w:b/>
              </w:rPr>
              <w:t xml:space="preserve"> та</w:t>
            </w:r>
            <w:r w:rsidRPr="0095417F">
              <w:rPr>
                <w:b/>
              </w:rPr>
              <w:t xml:space="preserve"> відповідати міжнародним </w:t>
            </w:r>
            <w:r w:rsidR="00A909E1" w:rsidRPr="0095417F">
              <w:rPr>
                <w:b/>
              </w:rPr>
              <w:t>стандартам фінансової звітності</w:t>
            </w:r>
            <w:r w:rsidR="00530CF7" w:rsidRPr="0095417F">
              <w:rPr>
                <w:b/>
              </w:rPr>
              <w:t>.</w:t>
            </w:r>
          </w:p>
          <w:p w:rsidR="00A909E1" w:rsidRPr="0095417F" w:rsidRDefault="0078258B" w:rsidP="00531E0D">
            <w:pPr>
              <w:pStyle w:val="rvps2"/>
              <w:shd w:val="clear" w:color="auto" w:fill="FFFFFF"/>
              <w:spacing w:before="0" w:beforeAutospacing="0" w:after="0" w:afterAutospacing="0"/>
              <w:ind w:left="28" w:firstLine="554"/>
              <w:jc w:val="both"/>
              <w:rPr>
                <w:b/>
              </w:rPr>
            </w:pPr>
            <w:r w:rsidRPr="0095417F">
              <w:rPr>
                <w:b/>
              </w:rPr>
              <w:t>У разі складання товарною біржою річної фінансової звітності</w:t>
            </w:r>
            <w:r w:rsidR="00B7422C">
              <w:rPr>
                <w:b/>
              </w:rPr>
              <w:t> / </w:t>
            </w:r>
            <w:r w:rsidRPr="0095417F">
              <w:rPr>
                <w:b/>
              </w:rPr>
              <w:t xml:space="preserve">річної консолідованої фінансової звітності (у разі складання консолідованої фінансової звітності) </w:t>
            </w:r>
            <w:r w:rsidR="00530CF7" w:rsidRPr="0095417F">
              <w:rPr>
                <w:b/>
              </w:rPr>
              <w:t xml:space="preserve">у форматі </w:t>
            </w:r>
            <w:r w:rsidR="00530CF7" w:rsidRPr="0095417F">
              <w:rPr>
                <w:b/>
                <w:lang w:val="en-US"/>
              </w:rPr>
              <w:t>XML</w:t>
            </w:r>
            <w:r w:rsidRPr="0095417F">
              <w:rPr>
                <w:b/>
              </w:rPr>
              <w:t xml:space="preserve"> така </w:t>
            </w:r>
            <w:r w:rsidR="0095417F">
              <w:rPr>
                <w:b/>
              </w:rPr>
              <w:lastRenderedPageBreak/>
              <w:t xml:space="preserve">річна </w:t>
            </w:r>
            <w:r w:rsidRPr="0095417F">
              <w:rPr>
                <w:b/>
              </w:rPr>
              <w:t>фінансова звітність</w:t>
            </w:r>
            <w:r w:rsidR="00B7422C">
              <w:rPr>
                <w:b/>
              </w:rPr>
              <w:t> / </w:t>
            </w:r>
            <w:r w:rsidR="00B7422C" w:rsidRPr="0095417F">
              <w:rPr>
                <w:b/>
              </w:rPr>
              <w:t>річн</w:t>
            </w:r>
            <w:r w:rsidR="00B7422C">
              <w:rPr>
                <w:b/>
              </w:rPr>
              <w:t>а</w:t>
            </w:r>
            <w:r w:rsidR="00B7422C" w:rsidRPr="0095417F">
              <w:rPr>
                <w:b/>
              </w:rPr>
              <w:t xml:space="preserve"> консолідован</w:t>
            </w:r>
            <w:r w:rsidR="00B7422C">
              <w:rPr>
                <w:b/>
              </w:rPr>
              <w:t>а</w:t>
            </w:r>
            <w:r w:rsidR="00B7422C" w:rsidRPr="0095417F">
              <w:rPr>
                <w:b/>
              </w:rPr>
              <w:t xml:space="preserve"> фінансов</w:t>
            </w:r>
            <w:r w:rsidR="00B7422C">
              <w:rPr>
                <w:b/>
              </w:rPr>
              <w:t>а</w:t>
            </w:r>
            <w:r w:rsidR="00B7422C" w:rsidRPr="0095417F">
              <w:rPr>
                <w:b/>
              </w:rPr>
              <w:t xml:space="preserve"> звітні</w:t>
            </w:r>
            <w:r w:rsidR="00B7422C">
              <w:rPr>
                <w:b/>
              </w:rPr>
              <w:t>сть</w:t>
            </w:r>
            <w:r w:rsidR="00B7422C" w:rsidRPr="0095417F">
              <w:rPr>
                <w:b/>
              </w:rPr>
              <w:t xml:space="preserve"> (у разі складання консолідованої фінансової звітності)</w:t>
            </w:r>
            <w:r w:rsidRPr="0095417F">
              <w:rPr>
                <w:b/>
              </w:rPr>
              <w:t xml:space="preserve"> подається </w:t>
            </w:r>
            <w:r w:rsidR="00530CF7" w:rsidRPr="0095417F">
              <w:rPr>
                <w:b/>
              </w:rPr>
              <w:t xml:space="preserve">разом із </w:t>
            </w:r>
            <w:r w:rsidR="00A909E1" w:rsidRPr="0095417F">
              <w:rPr>
                <w:b/>
              </w:rPr>
              <w:t>довідкою щодо відомостей про аудиторський звіт щодо фінансової звітності товарної біржі за звітний рік (додаток 12)</w:t>
            </w:r>
            <w:r w:rsidR="00AD0029" w:rsidRPr="0095417F">
              <w:rPr>
                <w:b/>
              </w:rPr>
              <w:t>.</w:t>
            </w:r>
          </w:p>
          <w:p w:rsidR="007D3F7E" w:rsidRPr="0095417F" w:rsidRDefault="0078258B" w:rsidP="00531E0D">
            <w:pPr>
              <w:pStyle w:val="rvps2"/>
              <w:shd w:val="clear" w:color="auto" w:fill="FFFFFF"/>
              <w:spacing w:before="0" w:beforeAutospacing="0" w:after="0" w:afterAutospacing="0"/>
              <w:ind w:left="28" w:firstLine="554"/>
              <w:jc w:val="both"/>
              <w:rPr>
                <w:b/>
              </w:rPr>
            </w:pPr>
            <w:r w:rsidRPr="0095417F">
              <w:rPr>
                <w:b/>
              </w:rPr>
              <w:t>У разі складання товарною біржою річної фінансової звітності</w:t>
            </w:r>
            <w:r w:rsidR="00B7422C">
              <w:rPr>
                <w:b/>
              </w:rPr>
              <w:t> / </w:t>
            </w:r>
            <w:r w:rsidRPr="0095417F">
              <w:rPr>
                <w:b/>
              </w:rPr>
              <w:t xml:space="preserve">річної консолідованої фінансової звітності (у разі складання консолідованої фінансової звітності) </w:t>
            </w:r>
            <w:r w:rsidR="00530CF7" w:rsidRPr="0095417F">
              <w:rPr>
                <w:b/>
              </w:rPr>
              <w:t xml:space="preserve">у форматі </w:t>
            </w:r>
            <w:r w:rsidR="00530CF7" w:rsidRPr="0095417F">
              <w:rPr>
                <w:b/>
                <w:lang w:val="en-US"/>
              </w:rPr>
              <w:t>XBRL</w:t>
            </w:r>
            <w:r w:rsidR="007D3F7E" w:rsidRPr="0095417F">
              <w:rPr>
                <w:b/>
              </w:rPr>
              <w:t xml:space="preserve"> </w:t>
            </w:r>
            <w:r w:rsidRPr="0095417F">
              <w:rPr>
                <w:b/>
              </w:rPr>
              <w:t xml:space="preserve">відповідний </w:t>
            </w:r>
            <w:r w:rsidR="007D3F7E" w:rsidRPr="0095417F">
              <w:rPr>
                <w:b/>
              </w:rPr>
              <w:t xml:space="preserve">електронний файл </w:t>
            </w:r>
            <w:r w:rsidRPr="0095417F">
              <w:rPr>
                <w:b/>
              </w:rPr>
              <w:t>подається</w:t>
            </w:r>
            <w:r w:rsidR="0095417F">
              <w:rPr>
                <w:b/>
              </w:rPr>
              <w:t xml:space="preserve"> </w:t>
            </w:r>
            <w:r w:rsidR="0095417F" w:rsidRPr="0095417F">
              <w:rPr>
                <w:b/>
              </w:rPr>
              <w:t>до центру</w:t>
            </w:r>
            <w:r w:rsidR="0095417F">
              <w:rPr>
                <w:b/>
              </w:rPr>
              <w:t> </w:t>
            </w:r>
            <w:r w:rsidR="0095417F" w:rsidRPr="0095417F">
              <w:rPr>
                <w:b/>
              </w:rPr>
              <w:t xml:space="preserve"> збору фінансової звітності</w:t>
            </w:r>
            <w:r w:rsidR="0095417F">
              <w:rPr>
                <w:b/>
              </w:rPr>
              <w:t xml:space="preserve"> у строки, передбачені пунктом І розділу ІІІ цього Положення для подання</w:t>
            </w:r>
            <w:r w:rsidR="00B7422C">
              <w:rPr>
                <w:b/>
              </w:rPr>
              <w:t> </w:t>
            </w:r>
            <w:r w:rsidR="0095417F">
              <w:rPr>
                <w:b/>
              </w:rPr>
              <w:t xml:space="preserve"> щорічних даних</w:t>
            </w:r>
            <w:r w:rsidR="00B7422C">
              <w:rPr>
                <w:b/>
              </w:rPr>
              <w:t xml:space="preserve">, </w:t>
            </w:r>
            <w:r w:rsidR="0095417F">
              <w:rPr>
                <w:b/>
              </w:rPr>
              <w:t xml:space="preserve">та </w:t>
            </w:r>
            <w:r w:rsidR="007D3F7E" w:rsidRPr="0095417F">
              <w:rPr>
                <w:b/>
              </w:rPr>
              <w:t>має містити звіт про управління / консолідований звіт про управління (у  разі складання консолідованої фінансової звітності) та аудиторський звіт.</w:t>
            </w:r>
          </w:p>
          <w:p w:rsidR="007D3F7E" w:rsidRPr="0095417F" w:rsidRDefault="007D3F7E" w:rsidP="00531E0D">
            <w:pPr>
              <w:spacing w:after="0" w:line="240" w:lineRule="auto"/>
              <w:ind w:right="-30" w:firstLine="554"/>
              <w:jc w:val="both"/>
              <w:rPr>
                <w:rFonts w:ascii="Times New Roman" w:hAnsi="Times New Roman" w:cs="Times New Roman"/>
                <w:b/>
                <w:sz w:val="24"/>
                <w:szCs w:val="24"/>
              </w:rPr>
            </w:pPr>
            <w:r w:rsidRPr="0095417F">
              <w:rPr>
                <w:rFonts w:ascii="Times New Roman" w:hAnsi="Times New Roman" w:cs="Times New Roman"/>
                <w:b/>
                <w:bCs/>
                <w:sz w:val="24"/>
                <w:szCs w:val="24"/>
                <w:shd w:val="clear" w:color="auto" w:fill="FFFFFF"/>
              </w:rPr>
              <w:t xml:space="preserve">Товарні біржі, які відповідно до частини другої статті 2 Закону України «Про бухгалтерський облік та фінансову звітність в Україні» відносяться до категорії мікропідприємств та малих підприємств, </w:t>
            </w:r>
            <w:r w:rsidRPr="0095417F">
              <w:rPr>
                <w:rFonts w:ascii="Times New Roman" w:hAnsi="Times New Roman" w:cs="Times New Roman"/>
                <w:b/>
                <w:sz w:val="24"/>
                <w:szCs w:val="24"/>
              </w:rPr>
              <w:t>не подають звіт про управління</w:t>
            </w:r>
            <w:r w:rsidRPr="0095417F">
              <w:rPr>
                <w:rFonts w:ascii="Times New Roman" w:hAnsi="Times New Roman" w:cs="Times New Roman"/>
                <w:b/>
                <w:bCs/>
                <w:sz w:val="24"/>
                <w:szCs w:val="24"/>
                <w:shd w:val="clear" w:color="auto" w:fill="FFFFFF"/>
              </w:rPr>
              <w:t>, крім випадків подання такого звіту на запит НКЦПФР, якщо такій звіт не був оприлюднений.</w:t>
            </w:r>
          </w:p>
          <w:p w:rsidR="007D3F7E" w:rsidRPr="0095417F" w:rsidRDefault="007D3F7E" w:rsidP="00531E0D">
            <w:pPr>
              <w:pStyle w:val="rvps7"/>
              <w:shd w:val="clear" w:color="auto" w:fill="FFFFFF"/>
              <w:tabs>
                <w:tab w:val="left" w:pos="6406"/>
              </w:tabs>
              <w:spacing w:before="0" w:beforeAutospacing="0" w:after="0" w:afterAutospacing="0"/>
              <w:ind w:right="-30" w:firstLine="554"/>
              <w:jc w:val="both"/>
              <w:rPr>
                <w:b/>
              </w:rPr>
            </w:pPr>
            <w:r w:rsidRPr="0095417F">
              <w:rPr>
                <w:b/>
              </w:rPr>
              <w:t>Аудиторський звіт складається відповідно до Закону України «Про аудит фінансової звітності та аудиторську діяльність», має відповідати Міжнародним стандартам контролю якості, аудиту, огляду, іншого надання впевненості та супутніх послуг та вимогам, встановленим нормативно-правовими актами НКЦПФР щодо інформації, що стосується аудиту фінансової звітності учасників ринків капіталу та організованих товарних ринків.</w:t>
            </w:r>
          </w:p>
          <w:p w:rsidR="004A4DAD" w:rsidRPr="0095417F" w:rsidRDefault="004A4DAD" w:rsidP="00531E0D">
            <w:pPr>
              <w:pStyle w:val="rvps2"/>
              <w:shd w:val="clear" w:color="auto" w:fill="FFFFFF"/>
              <w:spacing w:before="0" w:beforeAutospacing="0" w:after="0" w:afterAutospacing="0"/>
              <w:ind w:left="28" w:firstLine="554"/>
              <w:jc w:val="both"/>
              <w:rPr>
                <w:b/>
                <w:bCs/>
                <w:shd w:val="clear" w:color="auto" w:fill="FFFFFF"/>
              </w:rPr>
            </w:pPr>
            <w:r w:rsidRPr="0095417F">
              <w:t>(…)</w:t>
            </w:r>
          </w:p>
        </w:tc>
      </w:tr>
    </w:tbl>
    <w:p w:rsidR="004A4DAD" w:rsidRPr="0095417F" w:rsidRDefault="004A4DAD" w:rsidP="004A4DAD">
      <w:pPr>
        <w:widowControl w:val="0"/>
        <w:tabs>
          <w:tab w:val="left" w:pos="142"/>
          <w:tab w:val="center" w:pos="4819"/>
          <w:tab w:val="right" w:pos="9639"/>
        </w:tabs>
        <w:suppressAutoHyphens w:val="0"/>
        <w:spacing w:after="0" w:line="240" w:lineRule="auto"/>
        <w:rPr>
          <w:rFonts w:ascii="Times New Roman" w:hAnsi="Times New Roman" w:cs="Times New Roman"/>
          <w:b/>
          <w:sz w:val="24"/>
          <w:szCs w:val="24"/>
        </w:rPr>
      </w:pPr>
    </w:p>
    <w:p w:rsidR="004A4DAD" w:rsidRPr="0095417F" w:rsidRDefault="004A4DAD" w:rsidP="004A4DAD">
      <w:pPr>
        <w:widowControl w:val="0"/>
        <w:tabs>
          <w:tab w:val="left" w:pos="142"/>
          <w:tab w:val="center" w:pos="4819"/>
          <w:tab w:val="right" w:pos="9639"/>
        </w:tabs>
        <w:suppressAutoHyphens w:val="0"/>
        <w:spacing w:after="0" w:line="240" w:lineRule="auto"/>
        <w:ind w:firstLine="709"/>
        <w:rPr>
          <w:rFonts w:ascii="Times New Roman" w:hAnsi="Times New Roman" w:cs="Times New Roman"/>
          <w:b/>
          <w:sz w:val="24"/>
          <w:szCs w:val="24"/>
        </w:rPr>
      </w:pPr>
      <w:r w:rsidRPr="0095417F">
        <w:rPr>
          <w:rFonts w:ascii="Times New Roman" w:hAnsi="Times New Roman" w:cs="Times New Roman"/>
          <w:b/>
          <w:sz w:val="24"/>
          <w:szCs w:val="24"/>
        </w:rPr>
        <w:t xml:space="preserve">Директор департаменту методології регулювання </w:t>
      </w:r>
    </w:p>
    <w:p w:rsidR="004A4DAD" w:rsidRPr="0095417F" w:rsidRDefault="004A4DAD" w:rsidP="004A4DAD">
      <w:pPr>
        <w:widowControl w:val="0"/>
        <w:tabs>
          <w:tab w:val="left" w:pos="142"/>
          <w:tab w:val="center" w:pos="4819"/>
          <w:tab w:val="right" w:pos="9639"/>
        </w:tabs>
        <w:suppressAutoHyphens w:val="0"/>
        <w:spacing w:after="0" w:line="240" w:lineRule="auto"/>
        <w:ind w:firstLine="709"/>
        <w:rPr>
          <w:rFonts w:ascii="Times New Roman" w:hAnsi="Times New Roman" w:cs="Times New Roman"/>
          <w:b/>
          <w:sz w:val="24"/>
          <w:szCs w:val="24"/>
        </w:rPr>
      </w:pPr>
      <w:r w:rsidRPr="0095417F">
        <w:rPr>
          <w:rFonts w:ascii="Times New Roman" w:hAnsi="Times New Roman" w:cs="Times New Roman"/>
          <w:b/>
          <w:sz w:val="24"/>
          <w:szCs w:val="24"/>
        </w:rPr>
        <w:t>професійних учасників ринку ці</w:t>
      </w:r>
      <w:bookmarkStart w:id="2" w:name="_GoBack"/>
      <w:bookmarkEnd w:id="2"/>
      <w:r w:rsidRPr="0095417F">
        <w:rPr>
          <w:rFonts w:ascii="Times New Roman" w:hAnsi="Times New Roman" w:cs="Times New Roman"/>
          <w:b/>
          <w:sz w:val="24"/>
          <w:szCs w:val="24"/>
        </w:rPr>
        <w:t xml:space="preserve">нних паперів </w:t>
      </w:r>
      <w:r w:rsidRPr="0095417F">
        <w:rPr>
          <w:rFonts w:ascii="Times New Roman" w:hAnsi="Times New Roman" w:cs="Times New Roman"/>
          <w:b/>
          <w:sz w:val="24"/>
          <w:szCs w:val="24"/>
        </w:rPr>
        <w:tab/>
      </w:r>
      <w:r w:rsidRPr="0095417F">
        <w:rPr>
          <w:rFonts w:ascii="Times New Roman" w:hAnsi="Times New Roman" w:cs="Times New Roman"/>
          <w:b/>
          <w:sz w:val="24"/>
          <w:szCs w:val="24"/>
        </w:rPr>
        <w:tab/>
      </w:r>
      <w:r w:rsidRPr="0095417F">
        <w:rPr>
          <w:rFonts w:ascii="Times New Roman" w:hAnsi="Times New Roman" w:cs="Times New Roman"/>
          <w:b/>
          <w:sz w:val="24"/>
          <w:szCs w:val="24"/>
        </w:rPr>
        <w:tab/>
      </w:r>
      <w:r w:rsidRPr="0095417F">
        <w:rPr>
          <w:rFonts w:ascii="Times New Roman" w:hAnsi="Times New Roman" w:cs="Times New Roman"/>
          <w:b/>
          <w:sz w:val="24"/>
          <w:szCs w:val="24"/>
        </w:rPr>
        <w:tab/>
      </w:r>
      <w:r w:rsidRPr="0095417F">
        <w:rPr>
          <w:rFonts w:ascii="Times New Roman" w:hAnsi="Times New Roman" w:cs="Times New Roman"/>
          <w:b/>
          <w:sz w:val="24"/>
          <w:szCs w:val="24"/>
        </w:rPr>
        <w:tab/>
        <w:t xml:space="preserve">    Максим ТИМОХІН</w:t>
      </w:r>
    </w:p>
    <w:sectPr w:rsidR="004A4DAD" w:rsidRPr="0095417F" w:rsidSect="00E7053B">
      <w:headerReference w:type="default" r:id="rId6"/>
      <w:pgSz w:w="16838" w:h="11906" w:orient="landscape"/>
      <w:pgMar w:top="1134" w:right="567" w:bottom="2268"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3611" w:rsidRDefault="005B71E8">
      <w:pPr>
        <w:spacing w:after="0" w:line="240" w:lineRule="auto"/>
      </w:pPr>
      <w:r>
        <w:separator/>
      </w:r>
    </w:p>
  </w:endnote>
  <w:endnote w:type="continuationSeparator" w:id="0">
    <w:p w:rsidR="004F3611" w:rsidRDefault="005B7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3611" w:rsidRDefault="005B71E8">
      <w:pPr>
        <w:spacing w:after="0" w:line="240" w:lineRule="auto"/>
      </w:pPr>
      <w:r>
        <w:separator/>
      </w:r>
    </w:p>
  </w:footnote>
  <w:footnote w:type="continuationSeparator" w:id="0">
    <w:p w:rsidR="004F3611" w:rsidRDefault="005B7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4744631"/>
      <w:docPartObj>
        <w:docPartGallery w:val="Page Numbers (Top of Page)"/>
        <w:docPartUnique/>
      </w:docPartObj>
    </w:sdtPr>
    <w:sdtEndPr/>
    <w:sdtContent>
      <w:p w:rsidR="00410A49" w:rsidRDefault="004A4DAD">
        <w:pPr>
          <w:pStyle w:val="a4"/>
          <w:jc w:val="center"/>
        </w:pPr>
        <w:r>
          <w:fldChar w:fldCharType="begin"/>
        </w:r>
        <w:r>
          <w:instrText>PAGE   \* MERGEFORMAT</w:instrText>
        </w:r>
        <w:r>
          <w:fldChar w:fldCharType="separate"/>
        </w:r>
        <w:r w:rsidR="00344D76">
          <w:rPr>
            <w:noProof/>
          </w:rPr>
          <w:t>3</w:t>
        </w:r>
        <w:r>
          <w:fldChar w:fldCharType="end"/>
        </w:r>
      </w:p>
    </w:sdtContent>
  </w:sdt>
  <w:p w:rsidR="00410A49" w:rsidRDefault="00344D7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DAD"/>
    <w:rsid w:val="00344D76"/>
    <w:rsid w:val="004A4DAD"/>
    <w:rsid w:val="004F3611"/>
    <w:rsid w:val="00530CF7"/>
    <w:rsid w:val="00531E0D"/>
    <w:rsid w:val="005B71E8"/>
    <w:rsid w:val="006039B1"/>
    <w:rsid w:val="006B55D1"/>
    <w:rsid w:val="0078258B"/>
    <w:rsid w:val="007D3F7E"/>
    <w:rsid w:val="007E4B6F"/>
    <w:rsid w:val="008F1C96"/>
    <w:rsid w:val="0095417F"/>
    <w:rsid w:val="009622B0"/>
    <w:rsid w:val="00A0138B"/>
    <w:rsid w:val="00A62F51"/>
    <w:rsid w:val="00A909E1"/>
    <w:rsid w:val="00AD0029"/>
    <w:rsid w:val="00B7422C"/>
    <w:rsid w:val="00DA261E"/>
    <w:rsid w:val="00F0766B"/>
    <w:rsid w:val="00F51C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B176E"/>
  <w15:chartTrackingRefBased/>
  <w15:docId w15:val="{AD662128-69CB-44E8-A2B4-5B6F0C8BD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DAD"/>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basedOn w:val="a0"/>
    <w:link w:val="a4"/>
    <w:uiPriority w:val="99"/>
    <w:rsid w:val="004A4DAD"/>
  </w:style>
  <w:style w:type="paragraph" w:styleId="a4">
    <w:name w:val="header"/>
    <w:basedOn w:val="a"/>
    <w:link w:val="a3"/>
    <w:uiPriority w:val="99"/>
    <w:unhideWhenUsed/>
    <w:rsid w:val="004A4DAD"/>
    <w:pPr>
      <w:tabs>
        <w:tab w:val="center" w:pos="4819"/>
        <w:tab w:val="right" w:pos="9639"/>
      </w:tabs>
      <w:spacing w:after="0" w:line="240" w:lineRule="auto"/>
    </w:pPr>
  </w:style>
  <w:style w:type="character" w:customStyle="1" w:styleId="1">
    <w:name w:val="Верхній колонтитул Знак1"/>
    <w:basedOn w:val="a0"/>
    <w:uiPriority w:val="99"/>
    <w:semiHidden/>
    <w:rsid w:val="004A4DAD"/>
  </w:style>
  <w:style w:type="paragraph" w:customStyle="1" w:styleId="rvps7">
    <w:name w:val="rvps7"/>
    <w:basedOn w:val="a"/>
    <w:rsid w:val="004A4DAD"/>
    <w:pPr>
      <w:suppressAutoHyphens w:val="0"/>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4A4DAD"/>
  </w:style>
  <w:style w:type="paragraph" w:customStyle="1" w:styleId="rvps2">
    <w:name w:val="rvps2"/>
    <w:basedOn w:val="a"/>
    <w:rsid w:val="004A4DAD"/>
    <w:pPr>
      <w:suppressAutoHyphens w:val="0"/>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5B71E8"/>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5B71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3924</Words>
  <Characters>2238</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
    </vt:vector>
  </TitlesOfParts>
  <Company>NSSMC</Company>
  <LinksUpToDate>false</LinksUpToDate>
  <CharactersWithSpaces>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2025-09-24T14:29:00Z</cp:lastPrinted>
  <dcterms:created xsi:type="dcterms:W3CDTF">2025-09-24T14:30:00Z</dcterms:created>
  <dcterms:modified xsi:type="dcterms:W3CDTF">2025-09-25T14:01:00Z</dcterms:modified>
</cp:coreProperties>
</file>