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539" w:rsidRPr="00AC3250" w:rsidRDefault="00585539" w:rsidP="00585539">
      <w:pPr>
        <w:jc w:val="center"/>
        <w:rPr>
          <w:b/>
          <w:color w:val="000000"/>
          <w:lang w:val="uk-UA"/>
        </w:rPr>
      </w:pPr>
      <w:r w:rsidRPr="00AC3250">
        <w:rPr>
          <w:b/>
          <w:noProof/>
          <w:color w:val="000000"/>
          <w:lang w:val="uk-UA" w:eastAsia="uk-UA"/>
        </w:rPr>
        <w:drawing>
          <wp:inline distT="0" distB="0" distL="0" distR="0" wp14:anchorId="22887C38" wp14:editId="691243B3">
            <wp:extent cx="431800" cy="615950"/>
            <wp:effectExtent l="0" t="0" r="635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15950"/>
                    </a:xfrm>
                    <a:prstGeom prst="rect">
                      <a:avLst/>
                    </a:prstGeom>
                    <a:noFill/>
                    <a:ln>
                      <a:noFill/>
                    </a:ln>
                  </pic:spPr>
                </pic:pic>
              </a:graphicData>
            </a:graphic>
          </wp:inline>
        </w:drawing>
      </w:r>
    </w:p>
    <w:p w:rsidR="00585539" w:rsidRPr="00AC3250" w:rsidRDefault="00585539" w:rsidP="00585539">
      <w:pPr>
        <w:tabs>
          <w:tab w:val="center" w:pos="4961"/>
        </w:tabs>
        <w:jc w:val="center"/>
        <w:rPr>
          <w:color w:val="000000"/>
          <w:sz w:val="28"/>
          <w:szCs w:val="20"/>
          <w:lang w:val="uk-UA"/>
        </w:rPr>
      </w:pPr>
    </w:p>
    <w:p w:rsidR="00585539" w:rsidRPr="00AC3250" w:rsidRDefault="00585539" w:rsidP="00585539">
      <w:pPr>
        <w:jc w:val="center"/>
        <w:rPr>
          <w:color w:val="000000"/>
          <w:sz w:val="28"/>
          <w:szCs w:val="20"/>
          <w:lang w:val="uk-UA"/>
        </w:rPr>
      </w:pPr>
      <w:r w:rsidRPr="00AC3250">
        <w:rPr>
          <w:color w:val="000000"/>
          <w:sz w:val="28"/>
          <w:szCs w:val="20"/>
          <w:lang w:val="uk-UA"/>
        </w:rPr>
        <w:t>НАЦІОНАЛЬНА КОМІСІЯ З ЦІННИХ ПАПЕРІВ ТА ФОНДОВОГО РИНКУ</w:t>
      </w:r>
    </w:p>
    <w:p w:rsidR="00585539" w:rsidRPr="00AC3250" w:rsidRDefault="00585539" w:rsidP="00585539">
      <w:pPr>
        <w:spacing w:before="240" w:after="240"/>
        <w:jc w:val="center"/>
        <w:rPr>
          <w:b/>
          <w:caps/>
          <w:spacing w:val="60"/>
          <w:sz w:val="28"/>
          <w:lang w:val="uk-UA"/>
        </w:rPr>
      </w:pPr>
      <w:r w:rsidRPr="00AC3250">
        <w:rPr>
          <w:b/>
          <w:caps/>
          <w:spacing w:val="60"/>
          <w:sz w:val="28"/>
          <w:lang w:val="uk-UA"/>
        </w:rPr>
        <w:t>Постанова</w:t>
      </w:r>
    </w:p>
    <w:p w:rsidR="00585539" w:rsidRDefault="00585539" w:rsidP="00585539">
      <w:pPr>
        <w:jc w:val="center"/>
        <w:rPr>
          <w:sz w:val="28"/>
          <w:lang w:val="uk-UA"/>
        </w:rPr>
      </w:pPr>
      <w:r w:rsidRPr="00AC3250">
        <w:rPr>
          <w:sz w:val="28"/>
          <w:lang w:val="uk-UA"/>
        </w:rPr>
        <w:t>Київ</w:t>
      </w:r>
    </w:p>
    <w:p w:rsidR="00585539" w:rsidRPr="00AC3250" w:rsidRDefault="00585539" w:rsidP="00585539">
      <w:pPr>
        <w:spacing w:line="360" w:lineRule="auto"/>
        <w:jc w:val="center"/>
        <w:rPr>
          <w:sz w:val="28"/>
          <w:lang w:val="uk-UA"/>
        </w:rPr>
      </w:pPr>
    </w:p>
    <w:p w:rsidR="00585539" w:rsidRDefault="00585539" w:rsidP="00585539">
      <w:pPr>
        <w:jc w:val="both"/>
        <w:rPr>
          <w:b/>
          <w:sz w:val="28"/>
          <w:szCs w:val="28"/>
          <w:lang w:val="uk-UA"/>
        </w:rPr>
      </w:pPr>
      <w:r w:rsidRPr="00585539">
        <w:rPr>
          <w:rFonts w:eastAsia="Calibri"/>
          <w:b/>
          <w:sz w:val="28"/>
          <w:szCs w:val="28"/>
          <w:lang w:val="uk-UA"/>
        </w:rPr>
        <w:t xml:space="preserve">Про схвалення </w:t>
      </w:r>
      <w:proofErr w:type="spellStart"/>
      <w:r w:rsidRPr="00585539">
        <w:rPr>
          <w:rFonts w:eastAsia="Calibri"/>
          <w:b/>
          <w:sz w:val="28"/>
          <w:szCs w:val="28"/>
          <w:lang w:val="uk-UA"/>
        </w:rPr>
        <w:t>проєкту</w:t>
      </w:r>
      <w:proofErr w:type="spellEnd"/>
      <w:r w:rsidRPr="00585539">
        <w:rPr>
          <w:rFonts w:eastAsia="Calibri"/>
          <w:b/>
          <w:sz w:val="28"/>
          <w:szCs w:val="28"/>
          <w:lang w:val="uk-UA"/>
        </w:rPr>
        <w:t xml:space="preserve"> </w:t>
      </w:r>
      <w:r w:rsidRPr="00585539">
        <w:rPr>
          <w:b/>
          <w:sz w:val="28"/>
          <w:szCs w:val="28"/>
          <w:lang w:val="uk-UA"/>
        </w:rPr>
        <w:t>рішення Національної комісії з цінних паперів та фондового ринку «Про внесення змін до рішення Національної комісії з цінних паперів та фондового ринку від 13 січня 2022 року № 3 щодо порядку подання фінансової звітності»</w:t>
      </w:r>
    </w:p>
    <w:p w:rsidR="00585539" w:rsidRPr="00585539" w:rsidRDefault="00585539" w:rsidP="00585539">
      <w:pPr>
        <w:jc w:val="both"/>
        <w:rPr>
          <w:rFonts w:eastAsia="Calibri"/>
          <w:b/>
          <w:sz w:val="28"/>
          <w:szCs w:val="28"/>
          <w:lang w:val="uk-UA"/>
        </w:rPr>
      </w:pPr>
    </w:p>
    <w:p w:rsidR="00585539" w:rsidRDefault="00585539" w:rsidP="00585539">
      <w:pPr>
        <w:ind w:firstLine="567"/>
        <w:jc w:val="both"/>
        <w:rPr>
          <w:sz w:val="28"/>
          <w:szCs w:val="28"/>
          <w:lang w:val="uk-UA"/>
        </w:rPr>
      </w:pPr>
      <w:r w:rsidRPr="005C6DF4">
        <w:rPr>
          <w:sz w:val="28"/>
          <w:szCs w:val="28"/>
          <w:lang w:val="uk-UA"/>
        </w:rPr>
        <w:t>Відповідно до пункту 1 частини першої статті 7</w:t>
      </w:r>
      <w:r w:rsidRPr="005C6DF4">
        <w:rPr>
          <w:rFonts w:eastAsia="Calibri"/>
          <w:sz w:val="28"/>
          <w:szCs w:val="28"/>
          <w:lang w:val="uk-UA"/>
        </w:rPr>
        <w:t xml:space="preserve"> Закону України «Про державне регулювання </w:t>
      </w:r>
      <w:r w:rsidRPr="005C6DF4">
        <w:rPr>
          <w:sz w:val="28"/>
          <w:szCs w:val="28"/>
          <w:lang w:val="uk-UA"/>
        </w:rPr>
        <w:t>ринків капіталу та організованих товарних ринків</w:t>
      </w:r>
      <w:r w:rsidRPr="005C6DF4">
        <w:rPr>
          <w:rFonts w:eastAsia="Calibri"/>
          <w:sz w:val="28"/>
          <w:szCs w:val="28"/>
          <w:lang w:val="uk-UA"/>
        </w:rPr>
        <w:t xml:space="preserve">», </w:t>
      </w:r>
      <w:r w:rsidRPr="005C6DF4">
        <w:rPr>
          <w:sz w:val="28"/>
          <w:szCs w:val="28"/>
          <w:lang w:val="uk-UA"/>
        </w:rPr>
        <w:t xml:space="preserve">Закону України «Про ринки капіталу та організовані товарні ринки», Закону України «Про бухгалтерський облік та фінансову звітність в Україні», Закону України «Про аудит фінансової звітності та аудиторську діяльність», з метою удосконалення нормативно-правових актів, </w:t>
      </w:r>
      <w:r>
        <w:rPr>
          <w:sz w:val="28"/>
          <w:szCs w:val="28"/>
          <w:lang w:val="uk-UA"/>
        </w:rPr>
        <w:t>запровадження єдиних підходів до складання та подання фінансової звітності,</w:t>
      </w:r>
    </w:p>
    <w:p w:rsidR="00585539" w:rsidRPr="00AC3250" w:rsidRDefault="00585539" w:rsidP="00585539">
      <w:pPr>
        <w:rPr>
          <w:b/>
          <w:lang w:val="uk-UA" w:eastAsia="uk-UA"/>
        </w:rPr>
      </w:pPr>
      <w:r w:rsidRPr="00AC3250">
        <w:rPr>
          <w:sz w:val="28"/>
          <w:szCs w:val="28"/>
          <w:lang w:val="uk-UA" w:eastAsia="uk-UA"/>
        </w:rPr>
        <w:t>Національна комісія з цінних паперів та фондового ринку</w:t>
      </w:r>
    </w:p>
    <w:p w:rsidR="00585539" w:rsidRPr="00AC3250" w:rsidRDefault="00585539" w:rsidP="00585539">
      <w:pPr>
        <w:spacing w:line="360" w:lineRule="auto"/>
        <w:rPr>
          <w:sz w:val="16"/>
          <w:szCs w:val="16"/>
          <w:lang w:val="uk-UA" w:eastAsia="uk-UA"/>
        </w:rPr>
      </w:pPr>
    </w:p>
    <w:p w:rsidR="00585539" w:rsidRPr="00AC3250" w:rsidRDefault="00585539" w:rsidP="00585539">
      <w:pPr>
        <w:rPr>
          <w:b/>
          <w:sz w:val="28"/>
          <w:szCs w:val="28"/>
          <w:lang w:val="uk-UA" w:eastAsia="uk-UA"/>
        </w:rPr>
      </w:pPr>
      <w:r w:rsidRPr="00AC3250">
        <w:rPr>
          <w:b/>
          <w:sz w:val="28"/>
          <w:szCs w:val="28"/>
          <w:lang w:val="uk-UA" w:eastAsia="uk-UA"/>
        </w:rPr>
        <w:t>П О С Т А Н О В Л Я Є:</w:t>
      </w:r>
    </w:p>
    <w:p w:rsidR="00585539" w:rsidRPr="00AC3250" w:rsidRDefault="00585539" w:rsidP="00585539">
      <w:pPr>
        <w:ind w:firstLine="709"/>
        <w:jc w:val="center"/>
        <w:rPr>
          <w:rFonts w:eastAsia="Calibri"/>
          <w:b/>
          <w:sz w:val="16"/>
          <w:szCs w:val="16"/>
          <w:lang w:val="uk-UA" w:eastAsia="uk-UA"/>
        </w:rPr>
      </w:pPr>
    </w:p>
    <w:p w:rsidR="00585539" w:rsidRPr="00AC3250" w:rsidRDefault="00585539" w:rsidP="00585539">
      <w:pPr>
        <w:tabs>
          <w:tab w:val="left" w:pos="9072"/>
        </w:tabs>
        <w:ind w:firstLine="567"/>
        <w:jc w:val="both"/>
        <w:rPr>
          <w:rFonts w:eastAsia="Calibri"/>
          <w:sz w:val="28"/>
          <w:szCs w:val="28"/>
          <w:lang w:val="uk-UA" w:eastAsia="uk-UA"/>
        </w:rPr>
      </w:pPr>
      <w:r w:rsidRPr="00AC3250">
        <w:rPr>
          <w:rFonts w:eastAsia="Calibri"/>
          <w:sz w:val="28"/>
          <w:szCs w:val="28"/>
          <w:lang w:val="uk-UA" w:eastAsia="uk-UA"/>
        </w:rPr>
        <w:t xml:space="preserve">1. Схвалити </w:t>
      </w:r>
      <w:proofErr w:type="spellStart"/>
      <w:r w:rsidRPr="00AC3250">
        <w:rPr>
          <w:rFonts w:eastAsia="Calibri"/>
          <w:sz w:val="28"/>
          <w:szCs w:val="28"/>
          <w:lang w:val="uk-UA" w:eastAsia="uk-UA"/>
        </w:rPr>
        <w:t>проєкт</w:t>
      </w:r>
      <w:proofErr w:type="spellEnd"/>
      <w:r w:rsidRPr="00AC3250">
        <w:rPr>
          <w:rFonts w:eastAsia="Calibri"/>
          <w:sz w:val="28"/>
          <w:szCs w:val="28"/>
          <w:lang w:val="uk-UA" w:eastAsia="uk-UA"/>
        </w:rPr>
        <w:t xml:space="preserve"> </w:t>
      </w:r>
      <w:r w:rsidRPr="00585539">
        <w:rPr>
          <w:sz w:val="28"/>
          <w:szCs w:val="28"/>
          <w:lang w:val="uk-UA"/>
        </w:rPr>
        <w:t>рішення Національної комісії з цінних паперів та фондового ринку «Про внесення змін до рішення Національної комісії з цінних паперів та фондового ринку від 13 січня 2022 року № 3 щодо порядку подання фінансової звітності»</w:t>
      </w:r>
      <w:r w:rsidRPr="00585539">
        <w:rPr>
          <w:rFonts w:eastAsia="Calibri"/>
          <w:sz w:val="28"/>
          <w:szCs w:val="28"/>
          <w:lang w:val="uk-UA" w:eastAsia="uk-UA"/>
        </w:rPr>
        <w:t>, що додається.</w:t>
      </w:r>
    </w:p>
    <w:p w:rsidR="00585539" w:rsidRPr="00AC3250" w:rsidRDefault="00585539" w:rsidP="00585539">
      <w:pPr>
        <w:pStyle w:val="a3"/>
        <w:spacing w:after="0"/>
        <w:ind w:firstLine="567"/>
        <w:jc w:val="both"/>
        <w:rPr>
          <w:rFonts w:eastAsia="Calibri"/>
          <w:sz w:val="16"/>
          <w:szCs w:val="16"/>
          <w:lang w:val="uk-UA" w:eastAsia="uk-UA"/>
        </w:rPr>
      </w:pPr>
    </w:p>
    <w:p w:rsidR="00585539" w:rsidRPr="00AC3250" w:rsidRDefault="00585539" w:rsidP="00585539">
      <w:pPr>
        <w:pStyle w:val="a3"/>
        <w:spacing w:after="0"/>
        <w:ind w:firstLine="567"/>
        <w:jc w:val="both"/>
        <w:rPr>
          <w:sz w:val="28"/>
          <w:szCs w:val="28"/>
          <w:lang w:val="uk-UA"/>
        </w:rPr>
      </w:pPr>
      <w:r w:rsidRPr="00AC3250">
        <w:rPr>
          <w:rFonts w:eastAsia="Calibri"/>
          <w:sz w:val="28"/>
          <w:szCs w:val="28"/>
          <w:lang w:val="uk-UA" w:eastAsia="uk-UA"/>
        </w:rPr>
        <w:t>2</w:t>
      </w:r>
      <w:r w:rsidRPr="00AC3250">
        <w:rPr>
          <w:sz w:val="28"/>
          <w:szCs w:val="28"/>
          <w:lang w:val="uk-UA"/>
        </w:rPr>
        <w:t xml:space="preserve">. Департаменту методології регулювання професійних учасників ринку цінних паперів забезпечити </w:t>
      </w:r>
      <w:r w:rsidRPr="00AC3250">
        <w:rPr>
          <w:sz w:val="28"/>
          <w:szCs w:val="28"/>
          <w:shd w:val="clear" w:color="auto" w:fill="FFFFFF"/>
          <w:lang w:val="uk-UA"/>
        </w:rPr>
        <w:t>ви</w:t>
      </w:r>
      <w:r w:rsidRPr="00AC3250">
        <w:rPr>
          <w:sz w:val="28"/>
          <w:szCs w:val="28"/>
          <w:lang w:val="uk-UA"/>
        </w:rPr>
        <w:t xml:space="preserve">несення схваленого </w:t>
      </w:r>
      <w:proofErr w:type="spellStart"/>
      <w:r w:rsidRPr="00AC3250">
        <w:rPr>
          <w:sz w:val="28"/>
          <w:szCs w:val="28"/>
          <w:lang w:val="uk-UA"/>
        </w:rPr>
        <w:t>проєкту</w:t>
      </w:r>
      <w:proofErr w:type="spellEnd"/>
      <w:r w:rsidRPr="00AC3250">
        <w:rPr>
          <w:sz w:val="28"/>
          <w:szCs w:val="28"/>
          <w:lang w:val="uk-UA"/>
        </w:rPr>
        <w:t xml:space="preserve"> нормативно-правового </w:t>
      </w:r>
      <w:proofErr w:type="spellStart"/>
      <w:r w:rsidRPr="00AC3250">
        <w:rPr>
          <w:sz w:val="28"/>
          <w:szCs w:val="28"/>
          <w:lang w:val="uk-UA"/>
        </w:rPr>
        <w:t>акта</w:t>
      </w:r>
      <w:proofErr w:type="spellEnd"/>
      <w:r w:rsidRPr="00AC3250">
        <w:rPr>
          <w:sz w:val="28"/>
          <w:szCs w:val="28"/>
          <w:lang w:val="uk-UA"/>
        </w:rPr>
        <w:t xml:space="preserve"> на засідання Національної комісії з цінних паперів та фондового ринку для затвердження.</w:t>
      </w:r>
    </w:p>
    <w:p w:rsidR="00585539" w:rsidRPr="00AC3250" w:rsidRDefault="00585539" w:rsidP="00585539">
      <w:pPr>
        <w:pStyle w:val="a3"/>
        <w:spacing w:after="0"/>
        <w:ind w:firstLine="567"/>
        <w:jc w:val="both"/>
        <w:rPr>
          <w:sz w:val="16"/>
          <w:szCs w:val="16"/>
          <w:lang w:val="uk-UA"/>
        </w:rPr>
      </w:pPr>
    </w:p>
    <w:p w:rsidR="00585539" w:rsidRPr="00AC3250" w:rsidRDefault="00585539" w:rsidP="00585539">
      <w:pPr>
        <w:pStyle w:val="a3"/>
        <w:spacing w:after="0"/>
        <w:ind w:firstLine="567"/>
        <w:jc w:val="both"/>
        <w:rPr>
          <w:sz w:val="28"/>
          <w:szCs w:val="28"/>
          <w:lang w:val="uk-UA"/>
        </w:rPr>
      </w:pPr>
      <w:r w:rsidRPr="00AC3250">
        <w:rPr>
          <w:sz w:val="28"/>
          <w:szCs w:val="28"/>
          <w:lang w:val="uk-UA" w:eastAsia="uk-UA"/>
        </w:rPr>
        <w:t xml:space="preserve">3. Управлінню адміністративної діяльності забезпечити оприлюднення цієї постанови та </w:t>
      </w:r>
      <w:r w:rsidRPr="00AC3250">
        <w:rPr>
          <w:sz w:val="28"/>
          <w:szCs w:val="28"/>
          <w:lang w:val="uk-UA"/>
        </w:rPr>
        <w:t xml:space="preserve">схваленого </w:t>
      </w:r>
      <w:proofErr w:type="spellStart"/>
      <w:r w:rsidRPr="00AC3250">
        <w:rPr>
          <w:sz w:val="28"/>
          <w:szCs w:val="28"/>
          <w:lang w:val="uk-UA"/>
        </w:rPr>
        <w:t>проєкту</w:t>
      </w:r>
      <w:proofErr w:type="spellEnd"/>
      <w:r w:rsidRPr="00AC3250">
        <w:rPr>
          <w:sz w:val="28"/>
          <w:szCs w:val="28"/>
          <w:lang w:val="uk-UA"/>
        </w:rPr>
        <w:t xml:space="preserve"> нормативно-правового </w:t>
      </w:r>
      <w:proofErr w:type="spellStart"/>
      <w:r w:rsidRPr="00AC3250">
        <w:rPr>
          <w:sz w:val="28"/>
          <w:szCs w:val="28"/>
          <w:lang w:val="uk-UA"/>
        </w:rPr>
        <w:t>акта</w:t>
      </w:r>
      <w:proofErr w:type="spellEnd"/>
      <w:r w:rsidRPr="00AC3250">
        <w:rPr>
          <w:sz w:val="28"/>
          <w:szCs w:val="28"/>
          <w:lang w:val="uk-UA"/>
        </w:rPr>
        <w:t xml:space="preserve"> на офіційному </w:t>
      </w:r>
      <w:proofErr w:type="spellStart"/>
      <w:r w:rsidRPr="00AC3250">
        <w:rPr>
          <w:sz w:val="28"/>
          <w:szCs w:val="28"/>
          <w:lang w:val="uk-UA"/>
        </w:rPr>
        <w:t>вебсайті</w:t>
      </w:r>
      <w:proofErr w:type="spellEnd"/>
      <w:r w:rsidRPr="00AC3250">
        <w:rPr>
          <w:sz w:val="28"/>
          <w:szCs w:val="28"/>
          <w:lang w:val="uk-UA"/>
        </w:rPr>
        <w:t xml:space="preserve"> Національної комісії з цінних паперів та фондового ринку https://www.nssmc.gov.ua/.</w:t>
      </w:r>
    </w:p>
    <w:p w:rsidR="00585539" w:rsidRPr="00AC3250" w:rsidRDefault="00585539" w:rsidP="00585539">
      <w:pPr>
        <w:ind w:firstLine="567"/>
        <w:jc w:val="both"/>
        <w:rPr>
          <w:rFonts w:eastAsia="Calibri"/>
          <w:sz w:val="16"/>
          <w:szCs w:val="16"/>
          <w:lang w:val="uk-UA" w:eastAsia="uk-UA"/>
        </w:rPr>
      </w:pPr>
    </w:p>
    <w:p w:rsidR="00585539" w:rsidRPr="00AC3250" w:rsidRDefault="00585539" w:rsidP="00585539">
      <w:pPr>
        <w:ind w:firstLine="567"/>
        <w:jc w:val="both"/>
        <w:rPr>
          <w:sz w:val="28"/>
          <w:szCs w:val="28"/>
          <w:lang w:val="uk-UA"/>
        </w:rPr>
      </w:pPr>
      <w:r w:rsidRPr="00AC3250">
        <w:rPr>
          <w:sz w:val="28"/>
          <w:szCs w:val="28"/>
          <w:lang w:val="uk-UA"/>
        </w:rPr>
        <w:lastRenderedPageBreak/>
        <w:t xml:space="preserve">4. Встановити строк, протягом </w:t>
      </w:r>
      <w:r>
        <w:rPr>
          <w:sz w:val="28"/>
          <w:szCs w:val="28"/>
          <w:lang w:val="uk-UA"/>
        </w:rPr>
        <w:t xml:space="preserve">якого </w:t>
      </w:r>
      <w:r w:rsidRPr="00AC3250">
        <w:rPr>
          <w:sz w:val="28"/>
          <w:szCs w:val="28"/>
          <w:lang w:val="uk-UA"/>
        </w:rPr>
        <w:t xml:space="preserve">приймаються зауваження та пропозиції від фізичних та юридичних осіб, їх об’єднань, 10 робочих днів з дня наступного за днем </w:t>
      </w:r>
      <w:r w:rsidRPr="00AC3250">
        <w:rPr>
          <w:sz w:val="28"/>
          <w:szCs w:val="28"/>
          <w:lang w:val="uk-UA" w:eastAsia="uk-UA"/>
        </w:rPr>
        <w:t xml:space="preserve">оприлюднення </w:t>
      </w:r>
      <w:r w:rsidRPr="00AC3250">
        <w:rPr>
          <w:sz w:val="28"/>
          <w:szCs w:val="28"/>
          <w:lang w:val="uk-UA"/>
        </w:rPr>
        <w:t xml:space="preserve">схваленого </w:t>
      </w:r>
      <w:proofErr w:type="spellStart"/>
      <w:r w:rsidRPr="00AC3250">
        <w:rPr>
          <w:sz w:val="28"/>
          <w:szCs w:val="28"/>
          <w:lang w:val="uk-UA"/>
        </w:rPr>
        <w:t>проєкту</w:t>
      </w:r>
      <w:proofErr w:type="spellEnd"/>
      <w:r w:rsidRPr="00AC3250">
        <w:rPr>
          <w:sz w:val="28"/>
          <w:szCs w:val="28"/>
          <w:lang w:val="uk-UA"/>
        </w:rPr>
        <w:t xml:space="preserve"> нормативно-правового </w:t>
      </w:r>
      <w:proofErr w:type="spellStart"/>
      <w:r w:rsidRPr="00AC3250">
        <w:rPr>
          <w:sz w:val="28"/>
          <w:szCs w:val="28"/>
          <w:lang w:val="uk-UA"/>
        </w:rPr>
        <w:t>акта</w:t>
      </w:r>
      <w:proofErr w:type="spellEnd"/>
      <w:r w:rsidRPr="00AC3250">
        <w:rPr>
          <w:sz w:val="28"/>
          <w:szCs w:val="28"/>
          <w:lang w:val="uk-UA"/>
        </w:rPr>
        <w:t>.</w:t>
      </w:r>
    </w:p>
    <w:p w:rsidR="00585539" w:rsidRPr="00395F0D" w:rsidRDefault="00585539" w:rsidP="00585539">
      <w:pPr>
        <w:ind w:firstLine="567"/>
        <w:jc w:val="both"/>
        <w:rPr>
          <w:sz w:val="28"/>
          <w:szCs w:val="28"/>
          <w:lang w:val="uk-UA"/>
        </w:rPr>
      </w:pPr>
      <w:r w:rsidRPr="00395F0D">
        <w:rPr>
          <w:sz w:val="28"/>
          <w:szCs w:val="28"/>
          <w:lang w:val="uk-UA"/>
        </w:rPr>
        <w:t xml:space="preserve">Пропозиції та зауваження від юридичних та фізичних осіб, їх об’єднань до схваленого </w:t>
      </w:r>
      <w:proofErr w:type="spellStart"/>
      <w:r w:rsidRPr="00395F0D">
        <w:rPr>
          <w:sz w:val="28"/>
          <w:szCs w:val="28"/>
          <w:lang w:val="uk-UA"/>
        </w:rPr>
        <w:t>проєкту</w:t>
      </w:r>
      <w:proofErr w:type="spellEnd"/>
      <w:r w:rsidRPr="00395F0D">
        <w:rPr>
          <w:sz w:val="28"/>
          <w:szCs w:val="28"/>
          <w:lang w:val="uk-UA"/>
        </w:rPr>
        <w:t xml:space="preserve"> нормативно-правового </w:t>
      </w:r>
      <w:proofErr w:type="spellStart"/>
      <w:r w:rsidRPr="00395F0D">
        <w:rPr>
          <w:sz w:val="28"/>
          <w:szCs w:val="28"/>
          <w:lang w:val="uk-UA"/>
        </w:rPr>
        <w:t>акта</w:t>
      </w:r>
      <w:proofErr w:type="spellEnd"/>
      <w:r w:rsidRPr="00395F0D">
        <w:rPr>
          <w:sz w:val="28"/>
          <w:szCs w:val="28"/>
          <w:lang w:val="uk-UA"/>
        </w:rPr>
        <w:t xml:space="preserve"> приймаються за </w:t>
      </w:r>
      <w:proofErr w:type="spellStart"/>
      <w:r w:rsidRPr="00395F0D">
        <w:rPr>
          <w:sz w:val="28"/>
          <w:szCs w:val="28"/>
          <w:lang w:val="uk-UA"/>
        </w:rPr>
        <w:t>адресою</w:t>
      </w:r>
      <w:proofErr w:type="spellEnd"/>
      <w:r w:rsidRPr="00395F0D">
        <w:rPr>
          <w:sz w:val="28"/>
          <w:szCs w:val="28"/>
          <w:lang w:val="uk-UA"/>
        </w:rPr>
        <w:t xml:space="preserve"> Національної комісії з цінних паперів та фондового ринку: 01010, м. Київ, вул.  Князів Острозьких, 8, </w:t>
      </w:r>
      <w:proofErr w:type="spellStart"/>
      <w:r w:rsidRPr="00395F0D">
        <w:rPr>
          <w:sz w:val="28"/>
          <w:szCs w:val="28"/>
          <w:lang w:val="uk-UA"/>
        </w:rPr>
        <w:t>корп</w:t>
      </w:r>
      <w:proofErr w:type="spellEnd"/>
      <w:r w:rsidRPr="00395F0D">
        <w:rPr>
          <w:sz w:val="28"/>
          <w:szCs w:val="28"/>
          <w:lang w:val="uk-UA"/>
        </w:rPr>
        <w:t xml:space="preserve">. 30 (департамент методології регулювання професійних учасників ринку цінних паперів) та на електронну пошту: </w:t>
      </w:r>
      <w:r w:rsidRPr="00395F0D">
        <w:rPr>
          <w:sz w:val="28"/>
          <w:szCs w:val="28"/>
          <w:u w:val="single"/>
          <w:shd w:val="clear" w:color="auto" w:fill="FFFFFF"/>
          <w:lang w:val="uk-UA"/>
        </w:rPr>
        <w:t>olena.chala@nssmc.gov.ua.</w:t>
      </w:r>
    </w:p>
    <w:p w:rsidR="00585539" w:rsidRPr="00AC3250" w:rsidRDefault="00585539" w:rsidP="00585539">
      <w:pPr>
        <w:ind w:firstLine="567"/>
        <w:jc w:val="both"/>
        <w:rPr>
          <w:sz w:val="28"/>
          <w:szCs w:val="28"/>
          <w:lang w:val="uk-UA"/>
        </w:rPr>
      </w:pPr>
    </w:p>
    <w:p w:rsidR="00585539" w:rsidRPr="00AC3250" w:rsidRDefault="00585539" w:rsidP="00585539">
      <w:pPr>
        <w:ind w:firstLine="567"/>
        <w:jc w:val="both"/>
        <w:rPr>
          <w:rFonts w:eastAsia="Calibri"/>
          <w:sz w:val="28"/>
          <w:szCs w:val="28"/>
          <w:lang w:val="uk-UA" w:eastAsia="uk-UA"/>
        </w:rPr>
      </w:pPr>
      <w:r w:rsidRPr="00AC3250">
        <w:rPr>
          <w:sz w:val="28"/>
          <w:szCs w:val="28"/>
          <w:lang w:val="uk-UA" w:eastAsia="uk-UA"/>
        </w:rPr>
        <w:t xml:space="preserve">5. </w:t>
      </w:r>
      <w:r w:rsidRPr="00AC3250">
        <w:rPr>
          <w:sz w:val="28"/>
          <w:szCs w:val="28"/>
          <w:lang w:val="uk-UA"/>
        </w:rPr>
        <w:t>Контроль за виконанням цієї постанови покласти на члена Національної комісії з цінних паперів та фондового ринку</w:t>
      </w:r>
      <w:r w:rsidRPr="00AC3250">
        <w:rPr>
          <w:sz w:val="28"/>
          <w:szCs w:val="28"/>
          <w:shd w:val="clear" w:color="auto" w:fill="FFFFFF"/>
          <w:lang w:val="uk-UA"/>
        </w:rPr>
        <w:t xml:space="preserve"> </w:t>
      </w:r>
      <w:r w:rsidRPr="00395F0D">
        <w:rPr>
          <w:sz w:val="28"/>
          <w:szCs w:val="28"/>
          <w:lang w:val="uk-UA"/>
        </w:rPr>
        <w:t>Шаповала Ю</w:t>
      </w:r>
      <w:r w:rsidRPr="00395F0D">
        <w:rPr>
          <w:sz w:val="28"/>
          <w:szCs w:val="28"/>
          <w:shd w:val="clear" w:color="auto" w:fill="FFFFFF"/>
          <w:lang w:val="uk-UA"/>
        </w:rPr>
        <w:t>.</w:t>
      </w:r>
    </w:p>
    <w:p w:rsidR="00585539" w:rsidRPr="00AC3250" w:rsidRDefault="00585539" w:rsidP="00585539">
      <w:pPr>
        <w:jc w:val="both"/>
        <w:rPr>
          <w:rFonts w:eastAsia="Calibri"/>
          <w:sz w:val="28"/>
          <w:szCs w:val="28"/>
          <w:lang w:val="uk-UA" w:eastAsia="uk-UA"/>
        </w:rPr>
      </w:pPr>
    </w:p>
    <w:p w:rsidR="00585539" w:rsidRPr="00AC3250" w:rsidRDefault="00585539" w:rsidP="00585539">
      <w:pPr>
        <w:jc w:val="both"/>
        <w:rPr>
          <w:rFonts w:eastAsia="Calibri"/>
          <w:sz w:val="28"/>
          <w:szCs w:val="28"/>
          <w:lang w:val="uk-UA" w:eastAsia="uk-UA"/>
        </w:rPr>
      </w:pPr>
    </w:p>
    <w:p w:rsidR="00585539" w:rsidRPr="00AC3250" w:rsidRDefault="00585539" w:rsidP="00585539">
      <w:pPr>
        <w:jc w:val="both"/>
        <w:rPr>
          <w:rFonts w:eastAsia="Calibri"/>
          <w:b/>
          <w:sz w:val="28"/>
          <w:szCs w:val="28"/>
          <w:lang w:val="uk-UA" w:eastAsia="uk-UA"/>
        </w:rPr>
      </w:pPr>
      <w:r w:rsidRPr="00AC3250">
        <w:rPr>
          <w:b/>
          <w:sz w:val="28"/>
          <w:szCs w:val="28"/>
          <w:lang w:val="uk-UA"/>
        </w:rPr>
        <w:t>Голова Комісії</w:t>
      </w:r>
      <w:r w:rsidRPr="00AC3250">
        <w:rPr>
          <w:b/>
          <w:sz w:val="28"/>
          <w:szCs w:val="28"/>
          <w:lang w:val="uk-UA"/>
        </w:rPr>
        <w:tab/>
        <w:t xml:space="preserve">                                                             </w:t>
      </w:r>
      <w:r w:rsidRPr="00AC3250">
        <w:rPr>
          <w:b/>
          <w:sz w:val="28"/>
          <w:szCs w:val="28"/>
          <w:shd w:val="clear" w:color="auto" w:fill="FFFFFF"/>
          <w:lang w:val="uk-UA"/>
        </w:rPr>
        <w:t>Руслан МАГОМЕДОВ</w:t>
      </w:r>
    </w:p>
    <w:p w:rsidR="00585539" w:rsidRPr="00AC3250" w:rsidRDefault="00585539" w:rsidP="00585539">
      <w:pPr>
        <w:tabs>
          <w:tab w:val="left" w:pos="1134"/>
        </w:tabs>
        <w:ind w:left="5954"/>
        <w:jc w:val="both"/>
        <w:rPr>
          <w:lang w:val="uk-UA"/>
        </w:rPr>
      </w:pPr>
    </w:p>
    <w:p w:rsidR="00585539" w:rsidRPr="00AC3250" w:rsidRDefault="00585539" w:rsidP="00585539">
      <w:pPr>
        <w:tabs>
          <w:tab w:val="left" w:pos="1134"/>
        </w:tabs>
        <w:ind w:left="5954"/>
        <w:jc w:val="both"/>
        <w:rPr>
          <w:lang w:val="uk-UA"/>
        </w:rPr>
      </w:pPr>
    </w:p>
    <w:p w:rsidR="00585539" w:rsidRPr="00AC3250" w:rsidRDefault="00585539" w:rsidP="00585539">
      <w:pPr>
        <w:tabs>
          <w:tab w:val="left" w:pos="1134"/>
        </w:tabs>
        <w:ind w:left="5954"/>
        <w:jc w:val="both"/>
        <w:rPr>
          <w:lang w:val="uk-UA"/>
        </w:rPr>
      </w:pPr>
    </w:p>
    <w:p w:rsidR="00585539" w:rsidRPr="00AC3250" w:rsidRDefault="00585539" w:rsidP="00585539">
      <w:pPr>
        <w:tabs>
          <w:tab w:val="left" w:pos="1134"/>
        </w:tabs>
        <w:ind w:left="5954"/>
        <w:jc w:val="both"/>
        <w:rPr>
          <w:lang w:val="uk-UA"/>
        </w:rPr>
      </w:pPr>
    </w:p>
    <w:p w:rsidR="00585539" w:rsidRPr="00AC3250" w:rsidRDefault="00585539" w:rsidP="00585539">
      <w:pPr>
        <w:tabs>
          <w:tab w:val="left" w:pos="1134"/>
        </w:tabs>
        <w:ind w:left="5954" w:firstLine="425"/>
        <w:jc w:val="both"/>
        <w:rPr>
          <w:lang w:val="uk-UA"/>
        </w:rPr>
      </w:pPr>
      <w:r w:rsidRPr="00AC3250">
        <w:rPr>
          <w:lang w:val="uk-UA"/>
        </w:rPr>
        <w:t xml:space="preserve">Протокол засідання Комісії </w:t>
      </w:r>
    </w:p>
    <w:p w:rsidR="00585539" w:rsidRPr="00AC3250" w:rsidRDefault="00585539" w:rsidP="00585539">
      <w:pPr>
        <w:ind w:left="6379"/>
        <w:jc w:val="both"/>
        <w:rPr>
          <w:lang w:val="uk-UA"/>
        </w:rPr>
      </w:pPr>
      <w:r w:rsidRPr="00AC3250">
        <w:rPr>
          <w:lang w:val="uk-UA"/>
        </w:rPr>
        <w:t>від __________ 2025 року № __</w:t>
      </w:r>
    </w:p>
    <w:p w:rsidR="00585539" w:rsidRDefault="00585539" w:rsidP="00585539">
      <w:pPr>
        <w:spacing w:line="360" w:lineRule="auto"/>
        <w:jc w:val="right"/>
        <w:rPr>
          <w:b/>
          <w:noProof/>
          <w:sz w:val="28"/>
          <w:szCs w:val="28"/>
          <w:lang w:val="uk-UA"/>
        </w:rPr>
        <w:sectPr w:rsidR="00585539" w:rsidSect="00BA698E">
          <w:headerReference w:type="default" r:id="rId8"/>
          <w:pgSz w:w="11906" w:h="16838"/>
          <w:pgMar w:top="1134" w:right="680" w:bottom="2268" w:left="1588" w:header="709" w:footer="709" w:gutter="0"/>
          <w:pgNumType w:start="1"/>
          <w:cols w:space="708"/>
          <w:titlePg/>
          <w:docGrid w:linePitch="360"/>
        </w:sectPr>
      </w:pPr>
    </w:p>
    <w:p w:rsidR="00585539" w:rsidRPr="00330BDC" w:rsidRDefault="00585539" w:rsidP="00585539">
      <w:pPr>
        <w:spacing w:line="360" w:lineRule="auto"/>
        <w:jc w:val="right"/>
        <w:rPr>
          <w:noProof/>
          <w:sz w:val="28"/>
          <w:szCs w:val="28"/>
          <w:lang w:val="uk-UA"/>
        </w:rPr>
      </w:pPr>
      <w:r w:rsidRPr="00330BDC">
        <w:rPr>
          <w:noProof/>
          <w:sz w:val="28"/>
          <w:szCs w:val="28"/>
          <w:lang w:val="uk-UA"/>
        </w:rPr>
        <w:lastRenderedPageBreak/>
        <w:t>Проєкт</w:t>
      </w:r>
    </w:p>
    <w:p w:rsidR="00585539" w:rsidRPr="00AC3250" w:rsidRDefault="00585539" w:rsidP="00585539">
      <w:pPr>
        <w:jc w:val="center"/>
        <w:rPr>
          <w:b/>
          <w:lang w:val="uk-UA"/>
        </w:rPr>
      </w:pPr>
      <w:r w:rsidRPr="00AC3250">
        <w:rPr>
          <w:b/>
          <w:noProof/>
          <w:lang w:val="uk-UA" w:eastAsia="uk-UA"/>
        </w:rPr>
        <w:drawing>
          <wp:inline distT="0" distB="0" distL="0" distR="0" wp14:anchorId="28EFDD32" wp14:editId="15058D73">
            <wp:extent cx="45720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590550"/>
                    </a:xfrm>
                    <a:prstGeom prst="rect">
                      <a:avLst/>
                    </a:prstGeom>
                    <a:noFill/>
                    <a:ln>
                      <a:noFill/>
                    </a:ln>
                  </pic:spPr>
                </pic:pic>
              </a:graphicData>
            </a:graphic>
          </wp:inline>
        </w:drawing>
      </w:r>
    </w:p>
    <w:p w:rsidR="00585539" w:rsidRPr="00AC3250" w:rsidRDefault="00585539" w:rsidP="00585539">
      <w:pPr>
        <w:jc w:val="center"/>
        <w:rPr>
          <w:b/>
          <w:lang w:val="uk-UA"/>
        </w:rPr>
      </w:pPr>
    </w:p>
    <w:p w:rsidR="00585539" w:rsidRPr="00AC3250" w:rsidRDefault="00585539" w:rsidP="00585539">
      <w:pPr>
        <w:jc w:val="center"/>
        <w:rPr>
          <w:sz w:val="28"/>
          <w:lang w:val="uk-UA"/>
        </w:rPr>
      </w:pPr>
      <w:r w:rsidRPr="00AC3250">
        <w:rPr>
          <w:sz w:val="28"/>
          <w:szCs w:val="20"/>
          <w:lang w:val="uk-UA"/>
        </w:rPr>
        <w:t>НАЦІОНАЛЬНА КОМІСІЯ З ЦІННИХ ПАПЕРІВ ТА ФОНДОВОГО РИНКУ</w:t>
      </w:r>
    </w:p>
    <w:p w:rsidR="00585539" w:rsidRDefault="00585539" w:rsidP="00585539">
      <w:pPr>
        <w:jc w:val="center"/>
        <w:rPr>
          <w:b/>
          <w:sz w:val="28"/>
          <w:lang w:val="uk-UA"/>
        </w:rPr>
      </w:pPr>
    </w:p>
    <w:p w:rsidR="00585539" w:rsidRPr="00AC3250" w:rsidRDefault="00585539" w:rsidP="00585539">
      <w:pPr>
        <w:jc w:val="center"/>
        <w:rPr>
          <w:b/>
          <w:sz w:val="28"/>
          <w:lang w:val="uk-UA"/>
        </w:rPr>
      </w:pPr>
      <w:r w:rsidRPr="00AC3250">
        <w:rPr>
          <w:b/>
          <w:sz w:val="28"/>
          <w:lang w:val="uk-UA"/>
        </w:rPr>
        <w:t xml:space="preserve">Р І Ш Е Н </w:t>
      </w:r>
      <w:proofErr w:type="spellStart"/>
      <w:r w:rsidRPr="00AC3250">
        <w:rPr>
          <w:b/>
          <w:sz w:val="28"/>
          <w:lang w:val="uk-UA"/>
        </w:rPr>
        <w:t>Н</w:t>
      </w:r>
      <w:proofErr w:type="spellEnd"/>
      <w:r w:rsidRPr="00AC3250">
        <w:rPr>
          <w:b/>
          <w:sz w:val="28"/>
          <w:lang w:val="uk-UA"/>
        </w:rPr>
        <w:t xml:space="preserve"> Я</w:t>
      </w:r>
    </w:p>
    <w:p w:rsidR="00585539" w:rsidRPr="00AC3250" w:rsidRDefault="00585539" w:rsidP="00585539">
      <w:pPr>
        <w:pStyle w:val="2"/>
        <w:spacing w:before="0" w:after="0"/>
        <w:ind w:left="-113"/>
        <w:jc w:val="both"/>
        <w:rPr>
          <w:rFonts w:ascii="Times New Roman" w:hAnsi="Times New Roman" w:cs="Times New Roman"/>
          <w:b w:val="0"/>
          <w:lang w:val="uk-UA"/>
        </w:rPr>
      </w:pPr>
    </w:p>
    <w:p w:rsidR="00585539" w:rsidRPr="00AC3250" w:rsidRDefault="00585539" w:rsidP="00585539">
      <w:pPr>
        <w:pStyle w:val="2"/>
        <w:spacing w:before="0" w:after="0"/>
        <w:ind w:left="-113"/>
        <w:jc w:val="center"/>
        <w:rPr>
          <w:rFonts w:ascii="Times New Roman" w:hAnsi="Times New Roman" w:cs="Times New Roman"/>
          <w:b w:val="0"/>
          <w:i w:val="0"/>
          <w:lang w:val="uk-UA"/>
        </w:rPr>
      </w:pPr>
      <w:r w:rsidRPr="00AC3250">
        <w:rPr>
          <w:rFonts w:ascii="Times New Roman" w:hAnsi="Times New Roman" w:cs="Times New Roman"/>
          <w:b w:val="0"/>
          <w:i w:val="0"/>
          <w:lang w:val="uk-UA"/>
        </w:rPr>
        <w:t>м. Київ</w:t>
      </w:r>
    </w:p>
    <w:p w:rsidR="00585539" w:rsidRDefault="00585539" w:rsidP="00585539">
      <w:pPr>
        <w:ind w:right="225"/>
        <w:rPr>
          <w:sz w:val="28"/>
          <w:szCs w:val="28"/>
          <w:lang w:val="uk-UA" w:eastAsia="uk-UA"/>
        </w:rPr>
      </w:pPr>
    </w:p>
    <w:p w:rsidR="00585539" w:rsidRDefault="00585539" w:rsidP="00585539">
      <w:pPr>
        <w:jc w:val="both"/>
        <w:rPr>
          <w:b/>
          <w:sz w:val="28"/>
          <w:szCs w:val="28"/>
          <w:lang w:val="uk-UA"/>
        </w:rPr>
      </w:pPr>
      <w:r w:rsidRPr="00585539">
        <w:rPr>
          <w:b/>
          <w:sz w:val="28"/>
          <w:szCs w:val="28"/>
          <w:lang w:val="uk-UA"/>
        </w:rPr>
        <w:t>Про внесення змін до рішення Національної комісії з цінних паперів та фондового ринку від 13 січня 2022 року № 3 щодо порядку подання фінансової звітності»</w:t>
      </w:r>
    </w:p>
    <w:p w:rsidR="00585539" w:rsidRPr="00AC3250" w:rsidRDefault="00585539" w:rsidP="00585539">
      <w:pPr>
        <w:ind w:right="225"/>
        <w:rPr>
          <w:sz w:val="28"/>
          <w:szCs w:val="28"/>
          <w:lang w:val="uk-UA" w:eastAsia="uk-UA"/>
        </w:rPr>
      </w:pPr>
    </w:p>
    <w:p w:rsidR="00585539" w:rsidRDefault="00585539" w:rsidP="00585539">
      <w:pPr>
        <w:ind w:firstLine="567"/>
        <w:jc w:val="both"/>
        <w:rPr>
          <w:sz w:val="28"/>
          <w:szCs w:val="28"/>
          <w:lang w:val="uk-UA"/>
        </w:rPr>
      </w:pPr>
      <w:r w:rsidRPr="005C6DF4">
        <w:rPr>
          <w:sz w:val="28"/>
          <w:szCs w:val="28"/>
          <w:lang w:val="uk-UA"/>
        </w:rPr>
        <w:t>Відповідно до пункту 1 частини першої статті 7</w:t>
      </w:r>
      <w:r w:rsidRPr="005C6DF4">
        <w:rPr>
          <w:rFonts w:eastAsia="Calibri"/>
          <w:sz w:val="28"/>
          <w:szCs w:val="28"/>
          <w:lang w:val="uk-UA"/>
        </w:rPr>
        <w:t xml:space="preserve"> Закону України «Про державне регулювання </w:t>
      </w:r>
      <w:r w:rsidRPr="005C6DF4">
        <w:rPr>
          <w:sz w:val="28"/>
          <w:szCs w:val="28"/>
          <w:lang w:val="uk-UA"/>
        </w:rPr>
        <w:t>ринків капіталу та організованих товарних ринків</w:t>
      </w:r>
      <w:r w:rsidRPr="005C6DF4">
        <w:rPr>
          <w:rFonts w:eastAsia="Calibri"/>
          <w:sz w:val="28"/>
          <w:szCs w:val="28"/>
          <w:lang w:val="uk-UA"/>
        </w:rPr>
        <w:t xml:space="preserve">», </w:t>
      </w:r>
      <w:r w:rsidRPr="005C6DF4">
        <w:rPr>
          <w:sz w:val="28"/>
          <w:szCs w:val="28"/>
          <w:lang w:val="uk-UA"/>
        </w:rPr>
        <w:t xml:space="preserve">Закону України «Про ринки капіталу та організовані товарні ринки», Закону України «Про бухгалтерський облік та фінансову звітність в Україні», Закону України «Про аудит фінансової звітності та аудиторську діяльність», з метою удосконалення нормативно-правових актів, </w:t>
      </w:r>
      <w:r>
        <w:rPr>
          <w:sz w:val="28"/>
          <w:szCs w:val="28"/>
          <w:lang w:val="uk-UA"/>
        </w:rPr>
        <w:t>запровадження єдиних підходів до складання та подання фінансової звітності,</w:t>
      </w:r>
    </w:p>
    <w:p w:rsidR="00585539" w:rsidRPr="00AC3250" w:rsidRDefault="00585539" w:rsidP="00585539">
      <w:pPr>
        <w:pStyle w:val="HTML10"/>
        <w:widowControl w:val="0"/>
        <w:rPr>
          <w:rStyle w:val="HTML1"/>
          <w:rFonts w:ascii="Times New Roman" w:hAnsi="Times New Roman"/>
          <w:color w:val="auto"/>
          <w:sz w:val="28"/>
          <w:szCs w:val="28"/>
          <w:lang w:val="uk-UA"/>
        </w:rPr>
      </w:pPr>
      <w:r w:rsidRPr="00AC3250">
        <w:rPr>
          <w:rStyle w:val="HTML1"/>
          <w:rFonts w:ascii="Times New Roman" w:hAnsi="Times New Roman"/>
          <w:color w:val="auto"/>
          <w:sz w:val="28"/>
          <w:szCs w:val="28"/>
          <w:lang w:val="uk-UA"/>
        </w:rPr>
        <w:t>Національна комісія з цінних паперів та фондового ринку</w:t>
      </w:r>
    </w:p>
    <w:p w:rsidR="00585539" w:rsidRPr="00330BDC" w:rsidRDefault="00585539" w:rsidP="00585539">
      <w:pPr>
        <w:pStyle w:val="HTML1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142" w:firstLine="142"/>
        <w:rPr>
          <w:rStyle w:val="HTML1"/>
          <w:rFonts w:ascii="Times New Roman" w:hAnsi="Times New Roman"/>
          <w:color w:val="auto"/>
          <w:sz w:val="28"/>
          <w:szCs w:val="28"/>
          <w:lang w:val="uk-UA"/>
        </w:rPr>
      </w:pPr>
    </w:p>
    <w:p w:rsidR="00585539" w:rsidRPr="00AC3250" w:rsidRDefault="00585539" w:rsidP="00585539">
      <w:pPr>
        <w:pStyle w:val="HTML1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142" w:firstLine="142"/>
        <w:rPr>
          <w:rStyle w:val="HTML1"/>
          <w:rFonts w:ascii="Times New Roman" w:hAnsi="Times New Roman"/>
          <w:b/>
          <w:color w:val="auto"/>
          <w:sz w:val="28"/>
          <w:szCs w:val="28"/>
          <w:lang w:val="uk-UA"/>
        </w:rPr>
      </w:pPr>
      <w:r w:rsidRPr="00AC3250">
        <w:rPr>
          <w:rFonts w:ascii="Times New Roman" w:hAnsi="Times New Roman"/>
          <w:b/>
          <w:color w:val="auto"/>
          <w:sz w:val="28"/>
          <w:szCs w:val="28"/>
          <w:lang w:val="uk-UA" w:eastAsia="uk-UA"/>
        </w:rPr>
        <w:t>В И Р І Ш И Л А:</w:t>
      </w:r>
    </w:p>
    <w:p w:rsidR="00585539" w:rsidRPr="00330BDC" w:rsidRDefault="00585539" w:rsidP="00585539">
      <w:pPr>
        <w:pStyle w:val="HTML1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567"/>
        <w:jc w:val="both"/>
        <w:rPr>
          <w:rStyle w:val="HTML1"/>
          <w:rFonts w:ascii="Times New Roman" w:hAnsi="Times New Roman"/>
          <w:color w:val="auto"/>
          <w:sz w:val="28"/>
          <w:szCs w:val="28"/>
          <w:lang w:val="uk-UA"/>
        </w:rPr>
      </w:pPr>
    </w:p>
    <w:p w:rsidR="00585539" w:rsidRPr="00A2506A" w:rsidRDefault="00585539" w:rsidP="00A2506A">
      <w:pPr>
        <w:pStyle w:val="a7"/>
        <w:numPr>
          <w:ilvl w:val="0"/>
          <w:numId w:val="3"/>
        </w:numPr>
        <w:tabs>
          <w:tab w:val="left" w:pos="851"/>
          <w:tab w:val="left" w:pos="993"/>
        </w:tabs>
        <w:ind w:left="0" w:firstLine="567"/>
        <w:jc w:val="both"/>
        <w:rPr>
          <w:sz w:val="28"/>
          <w:szCs w:val="28"/>
          <w:lang w:val="uk-UA"/>
        </w:rPr>
      </w:pPr>
      <w:proofErr w:type="spellStart"/>
      <w:r w:rsidRPr="00A2506A">
        <w:rPr>
          <w:sz w:val="28"/>
          <w:szCs w:val="28"/>
          <w:lang w:val="uk-UA"/>
        </w:rPr>
        <w:t>Внести</w:t>
      </w:r>
      <w:proofErr w:type="spellEnd"/>
      <w:r w:rsidRPr="00A2506A">
        <w:rPr>
          <w:sz w:val="28"/>
          <w:szCs w:val="28"/>
          <w:lang w:val="uk-UA"/>
        </w:rPr>
        <w:t xml:space="preserve"> до Положення про порядок складання, подання та оприлюднення товарними біржами звітних даних, затверджен</w:t>
      </w:r>
      <w:r w:rsidR="00EF4F26">
        <w:rPr>
          <w:sz w:val="28"/>
          <w:szCs w:val="28"/>
          <w:lang w:val="uk-UA"/>
        </w:rPr>
        <w:t>ого</w:t>
      </w:r>
      <w:r w:rsidRPr="00A2506A">
        <w:rPr>
          <w:sz w:val="28"/>
          <w:szCs w:val="28"/>
          <w:lang w:val="uk-UA"/>
        </w:rPr>
        <w:t xml:space="preserve"> рішенням Національної комісії з цінних паперів та фондового ринку від 13 січня 2022 року  № 3, зареєстрован</w:t>
      </w:r>
      <w:r w:rsidR="00EF4F26">
        <w:rPr>
          <w:sz w:val="28"/>
          <w:szCs w:val="28"/>
          <w:lang w:val="uk-UA"/>
        </w:rPr>
        <w:t>ого</w:t>
      </w:r>
      <w:r w:rsidRPr="00A2506A">
        <w:rPr>
          <w:sz w:val="28"/>
          <w:szCs w:val="28"/>
          <w:lang w:val="uk-UA"/>
        </w:rPr>
        <w:t xml:space="preserve"> в Міністерстві юстиції України 01 лютого 2022 року за №</w:t>
      </w:r>
      <w:r w:rsidR="00EF4F26">
        <w:rPr>
          <w:sz w:val="28"/>
          <w:szCs w:val="28"/>
          <w:lang w:val="uk-UA"/>
        </w:rPr>
        <w:t> </w:t>
      </w:r>
      <w:r w:rsidRPr="00A2506A">
        <w:rPr>
          <w:sz w:val="28"/>
          <w:szCs w:val="28"/>
          <w:lang w:val="uk-UA"/>
        </w:rPr>
        <w:t xml:space="preserve"> 115/37451, такі зміни:</w:t>
      </w:r>
    </w:p>
    <w:p w:rsidR="00585539" w:rsidRPr="00A2506A" w:rsidRDefault="00585539" w:rsidP="00A2506A">
      <w:pPr>
        <w:pStyle w:val="a7"/>
        <w:tabs>
          <w:tab w:val="left" w:pos="851"/>
          <w:tab w:val="left" w:pos="993"/>
        </w:tabs>
        <w:ind w:left="0" w:firstLine="567"/>
        <w:jc w:val="both"/>
        <w:rPr>
          <w:sz w:val="28"/>
          <w:szCs w:val="28"/>
          <w:lang w:val="uk-UA"/>
        </w:rPr>
      </w:pPr>
    </w:p>
    <w:p w:rsidR="00585539" w:rsidRPr="00A2506A" w:rsidRDefault="00585539" w:rsidP="00A2506A">
      <w:pPr>
        <w:pStyle w:val="1"/>
        <w:tabs>
          <w:tab w:val="left" w:pos="993"/>
        </w:tabs>
        <w:spacing w:before="0" w:after="0" w:line="240" w:lineRule="auto"/>
        <w:ind w:firstLine="567"/>
        <w:jc w:val="both"/>
        <w:rPr>
          <w:rFonts w:ascii="Times New Roman" w:hAnsi="Times New Roman" w:cs="Times New Roman"/>
          <w:sz w:val="28"/>
          <w:szCs w:val="28"/>
          <w:lang w:val="uk-UA" w:eastAsia="ru-RU"/>
        </w:rPr>
      </w:pPr>
      <w:r w:rsidRPr="00A2506A">
        <w:rPr>
          <w:rFonts w:ascii="Times New Roman" w:hAnsi="Times New Roman" w:cs="Times New Roman"/>
          <w:sz w:val="28"/>
          <w:szCs w:val="28"/>
          <w:lang w:val="uk-UA" w:eastAsia="ru-RU"/>
        </w:rPr>
        <w:t>1) у розділі І:</w:t>
      </w:r>
    </w:p>
    <w:p w:rsidR="00585539" w:rsidRPr="00A2506A" w:rsidRDefault="00585539" w:rsidP="00A2506A">
      <w:pPr>
        <w:pStyle w:val="1"/>
        <w:tabs>
          <w:tab w:val="left" w:pos="993"/>
        </w:tabs>
        <w:spacing w:before="0" w:after="0" w:line="240" w:lineRule="auto"/>
        <w:ind w:firstLine="567"/>
        <w:jc w:val="both"/>
        <w:rPr>
          <w:rFonts w:ascii="Times New Roman" w:hAnsi="Times New Roman" w:cs="Times New Roman"/>
          <w:sz w:val="28"/>
          <w:szCs w:val="28"/>
          <w:lang w:val="uk-UA"/>
        </w:rPr>
      </w:pPr>
      <w:r w:rsidRPr="00A2506A">
        <w:rPr>
          <w:rFonts w:ascii="Times New Roman" w:hAnsi="Times New Roman" w:cs="Times New Roman"/>
          <w:sz w:val="28"/>
          <w:szCs w:val="28"/>
          <w:lang w:val="uk-UA"/>
        </w:rPr>
        <w:t>пункт 9 викласти у такій редакції:</w:t>
      </w:r>
    </w:p>
    <w:p w:rsidR="00585539" w:rsidRPr="00A2506A" w:rsidRDefault="00585539" w:rsidP="00A2506A">
      <w:pPr>
        <w:ind w:firstLine="567"/>
        <w:jc w:val="both"/>
        <w:rPr>
          <w:sz w:val="28"/>
          <w:szCs w:val="28"/>
          <w:lang w:val="uk-UA"/>
        </w:rPr>
      </w:pPr>
      <w:r w:rsidRPr="00A2506A">
        <w:rPr>
          <w:sz w:val="28"/>
          <w:szCs w:val="28"/>
          <w:lang w:val="uk-UA"/>
        </w:rPr>
        <w:t xml:space="preserve">«9. </w:t>
      </w:r>
      <w:r w:rsidR="00A2506A" w:rsidRPr="00A2506A">
        <w:rPr>
          <w:sz w:val="28"/>
          <w:szCs w:val="28"/>
          <w:shd w:val="clear" w:color="auto" w:fill="FFFFFF"/>
          <w:lang w:val="uk-UA"/>
        </w:rPr>
        <w:t>Дані складаються відповідно до опису розділів та схем XML-файлів, визначених окремим документом НКЦПФР нормативно-технічного характеру</w:t>
      </w:r>
      <w:r w:rsidR="0018547A" w:rsidRPr="00A2506A">
        <w:rPr>
          <w:sz w:val="28"/>
          <w:szCs w:val="28"/>
          <w:lang w:val="uk-UA"/>
        </w:rPr>
        <w:t>.</w:t>
      </w:r>
      <w:r w:rsidRPr="00A2506A">
        <w:rPr>
          <w:sz w:val="28"/>
          <w:szCs w:val="28"/>
          <w:lang w:val="uk-UA"/>
        </w:rPr>
        <w:t>»;</w:t>
      </w:r>
    </w:p>
    <w:p w:rsidR="0018547A" w:rsidRPr="00A2506A" w:rsidRDefault="0018547A" w:rsidP="00A2506A">
      <w:pPr>
        <w:ind w:firstLine="567"/>
        <w:jc w:val="both"/>
        <w:rPr>
          <w:sz w:val="28"/>
          <w:szCs w:val="28"/>
          <w:lang w:val="uk-UA"/>
        </w:rPr>
      </w:pPr>
      <w:r w:rsidRPr="00A2506A">
        <w:rPr>
          <w:sz w:val="28"/>
          <w:szCs w:val="28"/>
          <w:lang w:val="uk-UA"/>
        </w:rPr>
        <w:t>пункт 10 викласти у такій редакції:</w:t>
      </w:r>
    </w:p>
    <w:p w:rsidR="00A2506A" w:rsidRPr="00A2506A" w:rsidRDefault="0018547A" w:rsidP="00A2506A">
      <w:pPr>
        <w:ind w:firstLine="567"/>
        <w:jc w:val="both"/>
        <w:rPr>
          <w:sz w:val="28"/>
          <w:szCs w:val="28"/>
          <w:shd w:val="clear" w:color="auto" w:fill="FFFFFF"/>
          <w:lang w:val="uk-UA"/>
        </w:rPr>
      </w:pPr>
      <w:r w:rsidRPr="00A2506A">
        <w:rPr>
          <w:sz w:val="28"/>
          <w:szCs w:val="28"/>
        </w:rPr>
        <w:t>«</w:t>
      </w:r>
      <w:r w:rsidRPr="00A2506A">
        <w:rPr>
          <w:sz w:val="28"/>
          <w:szCs w:val="28"/>
          <w:shd w:val="clear" w:color="auto" w:fill="FFFFFF"/>
        </w:rPr>
        <w:t xml:space="preserve">10. </w:t>
      </w:r>
      <w:r w:rsidR="00A2506A" w:rsidRPr="00A2506A">
        <w:rPr>
          <w:sz w:val="28"/>
          <w:szCs w:val="28"/>
          <w:shd w:val="clear" w:color="auto" w:fill="FFFFFF"/>
          <w:lang w:val="uk-UA"/>
        </w:rPr>
        <w:t>Формат фінансової звітності формується відповідно до опису розділів та схем XML-файлів (далі – формат XML), визначених окремим документом НКЦПФР нормативно-технічного характеру.</w:t>
      </w:r>
    </w:p>
    <w:p w:rsidR="0018547A" w:rsidRPr="00A2506A" w:rsidRDefault="00A2506A" w:rsidP="00A2506A">
      <w:pPr>
        <w:pStyle w:val="rvps2"/>
        <w:shd w:val="clear" w:color="auto" w:fill="FFFFFF"/>
        <w:spacing w:before="0" w:beforeAutospacing="0" w:after="0" w:afterAutospacing="0"/>
        <w:ind w:firstLine="567"/>
        <w:jc w:val="both"/>
        <w:rPr>
          <w:sz w:val="28"/>
          <w:szCs w:val="28"/>
        </w:rPr>
      </w:pPr>
      <w:r w:rsidRPr="00A2506A">
        <w:rPr>
          <w:sz w:val="28"/>
          <w:szCs w:val="28"/>
        </w:rPr>
        <w:lastRenderedPageBreak/>
        <w:t>У разі якщо фінансова звітність (річна, проміжна) / консолідована фінансова звітність (річна, проміжна, у разі складання консолідованої фінансової звітності) складається відповідно до Закону України «Про бухгалтерський облік та фінансову звітність в Україні» на основі таксономії фінансової звітності за міжнародними стандартами в єдиному електронному форматі XBRL (далі – формат XBRL), вона подається до центру збору фінансової звітності у порядку, встановленому Кабінетом Міністрів України, з урахуванням вимог нормативно-правових актів НКЦПФР.</w:t>
      </w:r>
      <w:r w:rsidR="0018547A" w:rsidRPr="00A2506A">
        <w:rPr>
          <w:sz w:val="28"/>
          <w:szCs w:val="28"/>
        </w:rPr>
        <w:t>»</w:t>
      </w:r>
    </w:p>
    <w:p w:rsidR="00585539" w:rsidRPr="00A2506A" w:rsidRDefault="00585539" w:rsidP="00A2506A">
      <w:pPr>
        <w:ind w:firstLine="567"/>
        <w:jc w:val="both"/>
        <w:rPr>
          <w:sz w:val="28"/>
          <w:szCs w:val="28"/>
          <w:lang w:val="uk-UA"/>
        </w:rPr>
      </w:pPr>
    </w:p>
    <w:p w:rsidR="00585539" w:rsidRPr="00A2506A" w:rsidRDefault="00585539" w:rsidP="00A2506A">
      <w:pPr>
        <w:ind w:firstLine="567"/>
        <w:jc w:val="both"/>
        <w:rPr>
          <w:sz w:val="28"/>
          <w:szCs w:val="28"/>
          <w:lang w:val="uk-UA"/>
        </w:rPr>
      </w:pPr>
      <w:r w:rsidRPr="00A2506A">
        <w:rPr>
          <w:sz w:val="28"/>
          <w:szCs w:val="28"/>
          <w:lang w:val="uk-UA"/>
        </w:rPr>
        <w:t>2) у розділі ІІ:</w:t>
      </w:r>
    </w:p>
    <w:p w:rsidR="00585539" w:rsidRPr="00A2506A" w:rsidRDefault="009C3A3F" w:rsidP="00A2506A">
      <w:pPr>
        <w:ind w:firstLine="567"/>
        <w:jc w:val="both"/>
        <w:rPr>
          <w:sz w:val="28"/>
          <w:szCs w:val="28"/>
          <w:lang w:val="uk-UA"/>
        </w:rPr>
      </w:pPr>
      <w:r w:rsidRPr="00A2506A">
        <w:rPr>
          <w:sz w:val="28"/>
          <w:szCs w:val="28"/>
          <w:lang w:val="uk-UA"/>
        </w:rPr>
        <w:t>абзац одинадцятий пункту 3 викласти у такій редакції:</w:t>
      </w:r>
    </w:p>
    <w:p w:rsidR="00A2506A" w:rsidRPr="00A2506A" w:rsidRDefault="009C3A3F" w:rsidP="00A2506A">
      <w:pPr>
        <w:ind w:firstLine="567"/>
        <w:jc w:val="both"/>
        <w:rPr>
          <w:sz w:val="28"/>
          <w:szCs w:val="28"/>
          <w:shd w:val="clear" w:color="auto" w:fill="FFFFFF"/>
          <w:lang w:val="uk-UA"/>
        </w:rPr>
      </w:pPr>
      <w:r w:rsidRPr="00A2506A">
        <w:rPr>
          <w:sz w:val="28"/>
          <w:szCs w:val="28"/>
        </w:rPr>
        <w:t>«</w:t>
      </w:r>
      <w:r w:rsidR="00A2506A" w:rsidRPr="00A2506A">
        <w:rPr>
          <w:sz w:val="28"/>
          <w:szCs w:val="28"/>
          <w:lang w:val="uk-UA"/>
        </w:rPr>
        <w:t>До складу щомісячних Даних за березень, червень та вересень включається проміжна фінансова звітність / проміжна консолідована фінансова звітність (</w:t>
      </w:r>
      <w:proofErr w:type="gramStart"/>
      <w:r w:rsidR="00A2506A" w:rsidRPr="00A2506A">
        <w:rPr>
          <w:sz w:val="28"/>
          <w:szCs w:val="28"/>
          <w:lang w:val="uk-UA"/>
        </w:rPr>
        <w:t>у</w:t>
      </w:r>
      <w:r w:rsidR="00A65A0F">
        <w:rPr>
          <w:sz w:val="28"/>
          <w:szCs w:val="28"/>
          <w:lang w:val="uk-UA"/>
        </w:rPr>
        <w:t> </w:t>
      </w:r>
      <w:r w:rsidR="00A2506A" w:rsidRPr="00A2506A">
        <w:rPr>
          <w:sz w:val="28"/>
          <w:szCs w:val="28"/>
          <w:lang w:val="uk-UA"/>
        </w:rPr>
        <w:t xml:space="preserve"> разі</w:t>
      </w:r>
      <w:proofErr w:type="gramEnd"/>
      <w:r w:rsidR="00A2506A" w:rsidRPr="00A2506A">
        <w:rPr>
          <w:sz w:val="28"/>
          <w:szCs w:val="28"/>
          <w:lang w:val="uk-UA"/>
        </w:rPr>
        <w:t xml:space="preserve"> складання проміжної консолідованої фінансової звітності) за I, II та III квартали (крім проміжної фінансової звітності, яка складається у форматі </w:t>
      </w:r>
      <w:r w:rsidR="00A2506A" w:rsidRPr="00A2506A">
        <w:rPr>
          <w:sz w:val="28"/>
          <w:szCs w:val="28"/>
          <w:shd w:val="clear" w:color="auto" w:fill="FFFFFF"/>
          <w:lang w:val="uk-UA"/>
        </w:rPr>
        <w:t>XBRL)</w:t>
      </w:r>
      <w:r w:rsidR="00A2506A" w:rsidRPr="00A2506A">
        <w:rPr>
          <w:sz w:val="28"/>
          <w:szCs w:val="28"/>
          <w:lang w:val="uk-UA"/>
        </w:rPr>
        <w:t>, яка має бути складена відповідно до Закону України «Про бухгалтерський облік та фінансову звітність в Україні» та відповідати міжнародним стандартам фінансової звітності</w:t>
      </w:r>
      <w:r w:rsidR="00A2506A" w:rsidRPr="00A2506A">
        <w:rPr>
          <w:sz w:val="28"/>
          <w:szCs w:val="28"/>
          <w:shd w:val="clear" w:color="auto" w:fill="FFFFFF"/>
          <w:lang w:val="uk-UA"/>
        </w:rPr>
        <w:t>.</w:t>
      </w:r>
    </w:p>
    <w:p w:rsidR="00585539" w:rsidRPr="00A2506A" w:rsidRDefault="00A2506A" w:rsidP="00A2506A">
      <w:pPr>
        <w:pStyle w:val="rvps7"/>
        <w:shd w:val="clear" w:color="auto" w:fill="FFFFFF"/>
        <w:tabs>
          <w:tab w:val="left" w:pos="6406"/>
        </w:tabs>
        <w:spacing w:before="0" w:beforeAutospacing="0" w:after="0" w:afterAutospacing="0"/>
        <w:ind w:firstLine="567"/>
        <w:jc w:val="both"/>
        <w:rPr>
          <w:sz w:val="28"/>
          <w:szCs w:val="28"/>
        </w:rPr>
      </w:pPr>
      <w:r w:rsidRPr="00A2506A">
        <w:rPr>
          <w:sz w:val="28"/>
          <w:szCs w:val="28"/>
        </w:rPr>
        <w:t>У разі складання товарною біржою проміжної фінансової звітності / проміжної консолідованої фінансової звітності (у разі складання консолідованої фінансової звітності) у форматі XBRL така проміжна фінансова звітність / проміжна консолідована фінансова звітність (у разі складання консолідованої фінансової звітності) подається у строки, передбачені пунктом І розділу ІІІ цього Положення для подання щомісячних даних.</w:t>
      </w:r>
      <w:r w:rsidR="009C3A3F" w:rsidRPr="00A2506A">
        <w:rPr>
          <w:sz w:val="28"/>
          <w:szCs w:val="28"/>
        </w:rPr>
        <w:t>»</w:t>
      </w:r>
      <w:r w:rsidR="00585539" w:rsidRPr="00A2506A">
        <w:rPr>
          <w:sz w:val="28"/>
          <w:szCs w:val="28"/>
        </w:rPr>
        <w:t>;</w:t>
      </w:r>
    </w:p>
    <w:p w:rsidR="009C3A3F" w:rsidRPr="00A2506A" w:rsidRDefault="009C3A3F" w:rsidP="00A2506A">
      <w:pPr>
        <w:ind w:firstLine="567"/>
        <w:jc w:val="both"/>
        <w:rPr>
          <w:sz w:val="28"/>
          <w:szCs w:val="28"/>
          <w:lang w:val="uk-UA"/>
        </w:rPr>
      </w:pPr>
      <w:r w:rsidRPr="00A2506A">
        <w:rPr>
          <w:sz w:val="28"/>
          <w:szCs w:val="28"/>
          <w:lang w:val="uk-UA"/>
        </w:rPr>
        <w:t>пункт 4 викласти у такій редакції:</w:t>
      </w:r>
    </w:p>
    <w:p w:rsidR="00A2506A" w:rsidRPr="00A2506A" w:rsidRDefault="009C3A3F" w:rsidP="00A2506A">
      <w:pPr>
        <w:pStyle w:val="rvps2"/>
        <w:shd w:val="clear" w:color="auto" w:fill="FFFFFF"/>
        <w:spacing w:before="0" w:beforeAutospacing="0" w:after="0" w:afterAutospacing="0"/>
        <w:ind w:firstLine="567"/>
        <w:jc w:val="both"/>
        <w:rPr>
          <w:sz w:val="28"/>
          <w:szCs w:val="28"/>
        </w:rPr>
      </w:pPr>
      <w:r w:rsidRPr="00A2506A">
        <w:rPr>
          <w:sz w:val="28"/>
          <w:szCs w:val="28"/>
        </w:rPr>
        <w:t xml:space="preserve">«4. </w:t>
      </w:r>
      <w:r w:rsidR="00A2506A" w:rsidRPr="00A2506A">
        <w:rPr>
          <w:sz w:val="28"/>
          <w:szCs w:val="28"/>
        </w:rPr>
        <w:t>Щорічними Даними є річна фінансова звітність / річна консолідована фінансова звітність (у разі складання консолідованої фінансової звітності) товарної біржі, яка має бути складена відповідно до Закону України «Про бухгалтерський облік та фінансову звітність в Україні» та відповідати міжнародним стандартам фінансової звітності.</w:t>
      </w:r>
    </w:p>
    <w:p w:rsidR="00A2506A" w:rsidRPr="00A2506A" w:rsidRDefault="00A2506A" w:rsidP="00A2506A">
      <w:pPr>
        <w:pStyle w:val="rvps2"/>
        <w:shd w:val="clear" w:color="auto" w:fill="FFFFFF"/>
        <w:spacing w:before="0" w:beforeAutospacing="0" w:after="0" w:afterAutospacing="0"/>
        <w:ind w:firstLine="567"/>
        <w:jc w:val="both"/>
        <w:rPr>
          <w:sz w:val="28"/>
          <w:szCs w:val="28"/>
        </w:rPr>
      </w:pPr>
      <w:r w:rsidRPr="00A2506A">
        <w:rPr>
          <w:sz w:val="28"/>
          <w:szCs w:val="28"/>
        </w:rPr>
        <w:t>У разі складання товарною біржою річної фінансової звітності / річної консолідованої фінансової звітності (у разі складання консолідованої фінансової звітності) у форматі XML така річна фінансова звітність / річна консолідована фінансова звітність (у разі складання консолідованої фінансової звітності) подається разом із довідкою щодо відомостей про аудиторський звіт щодо фінансової звітності товарної біржі за звітний рік (додаток 12).</w:t>
      </w:r>
    </w:p>
    <w:p w:rsidR="00A2506A" w:rsidRPr="00A2506A" w:rsidRDefault="00A2506A" w:rsidP="00A2506A">
      <w:pPr>
        <w:pStyle w:val="rvps2"/>
        <w:shd w:val="clear" w:color="auto" w:fill="FFFFFF"/>
        <w:spacing w:before="0" w:beforeAutospacing="0" w:after="0" w:afterAutospacing="0"/>
        <w:ind w:firstLine="567"/>
        <w:jc w:val="both"/>
        <w:rPr>
          <w:sz w:val="28"/>
          <w:szCs w:val="28"/>
        </w:rPr>
      </w:pPr>
      <w:r w:rsidRPr="00A2506A">
        <w:rPr>
          <w:sz w:val="28"/>
          <w:szCs w:val="28"/>
        </w:rPr>
        <w:t xml:space="preserve">У разі складання товарною біржою річної фінансової звітності / річної консолідованої фінансової звітності (у разі складання консолідованої фінансової звітності) у форматі XBRL відповідний електронний файл подається до центру  збору фінансової звітності у строки, передбачені пунктом І розділу ІІІ цього Положення для подання  щорічних даних, та має містити звіт про </w:t>
      </w:r>
      <w:r w:rsidRPr="00A2506A">
        <w:rPr>
          <w:sz w:val="28"/>
          <w:szCs w:val="28"/>
        </w:rPr>
        <w:lastRenderedPageBreak/>
        <w:t>управління / консолідований звіт про управління (у  разі складання консолідованої фінансової звітності) та аудиторський звіт.</w:t>
      </w:r>
    </w:p>
    <w:p w:rsidR="00A2506A" w:rsidRPr="00A2506A" w:rsidRDefault="00A2506A" w:rsidP="00A2506A">
      <w:pPr>
        <w:ind w:right="-30" w:firstLine="567"/>
        <w:jc w:val="both"/>
        <w:rPr>
          <w:sz w:val="28"/>
          <w:szCs w:val="28"/>
          <w:lang w:val="uk-UA"/>
        </w:rPr>
      </w:pPr>
      <w:r w:rsidRPr="00A2506A">
        <w:rPr>
          <w:bCs/>
          <w:sz w:val="28"/>
          <w:szCs w:val="28"/>
          <w:shd w:val="clear" w:color="auto" w:fill="FFFFFF"/>
          <w:lang w:val="uk-UA"/>
        </w:rPr>
        <w:t xml:space="preserve">Товарні біржі, які відповідно до частини другої статті 2 Закону України «Про бухгалтерський облік та фінансову звітність в Україні» відносяться до категорії мікропідприємств та малих підприємств, </w:t>
      </w:r>
      <w:r w:rsidRPr="00A2506A">
        <w:rPr>
          <w:sz w:val="28"/>
          <w:szCs w:val="28"/>
          <w:lang w:val="uk-UA"/>
        </w:rPr>
        <w:t>не подають звіт про управління</w:t>
      </w:r>
      <w:r w:rsidRPr="00A2506A">
        <w:rPr>
          <w:bCs/>
          <w:sz w:val="28"/>
          <w:szCs w:val="28"/>
          <w:shd w:val="clear" w:color="auto" w:fill="FFFFFF"/>
          <w:lang w:val="uk-UA"/>
        </w:rPr>
        <w:t>, крім випадків подання такого звіту на запит НКЦПФР, якщо такій звіт не був оприлюднений.</w:t>
      </w:r>
    </w:p>
    <w:p w:rsidR="009C3A3F" w:rsidRPr="00A2506A" w:rsidRDefault="00A2506A" w:rsidP="00A2506A">
      <w:pPr>
        <w:pStyle w:val="rvps7"/>
        <w:shd w:val="clear" w:color="auto" w:fill="FFFFFF"/>
        <w:tabs>
          <w:tab w:val="left" w:pos="6406"/>
        </w:tabs>
        <w:spacing w:before="0" w:beforeAutospacing="0" w:after="0" w:afterAutospacing="0"/>
        <w:ind w:right="-30" w:firstLine="567"/>
        <w:jc w:val="both"/>
        <w:rPr>
          <w:sz w:val="28"/>
          <w:szCs w:val="28"/>
        </w:rPr>
      </w:pPr>
      <w:r w:rsidRPr="00A2506A">
        <w:rPr>
          <w:sz w:val="28"/>
          <w:szCs w:val="28"/>
        </w:rPr>
        <w:t>Аудиторський звіт складається відповідно до Закону України «Про аудит фінансової звітності та аудиторську діяльність», має відповідати Міжнародним стандартам контролю якості, аудиту, огляду, іншого надання впевненості та супутніх послуг та вимогам, встановленим нормативно-правовими актами НКЦПФР щодо інформації, що стосується аудиту фінансової звітності учасників ринків капіталу та організованих товарних ринків.</w:t>
      </w:r>
      <w:r w:rsidR="009C3A3F" w:rsidRPr="00A2506A">
        <w:rPr>
          <w:sz w:val="28"/>
          <w:szCs w:val="28"/>
        </w:rPr>
        <w:t>».</w:t>
      </w:r>
    </w:p>
    <w:p w:rsidR="009C3A3F" w:rsidRPr="00A2506A" w:rsidRDefault="009C3A3F" w:rsidP="00A2506A">
      <w:pPr>
        <w:pStyle w:val="rvps2"/>
        <w:shd w:val="clear" w:color="auto" w:fill="FFFFFF"/>
        <w:spacing w:before="0" w:beforeAutospacing="0" w:after="0" w:afterAutospacing="0"/>
        <w:ind w:firstLine="567"/>
        <w:jc w:val="both"/>
        <w:rPr>
          <w:sz w:val="28"/>
          <w:szCs w:val="28"/>
        </w:rPr>
      </w:pPr>
    </w:p>
    <w:p w:rsidR="00585539" w:rsidRPr="00A2506A" w:rsidRDefault="00585539" w:rsidP="00A2506A">
      <w:pPr>
        <w:pStyle w:val="a7"/>
        <w:numPr>
          <w:ilvl w:val="0"/>
          <w:numId w:val="3"/>
        </w:numPr>
        <w:tabs>
          <w:tab w:val="left" w:pos="851"/>
          <w:tab w:val="left" w:pos="993"/>
        </w:tabs>
        <w:ind w:left="0" w:firstLine="567"/>
        <w:jc w:val="both"/>
        <w:rPr>
          <w:sz w:val="28"/>
          <w:szCs w:val="28"/>
          <w:lang w:val="uk-UA"/>
        </w:rPr>
      </w:pPr>
      <w:r w:rsidRPr="00A2506A">
        <w:rPr>
          <w:sz w:val="28"/>
          <w:szCs w:val="28"/>
          <w:lang w:val="uk-UA"/>
        </w:rPr>
        <w:t>Департаменту методології регулювання професійних учасників ринку цінних паперів забезпечити подання цього рішення на державну реєстрацію до Міністерства юстиції України.</w:t>
      </w:r>
    </w:p>
    <w:p w:rsidR="00585539" w:rsidRPr="00A2506A" w:rsidRDefault="00585539" w:rsidP="00A2506A">
      <w:pPr>
        <w:pStyle w:val="a7"/>
        <w:ind w:left="0" w:firstLine="567"/>
        <w:rPr>
          <w:sz w:val="28"/>
          <w:szCs w:val="28"/>
          <w:lang w:val="uk-UA"/>
        </w:rPr>
      </w:pPr>
    </w:p>
    <w:p w:rsidR="00585539" w:rsidRPr="00A2506A" w:rsidRDefault="007A6653" w:rsidP="00A2506A">
      <w:pPr>
        <w:pStyle w:val="a7"/>
        <w:numPr>
          <w:ilvl w:val="0"/>
          <w:numId w:val="3"/>
        </w:numPr>
        <w:tabs>
          <w:tab w:val="left" w:pos="851"/>
          <w:tab w:val="left" w:pos="993"/>
        </w:tabs>
        <w:ind w:left="0" w:firstLine="567"/>
        <w:jc w:val="both"/>
        <w:rPr>
          <w:sz w:val="28"/>
          <w:szCs w:val="28"/>
          <w:lang w:val="uk-UA"/>
        </w:rPr>
      </w:pPr>
      <w:r w:rsidRPr="009B5439">
        <w:rPr>
          <w:sz w:val="28"/>
          <w:szCs w:val="28"/>
          <w:shd w:val="clear" w:color="auto" w:fill="FFFFFF"/>
          <w:lang w:val="uk-UA"/>
        </w:rPr>
        <w:t xml:space="preserve">Департаменту правового забезпечення та внутрішнього </w:t>
      </w:r>
      <w:proofErr w:type="spellStart"/>
      <w:r w:rsidRPr="009B5439">
        <w:rPr>
          <w:sz w:val="28"/>
          <w:szCs w:val="28"/>
          <w:shd w:val="clear" w:color="auto" w:fill="FFFFFF"/>
          <w:lang w:val="uk-UA"/>
        </w:rPr>
        <w:t>комплаєнс</w:t>
      </w:r>
      <w:proofErr w:type="spellEnd"/>
      <w:r w:rsidRPr="009B5439">
        <w:rPr>
          <w:sz w:val="28"/>
          <w:szCs w:val="28"/>
          <w:shd w:val="clear" w:color="auto" w:fill="FFFFFF"/>
          <w:lang w:val="uk-UA"/>
        </w:rPr>
        <w:t xml:space="preserve"> контролю</w:t>
      </w:r>
      <w:bookmarkStart w:id="0" w:name="_GoBack"/>
      <w:bookmarkEnd w:id="0"/>
      <w:r w:rsidR="00585539" w:rsidRPr="00A2506A">
        <w:rPr>
          <w:sz w:val="28"/>
          <w:szCs w:val="28"/>
          <w:shd w:val="clear" w:color="auto" w:fill="FFFFFF"/>
          <w:lang w:val="uk-UA"/>
        </w:rPr>
        <w:t xml:space="preserve">, після державної реєстрації рішення Міністерством юстиції України, забезпечити оприлюднення цього рішення на офіційному </w:t>
      </w:r>
      <w:proofErr w:type="spellStart"/>
      <w:r w:rsidR="00585539" w:rsidRPr="00A2506A">
        <w:rPr>
          <w:sz w:val="28"/>
          <w:szCs w:val="28"/>
          <w:shd w:val="clear" w:color="auto" w:fill="FFFFFF"/>
          <w:lang w:val="uk-UA"/>
        </w:rPr>
        <w:t>вебсайті</w:t>
      </w:r>
      <w:proofErr w:type="spellEnd"/>
      <w:r w:rsidR="00585539" w:rsidRPr="00A2506A">
        <w:rPr>
          <w:sz w:val="28"/>
          <w:szCs w:val="28"/>
          <w:shd w:val="clear" w:color="auto" w:fill="FFFFFF"/>
          <w:lang w:val="uk-UA"/>
        </w:rPr>
        <w:t xml:space="preserve"> Національної комісії з цінних паперів та фондового ринку.</w:t>
      </w:r>
    </w:p>
    <w:p w:rsidR="00585539" w:rsidRPr="00A2506A" w:rsidRDefault="00585539" w:rsidP="00A2506A">
      <w:pPr>
        <w:pStyle w:val="a7"/>
        <w:ind w:left="0" w:firstLine="567"/>
        <w:rPr>
          <w:sz w:val="28"/>
          <w:szCs w:val="28"/>
          <w:lang w:val="uk-UA"/>
        </w:rPr>
      </w:pPr>
    </w:p>
    <w:p w:rsidR="00585539" w:rsidRPr="00A2506A" w:rsidRDefault="00585539" w:rsidP="00A2506A">
      <w:pPr>
        <w:pStyle w:val="a7"/>
        <w:numPr>
          <w:ilvl w:val="0"/>
          <w:numId w:val="3"/>
        </w:numPr>
        <w:tabs>
          <w:tab w:val="left" w:pos="851"/>
          <w:tab w:val="left" w:pos="993"/>
        </w:tabs>
        <w:ind w:left="0" w:firstLine="567"/>
        <w:jc w:val="both"/>
        <w:rPr>
          <w:sz w:val="28"/>
          <w:szCs w:val="28"/>
          <w:lang w:val="uk-UA"/>
        </w:rPr>
      </w:pPr>
      <w:r w:rsidRPr="00A2506A">
        <w:rPr>
          <w:sz w:val="28"/>
          <w:szCs w:val="28"/>
          <w:lang w:val="uk-UA"/>
        </w:rPr>
        <w:t xml:space="preserve">Це рішення набирає чинності з дня його офіційного опублікування та вводиться в дію з 01 </w:t>
      </w:r>
      <w:r w:rsidR="009C3A3F" w:rsidRPr="00A2506A">
        <w:rPr>
          <w:sz w:val="28"/>
          <w:szCs w:val="28"/>
          <w:lang w:val="uk-UA"/>
        </w:rPr>
        <w:t>листопада</w:t>
      </w:r>
      <w:r w:rsidRPr="00A2506A">
        <w:rPr>
          <w:sz w:val="28"/>
          <w:szCs w:val="28"/>
          <w:lang w:val="uk-UA"/>
        </w:rPr>
        <w:t xml:space="preserve"> 202</w:t>
      </w:r>
      <w:r w:rsidR="009C3A3F" w:rsidRPr="00A2506A">
        <w:rPr>
          <w:sz w:val="28"/>
          <w:szCs w:val="28"/>
          <w:lang w:val="uk-UA"/>
        </w:rPr>
        <w:t>5</w:t>
      </w:r>
      <w:r w:rsidRPr="00A2506A">
        <w:rPr>
          <w:sz w:val="28"/>
          <w:szCs w:val="28"/>
          <w:lang w:val="uk-UA"/>
        </w:rPr>
        <w:t xml:space="preserve"> року.</w:t>
      </w:r>
    </w:p>
    <w:p w:rsidR="00585539" w:rsidRPr="00A2506A" w:rsidRDefault="00585539" w:rsidP="00A2506A">
      <w:pPr>
        <w:pStyle w:val="a7"/>
        <w:ind w:left="0" w:firstLine="567"/>
        <w:rPr>
          <w:sz w:val="28"/>
          <w:szCs w:val="28"/>
          <w:lang w:val="uk-UA"/>
        </w:rPr>
      </w:pPr>
    </w:p>
    <w:p w:rsidR="00585539" w:rsidRPr="00A2506A" w:rsidRDefault="00585539" w:rsidP="00A2506A">
      <w:pPr>
        <w:pStyle w:val="a7"/>
        <w:numPr>
          <w:ilvl w:val="0"/>
          <w:numId w:val="3"/>
        </w:numPr>
        <w:tabs>
          <w:tab w:val="left" w:pos="851"/>
          <w:tab w:val="left" w:pos="993"/>
        </w:tabs>
        <w:ind w:left="0" w:firstLine="567"/>
        <w:jc w:val="both"/>
        <w:rPr>
          <w:sz w:val="28"/>
          <w:szCs w:val="28"/>
          <w:lang w:val="uk-UA"/>
        </w:rPr>
      </w:pPr>
      <w:r w:rsidRPr="00A2506A">
        <w:rPr>
          <w:sz w:val="28"/>
          <w:szCs w:val="28"/>
          <w:lang w:val="uk-UA"/>
        </w:rPr>
        <w:t>Контроль за виконанням цього рішення покласти на члена Національної комісії з цінних паперів та фондового ринку</w:t>
      </w:r>
      <w:r w:rsidRPr="00A2506A">
        <w:rPr>
          <w:sz w:val="28"/>
          <w:szCs w:val="28"/>
          <w:shd w:val="clear" w:color="auto" w:fill="FFFFFF"/>
          <w:lang w:val="uk-UA"/>
        </w:rPr>
        <w:t xml:space="preserve"> </w:t>
      </w:r>
      <w:r w:rsidR="009C3A3F" w:rsidRPr="00A2506A">
        <w:rPr>
          <w:sz w:val="28"/>
          <w:szCs w:val="28"/>
          <w:lang w:val="uk-UA"/>
        </w:rPr>
        <w:t>Шаповала Ю</w:t>
      </w:r>
      <w:r w:rsidR="009C3A3F" w:rsidRPr="00A2506A">
        <w:rPr>
          <w:sz w:val="28"/>
          <w:szCs w:val="28"/>
          <w:shd w:val="clear" w:color="auto" w:fill="FFFFFF"/>
          <w:lang w:val="uk-UA"/>
        </w:rPr>
        <w:t>.</w:t>
      </w:r>
    </w:p>
    <w:p w:rsidR="00585539" w:rsidRPr="00A2506A" w:rsidRDefault="00585539" w:rsidP="00585539">
      <w:pPr>
        <w:tabs>
          <w:tab w:val="left" w:pos="993"/>
        </w:tabs>
        <w:spacing w:before="120" w:after="120"/>
        <w:ind w:firstLine="567"/>
        <w:rPr>
          <w:sz w:val="28"/>
          <w:szCs w:val="28"/>
          <w:lang w:val="uk-UA"/>
        </w:rPr>
      </w:pPr>
    </w:p>
    <w:p w:rsidR="00585539" w:rsidRPr="00A2506A" w:rsidRDefault="00585539" w:rsidP="00585539">
      <w:pPr>
        <w:rPr>
          <w:b/>
          <w:sz w:val="28"/>
          <w:szCs w:val="28"/>
          <w:lang w:val="uk-UA"/>
        </w:rPr>
      </w:pPr>
      <w:r w:rsidRPr="00A2506A">
        <w:rPr>
          <w:b/>
          <w:sz w:val="28"/>
          <w:szCs w:val="28"/>
          <w:lang w:val="uk-UA"/>
        </w:rPr>
        <w:t>Голова Комісії</w:t>
      </w:r>
      <w:r w:rsidRPr="00A2506A">
        <w:rPr>
          <w:b/>
          <w:sz w:val="28"/>
          <w:szCs w:val="28"/>
          <w:lang w:val="uk-UA"/>
        </w:rPr>
        <w:tab/>
        <w:t xml:space="preserve">                                                             </w:t>
      </w:r>
      <w:r w:rsidRPr="00A2506A">
        <w:rPr>
          <w:b/>
          <w:sz w:val="28"/>
          <w:szCs w:val="28"/>
          <w:shd w:val="clear" w:color="auto" w:fill="FFFFFF"/>
          <w:lang w:val="uk-UA"/>
        </w:rPr>
        <w:t>Руслан МАГОМЕДОВ</w:t>
      </w:r>
    </w:p>
    <w:p w:rsidR="00585539" w:rsidRDefault="00585539" w:rsidP="00585539">
      <w:pPr>
        <w:ind w:firstLine="709"/>
        <w:rPr>
          <w:sz w:val="28"/>
          <w:szCs w:val="28"/>
          <w:lang w:val="uk-UA"/>
        </w:rPr>
      </w:pPr>
    </w:p>
    <w:p w:rsidR="00585539" w:rsidRDefault="00585539" w:rsidP="00585539">
      <w:pPr>
        <w:ind w:firstLine="709"/>
        <w:rPr>
          <w:sz w:val="28"/>
          <w:szCs w:val="28"/>
          <w:lang w:val="uk-UA"/>
        </w:rPr>
      </w:pPr>
    </w:p>
    <w:p w:rsidR="00585539" w:rsidRPr="00AC3250" w:rsidRDefault="00585539" w:rsidP="00585539">
      <w:pPr>
        <w:ind w:firstLine="709"/>
        <w:rPr>
          <w:sz w:val="28"/>
          <w:szCs w:val="28"/>
          <w:lang w:val="uk-UA"/>
        </w:rPr>
      </w:pPr>
    </w:p>
    <w:p w:rsidR="00585539" w:rsidRPr="00AC3250" w:rsidRDefault="00585539" w:rsidP="00585539">
      <w:pPr>
        <w:tabs>
          <w:tab w:val="left" w:pos="1134"/>
        </w:tabs>
        <w:ind w:left="5954" w:firstLine="425"/>
        <w:jc w:val="both"/>
        <w:rPr>
          <w:lang w:val="uk-UA"/>
        </w:rPr>
      </w:pPr>
      <w:r w:rsidRPr="00AC3250">
        <w:rPr>
          <w:lang w:val="uk-UA"/>
        </w:rPr>
        <w:t xml:space="preserve">Протокол засідання Комісії </w:t>
      </w:r>
    </w:p>
    <w:p w:rsidR="00585539" w:rsidRPr="00AC3250" w:rsidRDefault="00585539" w:rsidP="00585539">
      <w:pPr>
        <w:ind w:left="5954" w:firstLine="425"/>
        <w:jc w:val="both"/>
        <w:rPr>
          <w:lang w:val="uk-UA"/>
        </w:rPr>
      </w:pPr>
      <w:r w:rsidRPr="00AC3250">
        <w:rPr>
          <w:lang w:val="uk-UA"/>
        </w:rPr>
        <w:t>від __________ 2025 року № __</w:t>
      </w:r>
    </w:p>
    <w:sectPr w:rsidR="00585539" w:rsidRPr="00AC3250" w:rsidSect="00D54F99">
      <w:pgSz w:w="11906" w:h="16838"/>
      <w:pgMar w:top="1134" w:right="567" w:bottom="226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BD4" w:rsidRDefault="00502FFB">
      <w:r>
        <w:separator/>
      </w:r>
    </w:p>
  </w:endnote>
  <w:endnote w:type="continuationSeparator" w:id="0">
    <w:p w:rsidR="00590BD4" w:rsidRDefault="00502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BD4" w:rsidRDefault="00502FFB">
      <w:r>
        <w:separator/>
      </w:r>
    </w:p>
  </w:footnote>
  <w:footnote w:type="continuationSeparator" w:id="0">
    <w:p w:rsidR="00590BD4" w:rsidRDefault="00502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948133"/>
      <w:docPartObj>
        <w:docPartGallery w:val="Page Numbers (Top of Page)"/>
        <w:docPartUnique/>
      </w:docPartObj>
    </w:sdtPr>
    <w:sdtEndPr/>
    <w:sdtContent>
      <w:p w:rsidR="00BA698E" w:rsidRDefault="009C3A3F">
        <w:pPr>
          <w:pStyle w:val="a5"/>
          <w:jc w:val="center"/>
        </w:pPr>
        <w:r>
          <w:fldChar w:fldCharType="begin"/>
        </w:r>
        <w:r>
          <w:instrText>PAGE   \* MERGEFORMAT</w:instrText>
        </w:r>
        <w:r>
          <w:fldChar w:fldCharType="separate"/>
        </w:r>
        <w:r w:rsidR="007A6653" w:rsidRPr="007A6653">
          <w:rPr>
            <w:noProof/>
            <w:lang w:val="uk-UA"/>
          </w:rPr>
          <w:t>3</w:t>
        </w:r>
        <w:r>
          <w:fldChar w:fldCharType="end"/>
        </w:r>
      </w:p>
    </w:sdtContent>
  </w:sdt>
  <w:p w:rsidR="00BA698E" w:rsidRDefault="007A665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174A5"/>
    <w:multiLevelType w:val="hybridMultilevel"/>
    <w:tmpl w:val="82D251E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15:restartNumberingAfterBreak="0">
    <w:nsid w:val="345F6C3E"/>
    <w:multiLevelType w:val="hybridMultilevel"/>
    <w:tmpl w:val="82D251E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15:restartNumberingAfterBreak="0">
    <w:nsid w:val="69967F20"/>
    <w:multiLevelType w:val="multilevel"/>
    <w:tmpl w:val="9D1A8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539"/>
    <w:rsid w:val="00143595"/>
    <w:rsid w:val="0018547A"/>
    <w:rsid w:val="00502FFB"/>
    <w:rsid w:val="00585539"/>
    <w:rsid w:val="00590BD4"/>
    <w:rsid w:val="006039B1"/>
    <w:rsid w:val="007A6653"/>
    <w:rsid w:val="007E4B6F"/>
    <w:rsid w:val="009C3A3F"/>
    <w:rsid w:val="00A2506A"/>
    <w:rsid w:val="00A65A0F"/>
    <w:rsid w:val="00AF08B2"/>
    <w:rsid w:val="00EF4F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6659A-2165-4A29-92DE-34B8FCFD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539"/>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nhideWhenUsed/>
    <w:qFormat/>
    <w:rsid w:val="0058553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85539"/>
    <w:rPr>
      <w:rFonts w:ascii="Arial" w:eastAsia="Times New Roman" w:hAnsi="Arial" w:cs="Arial"/>
      <w:b/>
      <w:bCs/>
      <w:i/>
      <w:iCs/>
      <w:sz w:val="28"/>
      <w:szCs w:val="28"/>
      <w:lang w:val="ru-RU" w:eastAsia="ru-RU"/>
    </w:rPr>
  </w:style>
  <w:style w:type="paragraph" w:styleId="a3">
    <w:name w:val="Body Text"/>
    <w:basedOn w:val="a"/>
    <w:link w:val="a4"/>
    <w:rsid w:val="00585539"/>
    <w:pPr>
      <w:suppressAutoHyphens/>
      <w:spacing w:after="120"/>
    </w:pPr>
    <w:rPr>
      <w:sz w:val="20"/>
      <w:szCs w:val="20"/>
      <w:lang w:eastAsia="ar-SA"/>
    </w:rPr>
  </w:style>
  <w:style w:type="character" w:customStyle="1" w:styleId="a4">
    <w:name w:val="Основний текст Знак"/>
    <w:basedOn w:val="a0"/>
    <w:link w:val="a3"/>
    <w:rsid w:val="00585539"/>
    <w:rPr>
      <w:rFonts w:ascii="Times New Roman" w:eastAsia="Times New Roman" w:hAnsi="Times New Roman" w:cs="Times New Roman"/>
      <w:sz w:val="20"/>
      <w:szCs w:val="20"/>
      <w:lang w:val="ru-RU" w:eastAsia="ar-SA"/>
    </w:rPr>
  </w:style>
  <w:style w:type="paragraph" w:styleId="a5">
    <w:name w:val="header"/>
    <w:basedOn w:val="a"/>
    <w:link w:val="a6"/>
    <w:uiPriority w:val="99"/>
    <w:unhideWhenUsed/>
    <w:rsid w:val="00585539"/>
    <w:pPr>
      <w:tabs>
        <w:tab w:val="center" w:pos="4677"/>
        <w:tab w:val="right" w:pos="9355"/>
      </w:tabs>
    </w:pPr>
  </w:style>
  <w:style w:type="character" w:customStyle="1" w:styleId="a6">
    <w:name w:val="Верхній колонтитул Знак"/>
    <w:basedOn w:val="a0"/>
    <w:link w:val="a5"/>
    <w:uiPriority w:val="99"/>
    <w:rsid w:val="00585539"/>
    <w:rPr>
      <w:rFonts w:ascii="Times New Roman" w:eastAsia="Times New Roman" w:hAnsi="Times New Roman" w:cs="Times New Roman"/>
      <w:sz w:val="24"/>
      <w:szCs w:val="24"/>
      <w:lang w:val="ru-RU" w:eastAsia="ru-RU"/>
    </w:rPr>
  </w:style>
  <w:style w:type="character" w:customStyle="1" w:styleId="HTML1">
    <w:name w:val="Друкарська машинка HTML1"/>
    <w:rsid w:val="00585539"/>
    <w:rPr>
      <w:sz w:val="20"/>
    </w:rPr>
  </w:style>
  <w:style w:type="paragraph" w:customStyle="1" w:styleId="HTML10">
    <w:name w:val="Стандартний HTML1"/>
    <w:basedOn w:val="a"/>
    <w:rsid w:val="00585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sz w:val="20"/>
      <w:szCs w:val="20"/>
    </w:rPr>
  </w:style>
  <w:style w:type="paragraph" w:customStyle="1" w:styleId="1">
    <w:name w:val="Звичайний (веб)1"/>
    <w:basedOn w:val="a"/>
    <w:rsid w:val="00585539"/>
    <w:pPr>
      <w:overflowPunct w:val="0"/>
      <w:spacing w:before="280" w:after="280" w:line="276" w:lineRule="auto"/>
    </w:pPr>
    <w:rPr>
      <w:rFonts w:ascii="Liberation Serif" w:hAnsi="Liberation Serif" w:cs="Arial"/>
      <w:kern w:val="2"/>
      <w:lang w:eastAsia="zh-CN" w:bidi="hi-IN"/>
    </w:rPr>
  </w:style>
  <w:style w:type="character" w:customStyle="1" w:styleId="rvts9">
    <w:name w:val="rvts9"/>
    <w:basedOn w:val="a0"/>
    <w:rsid w:val="00585539"/>
  </w:style>
  <w:style w:type="paragraph" w:styleId="a7">
    <w:name w:val="List Paragraph"/>
    <w:basedOn w:val="a"/>
    <w:uiPriority w:val="34"/>
    <w:qFormat/>
    <w:rsid w:val="00585539"/>
    <w:pPr>
      <w:ind w:left="720"/>
      <w:contextualSpacing/>
    </w:pPr>
  </w:style>
  <w:style w:type="paragraph" w:customStyle="1" w:styleId="rvps2">
    <w:name w:val="rvps2"/>
    <w:basedOn w:val="a"/>
    <w:rsid w:val="00585539"/>
    <w:pPr>
      <w:spacing w:before="100" w:beforeAutospacing="1" w:after="100" w:afterAutospacing="1"/>
    </w:pPr>
    <w:rPr>
      <w:lang w:val="uk-UA" w:eastAsia="uk-UA"/>
    </w:rPr>
  </w:style>
  <w:style w:type="paragraph" w:customStyle="1" w:styleId="rvps7">
    <w:name w:val="rvps7"/>
    <w:basedOn w:val="a"/>
    <w:rsid w:val="00585539"/>
    <w:pPr>
      <w:spacing w:before="100" w:beforeAutospacing="1" w:after="100" w:afterAutospacing="1"/>
    </w:pPr>
    <w:rPr>
      <w:lang w:val="uk-UA" w:eastAsia="uk-UA"/>
    </w:rPr>
  </w:style>
  <w:style w:type="character" w:customStyle="1" w:styleId="rvts82">
    <w:name w:val="rvts82"/>
    <w:basedOn w:val="a0"/>
    <w:rsid w:val="00585539"/>
  </w:style>
  <w:style w:type="character" w:customStyle="1" w:styleId="a8">
    <w:name w:val="Текст у виносці Знак"/>
    <w:basedOn w:val="a0"/>
    <w:link w:val="a9"/>
    <w:uiPriority w:val="99"/>
    <w:semiHidden/>
    <w:rsid w:val="00585539"/>
    <w:rPr>
      <w:rFonts w:ascii="Segoe UI" w:hAnsi="Segoe UI" w:cs="Segoe UI"/>
      <w:sz w:val="18"/>
      <w:szCs w:val="18"/>
    </w:rPr>
  </w:style>
  <w:style w:type="paragraph" w:styleId="a9">
    <w:name w:val="Balloon Text"/>
    <w:basedOn w:val="a"/>
    <w:link w:val="a8"/>
    <w:uiPriority w:val="99"/>
    <w:semiHidden/>
    <w:unhideWhenUsed/>
    <w:rsid w:val="00585539"/>
    <w:pPr>
      <w:suppressAutoHyphens/>
    </w:pPr>
    <w:rPr>
      <w:rFonts w:ascii="Segoe UI" w:eastAsiaTheme="minorHAnsi" w:hAnsi="Segoe UI" w:cs="Segoe UI"/>
      <w:sz w:val="18"/>
      <w:szCs w:val="18"/>
      <w:lang w:val="uk-UA" w:eastAsia="en-US"/>
    </w:rPr>
  </w:style>
  <w:style w:type="character" w:customStyle="1" w:styleId="10">
    <w:name w:val="Текст у виносці Знак1"/>
    <w:basedOn w:val="a0"/>
    <w:uiPriority w:val="99"/>
    <w:semiHidden/>
    <w:rsid w:val="0058553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5350</Words>
  <Characters>3051</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NSSMC</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2025-09-23T12:24:00Z</dcterms:created>
  <dcterms:modified xsi:type="dcterms:W3CDTF">2025-09-26T06:34:00Z</dcterms:modified>
</cp:coreProperties>
</file>