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1C8FF2" w14:textId="77777777" w:rsidR="008E7D01" w:rsidRPr="00993B10" w:rsidRDefault="00813A5E" w:rsidP="00455D01">
      <w:pPr>
        <w:jc w:val="center"/>
        <w:rPr>
          <w:rFonts w:ascii="Times New Roman" w:hAnsi="Times New Roman" w:cs="Times New Roman"/>
          <w:b/>
          <w:sz w:val="28"/>
          <w:szCs w:val="28"/>
        </w:rPr>
      </w:pPr>
      <w:r w:rsidRPr="00993B10">
        <w:rPr>
          <w:rFonts w:ascii="Times New Roman" w:hAnsi="Times New Roman" w:cs="Times New Roman"/>
          <w:b/>
          <w:sz w:val="28"/>
          <w:szCs w:val="28"/>
        </w:rPr>
        <w:t>Порівняльна</w:t>
      </w:r>
      <w:r w:rsidR="008E7D01" w:rsidRPr="00993B10">
        <w:rPr>
          <w:rFonts w:ascii="Times New Roman" w:hAnsi="Times New Roman" w:cs="Times New Roman"/>
          <w:b/>
          <w:sz w:val="28"/>
          <w:szCs w:val="28"/>
        </w:rPr>
        <w:t xml:space="preserve"> таблиця</w:t>
      </w:r>
    </w:p>
    <w:p w14:paraId="322A77B2" w14:textId="77777777" w:rsidR="00174FBA" w:rsidRPr="00993B10" w:rsidRDefault="00813A5E" w:rsidP="00174FBA">
      <w:pPr>
        <w:spacing w:after="0"/>
        <w:jc w:val="center"/>
        <w:rPr>
          <w:rFonts w:ascii="Times New Roman" w:hAnsi="Times New Roman" w:cs="Times New Roman"/>
          <w:b/>
          <w:sz w:val="28"/>
          <w:szCs w:val="28"/>
        </w:rPr>
      </w:pPr>
      <w:r w:rsidRPr="00993B10">
        <w:rPr>
          <w:rFonts w:ascii="Times New Roman" w:hAnsi="Times New Roman" w:cs="Times New Roman"/>
          <w:b/>
          <w:sz w:val="28"/>
          <w:szCs w:val="28"/>
        </w:rPr>
        <w:t xml:space="preserve">до проекту рішення Національної комісії з цінних паперів та фондового ринку </w:t>
      </w:r>
    </w:p>
    <w:p w14:paraId="05E018D7" w14:textId="02E54F93" w:rsidR="00C46CC6" w:rsidRPr="00993B10" w:rsidRDefault="00C46CC6" w:rsidP="00174FBA">
      <w:pPr>
        <w:spacing w:after="0"/>
        <w:jc w:val="center"/>
        <w:rPr>
          <w:rFonts w:ascii="Times New Roman" w:hAnsi="Times New Roman" w:cs="Times New Roman"/>
          <w:b/>
          <w:sz w:val="28"/>
          <w:szCs w:val="28"/>
        </w:rPr>
      </w:pPr>
      <w:r w:rsidRPr="00993B10">
        <w:rPr>
          <w:rFonts w:ascii="Times New Roman" w:hAnsi="Times New Roman" w:cs="Times New Roman"/>
          <w:b/>
          <w:sz w:val="28"/>
          <w:szCs w:val="28"/>
        </w:rPr>
        <w:t>«</w:t>
      </w:r>
      <w:r w:rsidR="008E7D01" w:rsidRPr="00993B10">
        <w:rPr>
          <w:rFonts w:ascii="Times New Roman" w:hAnsi="Times New Roman" w:cs="Times New Roman"/>
          <w:b/>
          <w:sz w:val="28"/>
          <w:szCs w:val="28"/>
        </w:rPr>
        <w:t xml:space="preserve">Про внесення змін до </w:t>
      </w:r>
      <w:r w:rsidR="00174FBA" w:rsidRPr="00993B10">
        <w:rPr>
          <w:rFonts w:ascii="Times New Roman" w:hAnsi="Times New Roman" w:cs="Times New Roman"/>
          <w:b/>
          <w:sz w:val="28"/>
          <w:szCs w:val="28"/>
        </w:rPr>
        <w:t>Порядку ведення облікової системи часток товариств з обмеженою відповідальністю та товариств з додатковою відповідальністю»</w:t>
      </w:r>
    </w:p>
    <w:p w14:paraId="1A88CDBF" w14:textId="77777777" w:rsidR="00E45C69" w:rsidRPr="00993B10" w:rsidRDefault="00E45C69" w:rsidP="00813A5E">
      <w:pPr>
        <w:spacing w:after="0"/>
        <w:rPr>
          <w:rFonts w:ascii="Times New Roman" w:hAnsi="Times New Roman" w:cs="Times New Roman"/>
          <w:b/>
          <w:sz w:val="28"/>
          <w:szCs w:val="28"/>
        </w:rPr>
      </w:pPr>
    </w:p>
    <w:tbl>
      <w:tblPr>
        <w:tblStyle w:val="a3"/>
        <w:tblW w:w="5000" w:type="pct"/>
        <w:tblLook w:val="04A0" w:firstRow="1" w:lastRow="0" w:firstColumn="1" w:lastColumn="0" w:noHBand="0" w:noVBand="1"/>
      </w:tblPr>
      <w:tblGrid>
        <w:gridCol w:w="7564"/>
        <w:gridCol w:w="7564"/>
      </w:tblGrid>
      <w:tr w:rsidR="00993B10" w:rsidRPr="00993B10" w14:paraId="076AD528" w14:textId="1CCC2B86" w:rsidTr="0082760C">
        <w:tc>
          <w:tcPr>
            <w:tcW w:w="2500" w:type="pct"/>
          </w:tcPr>
          <w:p w14:paraId="4493AF7C" w14:textId="40A0A884" w:rsidR="0082760C" w:rsidRPr="00993B10" w:rsidRDefault="008E7D01" w:rsidP="00455D01">
            <w:pPr>
              <w:jc w:val="center"/>
              <w:rPr>
                <w:rFonts w:ascii="Times New Roman" w:hAnsi="Times New Roman" w:cs="Times New Roman"/>
                <w:b/>
                <w:sz w:val="28"/>
                <w:szCs w:val="28"/>
              </w:rPr>
            </w:pPr>
            <w:r w:rsidRPr="00993B10">
              <w:rPr>
                <w:rFonts w:ascii="Times New Roman" w:hAnsi="Times New Roman" w:cs="Times New Roman"/>
                <w:b/>
                <w:sz w:val="28"/>
                <w:szCs w:val="28"/>
              </w:rPr>
              <w:t>Зміст положення (норми) чинного законодавства</w:t>
            </w:r>
          </w:p>
          <w:p w14:paraId="0D49CE31" w14:textId="3F1931AE" w:rsidR="0082760C" w:rsidRPr="00993B10" w:rsidRDefault="0082760C" w:rsidP="00455D01">
            <w:pPr>
              <w:ind w:firstLine="567"/>
              <w:jc w:val="center"/>
              <w:rPr>
                <w:rFonts w:ascii="Times New Roman" w:hAnsi="Times New Roman" w:cs="Times New Roman"/>
                <w:b/>
                <w:sz w:val="28"/>
                <w:szCs w:val="28"/>
              </w:rPr>
            </w:pPr>
          </w:p>
        </w:tc>
        <w:tc>
          <w:tcPr>
            <w:tcW w:w="2500" w:type="pct"/>
          </w:tcPr>
          <w:p w14:paraId="6377D673" w14:textId="3F299C95" w:rsidR="0082760C" w:rsidRPr="00993B10" w:rsidRDefault="008E7D01" w:rsidP="00455D01">
            <w:pPr>
              <w:jc w:val="center"/>
              <w:rPr>
                <w:rFonts w:ascii="Times New Roman" w:hAnsi="Times New Roman" w:cs="Times New Roman"/>
                <w:b/>
                <w:sz w:val="28"/>
                <w:szCs w:val="28"/>
              </w:rPr>
            </w:pPr>
            <w:r w:rsidRPr="00993B10">
              <w:rPr>
                <w:rFonts w:ascii="Times New Roman" w:hAnsi="Times New Roman" w:cs="Times New Roman"/>
                <w:b/>
                <w:sz w:val="28"/>
                <w:szCs w:val="28"/>
              </w:rPr>
              <w:t xml:space="preserve">Зміст положення (норми) </w:t>
            </w:r>
            <w:proofErr w:type="spellStart"/>
            <w:r w:rsidRPr="00993B10">
              <w:rPr>
                <w:rFonts w:ascii="Times New Roman" w:hAnsi="Times New Roman" w:cs="Times New Roman"/>
                <w:b/>
                <w:sz w:val="28"/>
                <w:szCs w:val="28"/>
              </w:rPr>
              <w:t>проєкту</w:t>
            </w:r>
            <w:proofErr w:type="spellEnd"/>
            <w:r w:rsidRPr="00993B10">
              <w:rPr>
                <w:rFonts w:ascii="Times New Roman" w:hAnsi="Times New Roman" w:cs="Times New Roman"/>
                <w:b/>
                <w:sz w:val="28"/>
                <w:szCs w:val="28"/>
              </w:rPr>
              <w:t xml:space="preserve"> </w:t>
            </w:r>
            <w:proofErr w:type="spellStart"/>
            <w:r w:rsidRPr="00993B10">
              <w:rPr>
                <w:rFonts w:ascii="Times New Roman" w:hAnsi="Times New Roman" w:cs="Times New Roman"/>
                <w:b/>
                <w:sz w:val="28"/>
                <w:szCs w:val="28"/>
              </w:rPr>
              <w:t>акт</w:t>
            </w:r>
            <w:r w:rsidR="006537A8" w:rsidRPr="00993B10">
              <w:rPr>
                <w:rFonts w:ascii="Times New Roman" w:hAnsi="Times New Roman" w:cs="Times New Roman"/>
                <w:b/>
                <w:sz w:val="28"/>
                <w:szCs w:val="28"/>
              </w:rPr>
              <w:t>а</w:t>
            </w:r>
            <w:proofErr w:type="spellEnd"/>
          </w:p>
        </w:tc>
      </w:tr>
      <w:tr w:rsidR="00993B10" w:rsidRPr="00993B10" w14:paraId="4AB0734A" w14:textId="11BD7D57" w:rsidTr="00455D01">
        <w:tc>
          <w:tcPr>
            <w:tcW w:w="5000" w:type="pct"/>
            <w:gridSpan w:val="2"/>
          </w:tcPr>
          <w:p w14:paraId="029C8BEB" w14:textId="1A4FDDA5" w:rsidR="00455D01" w:rsidRPr="00993B10" w:rsidRDefault="00455D01" w:rsidP="00455D01">
            <w:pPr>
              <w:jc w:val="center"/>
              <w:rPr>
                <w:rFonts w:ascii="Times New Roman" w:hAnsi="Times New Roman" w:cs="Times New Roman"/>
                <w:b/>
                <w:sz w:val="24"/>
                <w:szCs w:val="24"/>
              </w:rPr>
            </w:pPr>
            <w:r w:rsidRPr="00993B10">
              <w:rPr>
                <w:rFonts w:ascii="Times New Roman" w:hAnsi="Times New Roman" w:cs="Times New Roman"/>
                <w:b/>
                <w:sz w:val="24"/>
                <w:szCs w:val="24"/>
              </w:rPr>
              <w:t>Порядок ведення облікової системи часток товариств з обмеженою відповідальністю та товариств з додатковою відповідальністю</w:t>
            </w:r>
          </w:p>
        </w:tc>
      </w:tr>
      <w:tr w:rsidR="00993B10" w:rsidRPr="00993B10" w14:paraId="449BE455" w14:textId="77777777" w:rsidTr="00455D01">
        <w:tc>
          <w:tcPr>
            <w:tcW w:w="5000" w:type="pct"/>
            <w:gridSpan w:val="2"/>
          </w:tcPr>
          <w:p w14:paraId="62E34A07" w14:textId="2DB17362" w:rsidR="00C83AAE" w:rsidRPr="00993B10" w:rsidRDefault="00C83AAE" w:rsidP="00455D01">
            <w:pPr>
              <w:jc w:val="center"/>
              <w:rPr>
                <w:rStyle w:val="spanrvts15"/>
                <w:rFonts w:eastAsiaTheme="minorHAnsi"/>
                <w:b w:val="0"/>
                <w:sz w:val="24"/>
                <w:szCs w:val="24"/>
                <w:lang w:val="uk" w:eastAsia="uk"/>
              </w:rPr>
            </w:pPr>
            <w:r w:rsidRPr="00993B10">
              <w:rPr>
                <w:rStyle w:val="spanrvts15"/>
                <w:rFonts w:eastAsiaTheme="minorHAnsi"/>
                <w:sz w:val="24"/>
                <w:szCs w:val="24"/>
                <w:lang w:val="uk" w:eastAsia="uk"/>
              </w:rPr>
              <w:t>II. Порядок переведення обліку часток товариств до облікової системи часток</w:t>
            </w:r>
          </w:p>
        </w:tc>
      </w:tr>
      <w:tr w:rsidR="00993B10" w:rsidRPr="00993B10" w14:paraId="570DE44A" w14:textId="77777777" w:rsidTr="00C83AAE">
        <w:tc>
          <w:tcPr>
            <w:tcW w:w="2500" w:type="pct"/>
          </w:tcPr>
          <w:p w14:paraId="58FC0786" w14:textId="04FFC017" w:rsidR="00C83AAE" w:rsidRPr="00993B10" w:rsidRDefault="00C83AAE" w:rsidP="00C83AAE">
            <w:pPr>
              <w:ind w:firstLine="589"/>
              <w:jc w:val="both"/>
              <w:rPr>
                <w:rFonts w:ascii="Times New Roman" w:hAnsi="Times New Roman" w:cs="Times New Roman"/>
                <w:sz w:val="24"/>
                <w:szCs w:val="24"/>
              </w:rPr>
            </w:pPr>
            <w:r w:rsidRPr="00993B10">
              <w:rPr>
                <w:rFonts w:ascii="Times New Roman" w:hAnsi="Times New Roman" w:cs="Times New Roman"/>
                <w:sz w:val="24"/>
                <w:szCs w:val="24"/>
              </w:rPr>
              <w:t>14. Особою, уповноваженою на ведення та внесення змін до облікової системи часток, є Центральний депозитарій. Ведення та внесення змін до облікової системи часток здійснюється виключно в електронному вигляді в порядку, передбаченому цим Порядком та внутрішніми документами Центрального депозитарію.</w:t>
            </w:r>
          </w:p>
          <w:p w14:paraId="0FDAEC2D" w14:textId="77777777" w:rsidR="00050867" w:rsidRPr="00993B10" w:rsidRDefault="00C83AAE" w:rsidP="00C83AAE">
            <w:pPr>
              <w:ind w:firstLine="589"/>
              <w:jc w:val="both"/>
              <w:rPr>
                <w:rFonts w:ascii="Times New Roman" w:hAnsi="Times New Roman" w:cs="Times New Roman"/>
                <w:sz w:val="24"/>
                <w:szCs w:val="24"/>
              </w:rPr>
            </w:pPr>
            <w:r w:rsidRPr="00993B10">
              <w:rPr>
                <w:rFonts w:ascii="Times New Roman" w:hAnsi="Times New Roman" w:cs="Times New Roman"/>
                <w:sz w:val="24"/>
                <w:szCs w:val="24"/>
              </w:rPr>
              <w:t>Факт набуття та припинення прав на частки, обмеження прав на частки, прав за частками фіксуються в обліковій системі часток.</w:t>
            </w:r>
          </w:p>
          <w:p w14:paraId="79757C97" w14:textId="62A52098" w:rsidR="00050867" w:rsidRPr="00993B10" w:rsidRDefault="00050867" w:rsidP="00C83AAE">
            <w:pPr>
              <w:ind w:firstLine="589"/>
              <w:jc w:val="both"/>
              <w:rPr>
                <w:rFonts w:ascii="Times New Roman" w:hAnsi="Times New Roman" w:cs="Times New Roman"/>
                <w:b/>
                <w:sz w:val="24"/>
                <w:szCs w:val="24"/>
              </w:rPr>
            </w:pPr>
            <w:r w:rsidRPr="00993B10">
              <w:rPr>
                <w:rFonts w:ascii="Times New Roman" w:hAnsi="Times New Roman" w:cs="Times New Roman"/>
                <w:b/>
                <w:sz w:val="24"/>
                <w:szCs w:val="24"/>
              </w:rPr>
              <w:t>Відсутній</w:t>
            </w:r>
          </w:p>
          <w:p w14:paraId="5EA84A82" w14:textId="77777777" w:rsidR="00050867" w:rsidRPr="00993B10" w:rsidRDefault="00050867" w:rsidP="00C83AAE">
            <w:pPr>
              <w:ind w:firstLine="589"/>
              <w:jc w:val="both"/>
              <w:rPr>
                <w:rFonts w:ascii="Times New Roman" w:hAnsi="Times New Roman" w:cs="Times New Roman"/>
                <w:strike/>
                <w:sz w:val="24"/>
                <w:szCs w:val="24"/>
              </w:rPr>
            </w:pPr>
          </w:p>
          <w:p w14:paraId="0BC922BC" w14:textId="4C19F11C" w:rsidR="00050867" w:rsidRPr="00993B10" w:rsidRDefault="00050867" w:rsidP="00C83AAE">
            <w:pPr>
              <w:ind w:firstLine="589"/>
              <w:jc w:val="both"/>
              <w:rPr>
                <w:rFonts w:ascii="Times New Roman" w:hAnsi="Times New Roman" w:cs="Times New Roman"/>
                <w:strike/>
                <w:sz w:val="24"/>
                <w:szCs w:val="24"/>
              </w:rPr>
            </w:pPr>
          </w:p>
          <w:p w14:paraId="1A439B56" w14:textId="77777777" w:rsidR="00050867" w:rsidRPr="00993B10" w:rsidRDefault="00050867" w:rsidP="00C83AAE">
            <w:pPr>
              <w:ind w:firstLine="589"/>
              <w:jc w:val="both"/>
              <w:rPr>
                <w:rFonts w:ascii="Times New Roman" w:hAnsi="Times New Roman" w:cs="Times New Roman"/>
                <w:strike/>
                <w:sz w:val="24"/>
                <w:szCs w:val="24"/>
              </w:rPr>
            </w:pPr>
          </w:p>
          <w:p w14:paraId="41EBD715" w14:textId="26526720" w:rsidR="00050867" w:rsidRPr="00993B10" w:rsidRDefault="00A72400" w:rsidP="00050867">
            <w:pPr>
              <w:ind w:firstLine="589"/>
              <w:jc w:val="both"/>
              <w:rPr>
                <w:rFonts w:ascii="Times New Roman" w:hAnsi="Times New Roman" w:cs="Times New Roman"/>
                <w:b/>
                <w:sz w:val="24"/>
                <w:szCs w:val="24"/>
              </w:rPr>
            </w:pPr>
            <w:r w:rsidRPr="00993B10">
              <w:rPr>
                <w:rFonts w:ascii="Times New Roman" w:hAnsi="Times New Roman" w:cs="Times New Roman"/>
                <w:sz w:val="24"/>
                <w:szCs w:val="24"/>
                <w:lang w:val="uk" w:eastAsia="uk"/>
              </w:rPr>
              <w:t>Вимоги до інформації, яка вноситься до облікової системи часток, встановлюються Центральним депозитарієм за погодженням з Комісією.</w:t>
            </w:r>
          </w:p>
        </w:tc>
        <w:tc>
          <w:tcPr>
            <w:tcW w:w="2500" w:type="pct"/>
          </w:tcPr>
          <w:p w14:paraId="60AEDA62" w14:textId="77777777" w:rsidR="00C83AAE" w:rsidRPr="00993B10" w:rsidRDefault="00C83AAE" w:rsidP="00C83AAE">
            <w:pPr>
              <w:pStyle w:val="rvps2"/>
              <w:spacing w:before="0" w:beforeAutospacing="0" w:after="0" w:afterAutospacing="0"/>
              <w:ind w:firstLine="543"/>
              <w:jc w:val="both"/>
              <w:rPr>
                <w:lang w:val="uk" w:eastAsia="uk"/>
              </w:rPr>
            </w:pPr>
            <w:r w:rsidRPr="00993B10">
              <w:rPr>
                <w:lang w:val="uk" w:eastAsia="uk"/>
              </w:rPr>
              <w:t>14. Особою, уповноваженою на ведення та внесення змін до облікової системи часток, є Центральний депозитарій. Ведення та внесення змін до облікової системи часток здійснюється виключно в електронному вигляді в порядку, передбаченому цим Порядком та внутрішніми документами Центрального депозитарію.</w:t>
            </w:r>
          </w:p>
          <w:p w14:paraId="2EFCDDE9" w14:textId="77777777" w:rsidR="00C83AAE" w:rsidRPr="00993B10" w:rsidRDefault="00C83AAE" w:rsidP="00C83AAE">
            <w:pPr>
              <w:pStyle w:val="rvps2"/>
              <w:spacing w:before="0" w:beforeAutospacing="0" w:after="0" w:afterAutospacing="0"/>
              <w:ind w:firstLine="543"/>
              <w:jc w:val="both"/>
              <w:rPr>
                <w:lang w:val="uk" w:eastAsia="uk"/>
              </w:rPr>
            </w:pPr>
            <w:r w:rsidRPr="00993B10">
              <w:rPr>
                <w:lang w:val="uk" w:eastAsia="uk"/>
              </w:rPr>
              <w:t>Факт набуття та припинення прав на частки, обмеження прав на частки, прав за частками фіксуються в обліковій системі часток.</w:t>
            </w:r>
          </w:p>
          <w:p w14:paraId="35D9F43C" w14:textId="47CDC9CB" w:rsidR="00C83AAE" w:rsidRPr="00993B10" w:rsidRDefault="00C83AAE" w:rsidP="00C83AAE">
            <w:pPr>
              <w:pStyle w:val="rvps2"/>
              <w:spacing w:before="0" w:beforeAutospacing="0" w:after="0" w:afterAutospacing="0"/>
              <w:ind w:firstLine="543"/>
              <w:jc w:val="both"/>
              <w:rPr>
                <w:b/>
                <w:lang w:val="uk" w:eastAsia="uk"/>
              </w:rPr>
            </w:pPr>
            <w:r w:rsidRPr="00993B10">
              <w:rPr>
                <w:b/>
                <w:lang w:val="uk" w:eastAsia="uk"/>
              </w:rPr>
              <w:t>Право власності на частку переходить до учасника товариства - нового власника з моменту зарахування цієї частки на рахунок такого учасника товариства, що відкритий в обліковій системі часток.</w:t>
            </w:r>
          </w:p>
          <w:p w14:paraId="3E582846" w14:textId="4473C948" w:rsidR="00C83AAE" w:rsidRPr="00993B10" w:rsidRDefault="00A72400" w:rsidP="00050867">
            <w:pPr>
              <w:pStyle w:val="rvps2"/>
              <w:spacing w:before="0" w:beforeAutospacing="0" w:after="0" w:afterAutospacing="0"/>
              <w:ind w:firstLine="543"/>
              <w:jc w:val="both"/>
              <w:rPr>
                <w:b/>
              </w:rPr>
            </w:pPr>
            <w:r w:rsidRPr="00993B10">
              <w:rPr>
                <w:lang w:val="uk" w:eastAsia="uk"/>
              </w:rPr>
              <w:t>Вимоги до інформації, яка вноситься до облікової системи часток, встановлюються Центральним депозитарієм за погодженням з Комісією.</w:t>
            </w:r>
          </w:p>
        </w:tc>
      </w:tr>
      <w:tr w:rsidR="00993B10" w:rsidRPr="00993B10" w14:paraId="350C127B" w14:textId="5F421A5D" w:rsidTr="0082760C">
        <w:tc>
          <w:tcPr>
            <w:tcW w:w="5000" w:type="pct"/>
            <w:gridSpan w:val="2"/>
          </w:tcPr>
          <w:p w14:paraId="7EF3CD79" w14:textId="2FD6A72C" w:rsidR="0082760C" w:rsidRPr="00993B10" w:rsidRDefault="00962403" w:rsidP="00455D01">
            <w:pPr>
              <w:jc w:val="center"/>
              <w:rPr>
                <w:rFonts w:ascii="Times New Roman" w:hAnsi="Times New Roman" w:cs="Times New Roman"/>
                <w:b/>
                <w:sz w:val="24"/>
                <w:szCs w:val="24"/>
              </w:rPr>
            </w:pPr>
            <w:r w:rsidRPr="00993B10">
              <w:rPr>
                <w:rStyle w:val="spanrvts15"/>
                <w:rFonts w:eastAsiaTheme="minorHAnsi"/>
                <w:sz w:val="24"/>
                <w:szCs w:val="24"/>
                <w:lang w:val="uk" w:eastAsia="uk"/>
              </w:rPr>
              <w:t>III. Порядок ведення та внесення змін до облікової системи часток</w:t>
            </w:r>
          </w:p>
        </w:tc>
      </w:tr>
      <w:tr w:rsidR="00993B10" w:rsidRPr="00993B10" w14:paraId="0E4D3F25" w14:textId="6DAB6554" w:rsidTr="0082760C">
        <w:tc>
          <w:tcPr>
            <w:tcW w:w="2500" w:type="pct"/>
          </w:tcPr>
          <w:p w14:paraId="40FA0082" w14:textId="77777777" w:rsidR="00050867" w:rsidRPr="00993B10" w:rsidRDefault="00050867" w:rsidP="00050867">
            <w:pPr>
              <w:pStyle w:val="rvps2"/>
              <w:spacing w:before="0" w:beforeAutospacing="0" w:after="0" w:afterAutospacing="0"/>
              <w:ind w:firstLine="567"/>
              <w:jc w:val="both"/>
              <w:rPr>
                <w:strike/>
                <w:lang w:val="uk" w:eastAsia="uk"/>
              </w:rPr>
            </w:pPr>
            <w:r w:rsidRPr="00993B10">
              <w:rPr>
                <w:strike/>
                <w:lang w:val="uk" w:eastAsia="uk"/>
              </w:rPr>
              <w:t>14. Особою, уповноваженою на ведення та внесення змін до облікової системи часток, є Центральний депозитарій. Ведення та внесення змін до облікової системи часток здійснюється виключно в електронному вигляді в порядку, передбаченому цим Порядком та внутрішніми документами Центрального депозитарію.</w:t>
            </w:r>
          </w:p>
          <w:p w14:paraId="57F5A783" w14:textId="77777777" w:rsidR="00050867" w:rsidRPr="00993B10" w:rsidRDefault="00050867" w:rsidP="00050867">
            <w:pPr>
              <w:pStyle w:val="rvps2"/>
              <w:spacing w:before="0" w:beforeAutospacing="0" w:after="0" w:afterAutospacing="0"/>
              <w:ind w:firstLine="567"/>
              <w:jc w:val="both"/>
              <w:rPr>
                <w:strike/>
                <w:lang w:val="uk" w:eastAsia="uk"/>
              </w:rPr>
            </w:pPr>
            <w:r w:rsidRPr="00993B10">
              <w:rPr>
                <w:strike/>
                <w:lang w:val="uk" w:eastAsia="uk"/>
              </w:rPr>
              <w:lastRenderedPageBreak/>
              <w:t>Факт набуття та припинення прав на частки, обмеження прав на частки фіксуються в обліковій системі часток.</w:t>
            </w:r>
          </w:p>
          <w:p w14:paraId="2B2DC6D6" w14:textId="4E682F59" w:rsidR="00455D01" w:rsidRPr="00993B10" w:rsidRDefault="00050867" w:rsidP="00050867">
            <w:pPr>
              <w:pStyle w:val="rvps2"/>
              <w:spacing w:before="0" w:beforeAutospacing="0" w:after="0" w:afterAutospacing="0"/>
              <w:ind w:firstLine="567"/>
              <w:jc w:val="both"/>
            </w:pPr>
            <w:r w:rsidRPr="00993B10">
              <w:rPr>
                <w:strike/>
                <w:lang w:val="uk" w:eastAsia="uk"/>
              </w:rPr>
              <w:t>Вимоги до інформації, яка вноситься до облікової системи часток, встановлюються Центральним депозитарієм за погодженням з Комісією.</w:t>
            </w:r>
          </w:p>
        </w:tc>
        <w:tc>
          <w:tcPr>
            <w:tcW w:w="2500" w:type="pct"/>
          </w:tcPr>
          <w:p w14:paraId="1631C487" w14:textId="6B922553" w:rsidR="0082760C" w:rsidRPr="00993B10" w:rsidRDefault="0082760C" w:rsidP="00455D01">
            <w:pPr>
              <w:ind w:firstLine="567"/>
              <w:jc w:val="both"/>
              <w:rPr>
                <w:rFonts w:ascii="Times New Roman" w:hAnsi="Times New Roman" w:cs="Times New Roman"/>
                <w:sz w:val="24"/>
                <w:szCs w:val="24"/>
              </w:rPr>
            </w:pPr>
          </w:p>
        </w:tc>
      </w:tr>
      <w:tr w:rsidR="00993B10" w:rsidRPr="00993B10" w14:paraId="7AD5E90A" w14:textId="3B016776" w:rsidTr="0082760C">
        <w:tc>
          <w:tcPr>
            <w:tcW w:w="2500" w:type="pct"/>
          </w:tcPr>
          <w:p w14:paraId="3AD8A090" w14:textId="77777777" w:rsidR="0082760C" w:rsidRPr="00993B10" w:rsidRDefault="00962403" w:rsidP="00962403">
            <w:pPr>
              <w:pStyle w:val="rvps2"/>
              <w:spacing w:before="0" w:beforeAutospacing="0" w:after="0" w:afterAutospacing="0"/>
              <w:ind w:firstLine="567"/>
              <w:jc w:val="both"/>
              <w:rPr>
                <w:lang w:val="uk" w:eastAsia="uk"/>
              </w:rPr>
            </w:pPr>
            <w:r w:rsidRPr="00993B10">
              <w:rPr>
                <w:lang w:val="uk" w:eastAsia="uk"/>
              </w:rPr>
              <w:t xml:space="preserve">18. Відкриття рахунку учаснику товариства в обліковій системі часток здійснюється Центральним депозитарієм через уповноважену депозитарну установу або без участі уповноваженої депозитарної установи на підставі договору щодо обслуговування рахунку (рахунків) учасника товариства або на підставі отриманих даних про учасника товариства з Єдиного державного реєстру у випадку, передбаченому </w:t>
            </w:r>
            <w:hyperlink w:anchor="n48" w:history="1">
              <w:r w:rsidRPr="00993B10">
                <w:t>пунктом 11</w:t>
              </w:r>
            </w:hyperlink>
            <w:r w:rsidRPr="00993B10">
              <w:rPr>
                <w:lang w:val="uk" w:eastAsia="uk"/>
              </w:rPr>
              <w:t xml:space="preserve"> розділу II цього Порядку.</w:t>
            </w:r>
          </w:p>
          <w:p w14:paraId="12A0EAB7" w14:textId="77777777" w:rsidR="00962403" w:rsidRPr="00993B10" w:rsidRDefault="00962403" w:rsidP="00962403">
            <w:pPr>
              <w:pStyle w:val="rvps2"/>
              <w:spacing w:before="0" w:beforeAutospacing="0" w:after="0" w:afterAutospacing="0"/>
              <w:ind w:firstLine="567"/>
              <w:jc w:val="both"/>
              <w:rPr>
                <w:lang w:val="uk" w:eastAsia="uk"/>
              </w:rPr>
            </w:pPr>
            <w:r w:rsidRPr="00993B10">
              <w:rPr>
                <w:lang w:val="uk" w:eastAsia="uk"/>
              </w:rPr>
              <w:t>(...)</w:t>
            </w:r>
          </w:p>
          <w:p w14:paraId="45525F3C" w14:textId="4D70FBD5" w:rsidR="005E2763" w:rsidRPr="00993B10" w:rsidRDefault="00962403" w:rsidP="005E2763">
            <w:pPr>
              <w:pStyle w:val="rvps2"/>
              <w:spacing w:before="0" w:beforeAutospacing="0" w:after="0" w:afterAutospacing="0"/>
              <w:ind w:firstLine="567"/>
              <w:jc w:val="both"/>
              <w:rPr>
                <w:lang w:val="uk" w:eastAsia="uk"/>
              </w:rPr>
            </w:pPr>
            <w:r w:rsidRPr="00993B10">
              <w:rPr>
                <w:strike/>
                <w:lang w:val="uk" w:eastAsia="uk"/>
              </w:rPr>
              <w:t>У разі розірвання учасником товариства договору щодо обслуговування рахунку (рахунків) учасника товариства, який був укладений ним з певною уповноваженою депозитарною установою, та укладення такого договору з іншою уповноваженою депозитарною установою або безпосередньо з Центральним депозитарієм, право щодо обслуговування відповідного рахунку переходить до нової уповноваженої депозитарної установи або Центрального депозитарію відповідно. Переведення обслуговування рахунку учасника товариства до нової уповноваженої депозитарної установи, Центрального депозитарію здійснюється Центральним депозитарієм в порядку, передбаченому внутрішніми документами Центрального депозитарію, на підставі відповідного розпорядження нової уповноваженої депозитарної установи, внутрішнього розпорядження Центрального депозитарію відповідно.</w:t>
            </w:r>
          </w:p>
        </w:tc>
        <w:tc>
          <w:tcPr>
            <w:tcW w:w="2500" w:type="pct"/>
          </w:tcPr>
          <w:p w14:paraId="78D93DEB" w14:textId="77777777" w:rsidR="00962403" w:rsidRPr="009C57E0" w:rsidRDefault="00962403" w:rsidP="006A1173">
            <w:pPr>
              <w:pStyle w:val="rvps2"/>
              <w:spacing w:before="0" w:beforeAutospacing="0" w:after="0" w:afterAutospacing="0"/>
              <w:ind w:firstLine="401"/>
              <w:jc w:val="both"/>
              <w:rPr>
                <w:lang w:val="uk" w:eastAsia="uk"/>
              </w:rPr>
            </w:pPr>
            <w:r w:rsidRPr="009C57E0">
              <w:rPr>
                <w:lang w:val="uk" w:eastAsia="uk"/>
              </w:rPr>
              <w:t xml:space="preserve">18. Відкриття рахунку учаснику товариства в обліковій системі часток здійснюється Центральним депозитарієм через уповноважену депозитарну установу або без участі уповноваженої депозитарної установи на підставі договору щодо обслуговування рахунку (рахунків) учасника товариства або на підставі отриманих даних про учасника товариства з Єдиного державного реєстру у випадку, передбаченому </w:t>
            </w:r>
            <w:hyperlink w:anchor="n48" w:history="1">
              <w:r w:rsidRPr="009C57E0">
                <w:t>пунктом 11</w:t>
              </w:r>
            </w:hyperlink>
            <w:r w:rsidRPr="009C57E0">
              <w:rPr>
                <w:lang w:val="uk" w:eastAsia="uk"/>
              </w:rPr>
              <w:t xml:space="preserve"> розділу II цього Порядку.</w:t>
            </w:r>
          </w:p>
          <w:p w14:paraId="412946E0" w14:textId="77777777" w:rsidR="00962403" w:rsidRPr="009C57E0" w:rsidRDefault="00962403" w:rsidP="006A1173">
            <w:pPr>
              <w:pStyle w:val="rvps2"/>
              <w:spacing w:before="0" w:beforeAutospacing="0" w:after="0" w:afterAutospacing="0"/>
              <w:ind w:firstLine="401"/>
              <w:jc w:val="both"/>
              <w:rPr>
                <w:lang w:val="uk" w:eastAsia="uk"/>
              </w:rPr>
            </w:pPr>
            <w:r w:rsidRPr="009C57E0">
              <w:rPr>
                <w:lang w:val="uk" w:eastAsia="uk"/>
              </w:rPr>
              <w:t>(...)</w:t>
            </w:r>
          </w:p>
          <w:p w14:paraId="7F226B50" w14:textId="40B55C62" w:rsidR="00490D7E" w:rsidRPr="009C57E0" w:rsidRDefault="00C710B2" w:rsidP="006A1173">
            <w:pPr>
              <w:ind w:firstLine="401"/>
              <w:jc w:val="both"/>
              <w:rPr>
                <w:rFonts w:ascii="Times New Roman" w:hAnsi="Times New Roman" w:cs="Times New Roman"/>
                <w:b/>
                <w:bCs/>
                <w:sz w:val="24"/>
                <w:szCs w:val="24"/>
              </w:rPr>
            </w:pPr>
            <w:r w:rsidRPr="009C57E0">
              <w:rPr>
                <w:rFonts w:ascii="Times New Roman" w:hAnsi="Times New Roman" w:cs="Times New Roman"/>
                <w:b/>
                <w:bCs/>
                <w:sz w:val="24"/>
                <w:szCs w:val="24"/>
              </w:rPr>
              <w:t>Внесення змін до облікової системи часток щодо п</w:t>
            </w:r>
            <w:r w:rsidR="001379D9" w:rsidRPr="009C57E0">
              <w:rPr>
                <w:rFonts w:ascii="Times New Roman" w:hAnsi="Times New Roman" w:cs="Times New Roman"/>
                <w:b/>
                <w:bCs/>
                <w:sz w:val="24"/>
                <w:szCs w:val="24"/>
              </w:rPr>
              <w:t>ереведення обслуговування рахунку учасника товариства</w:t>
            </w:r>
            <w:bookmarkStart w:id="0" w:name="_GoBack"/>
            <w:bookmarkEnd w:id="0"/>
            <w:r w:rsidR="00490D7E" w:rsidRPr="009C57E0">
              <w:rPr>
                <w:rFonts w:ascii="Times New Roman" w:hAnsi="Times New Roman" w:cs="Times New Roman"/>
                <w:b/>
                <w:bCs/>
                <w:sz w:val="24"/>
                <w:szCs w:val="24"/>
              </w:rPr>
              <w:t xml:space="preserve"> здійснюється Центральним депозитарієм в порядку, передбаченому внутрішніми документами Центрального депозитарію</w:t>
            </w:r>
            <w:r w:rsidR="003E3602" w:rsidRPr="009C57E0">
              <w:rPr>
                <w:rFonts w:ascii="Times New Roman" w:hAnsi="Times New Roman" w:cs="Times New Roman"/>
                <w:b/>
                <w:bCs/>
                <w:sz w:val="24"/>
                <w:szCs w:val="24"/>
              </w:rPr>
              <w:t>,</w:t>
            </w:r>
            <w:r w:rsidR="00490D7E" w:rsidRPr="009C57E0">
              <w:rPr>
                <w:rFonts w:ascii="Times New Roman" w:hAnsi="Times New Roman" w:cs="Times New Roman"/>
                <w:b/>
                <w:bCs/>
                <w:sz w:val="24"/>
                <w:szCs w:val="24"/>
              </w:rPr>
              <w:t xml:space="preserve"> на підставі:</w:t>
            </w:r>
          </w:p>
          <w:p w14:paraId="6000F036" w14:textId="405238D9" w:rsidR="006A1173" w:rsidRPr="006A1173" w:rsidRDefault="006A1173" w:rsidP="006A1173">
            <w:pPr>
              <w:ind w:firstLine="401"/>
              <w:jc w:val="both"/>
              <w:rPr>
                <w:rFonts w:ascii="Times New Roman" w:hAnsi="Times New Roman" w:cs="Times New Roman"/>
                <w:b/>
                <w:bCs/>
                <w:sz w:val="24"/>
                <w:szCs w:val="24"/>
              </w:rPr>
            </w:pPr>
            <w:r w:rsidRPr="006A1173">
              <w:rPr>
                <w:rFonts w:ascii="Times New Roman" w:hAnsi="Times New Roman" w:cs="Times New Roman"/>
                <w:b/>
                <w:bCs/>
                <w:sz w:val="24"/>
                <w:szCs w:val="24"/>
              </w:rPr>
              <w:t>1) відповідного розпорядження нової уповноваженої депозитарної установи, з якою учасником товариства укладений договір щодо обслуговування рахунку (рахунків) учасника товариства, та повідомлення попередньої уповноваженої депозитарної установи про згоду на переведення обслуговування рахунку учасника товариства</w:t>
            </w:r>
            <w:r w:rsidR="0049495B">
              <w:rPr>
                <w:rFonts w:ascii="Times New Roman" w:hAnsi="Times New Roman" w:cs="Times New Roman"/>
                <w:b/>
                <w:bCs/>
                <w:sz w:val="24"/>
                <w:szCs w:val="24"/>
              </w:rPr>
              <w:t xml:space="preserve">, </w:t>
            </w:r>
            <w:r w:rsidR="0049495B" w:rsidRPr="00E77327">
              <w:rPr>
                <w:rFonts w:ascii="Times New Roman" w:hAnsi="Times New Roman" w:cs="Times New Roman"/>
                <w:b/>
                <w:bCs/>
                <w:sz w:val="24"/>
                <w:szCs w:val="24"/>
              </w:rPr>
              <w:t xml:space="preserve">якщо умовами </w:t>
            </w:r>
            <w:r w:rsidR="009D5C0D" w:rsidRPr="00E77327">
              <w:rPr>
                <w:rFonts w:ascii="Times New Roman" w:hAnsi="Times New Roman" w:cs="Times New Roman"/>
                <w:b/>
                <w:bCs/>
                <w:sz w:val="24"/>
                <w:szCs w:val="24"/>
              </w:rPr>
              <w:t xml:space="preserve">укладеного нею з учасником </w:t>
            </w:r>
            <w:r w:rsidR="00076B1E" w:rsidRPr="00E77327">
              <w:rPr>
                <w:rFonts w:ascii="Times New Roman" w:hAnsi="Times New Roman" w:cs="Times New Roman"/>
                <w:b/>
                <w:bCs/>
                <w:sz w:val="24"/>
                <w:szCs w:val="24"/>
              </w:rPr>
              <w:t xml:space="preserve">товариства </w:t>
            </w:r>
            <w:r w:rsidR="0049495B" w:rsidRPr="00E77327">
              <w:rPr>
                <w:rFonts w:ascii="Times New Roman" w:hAnsi="Times New Roman" w:cs="Times New Roman"/>
                <w:b/>
                <w:bCs/>
                <w:sz w:val="24"/>
                <w:szCs w:val="24"/>
              </w:rPr>
              <w:t>догов</w:t>
            </w:r>
            <w:r w:rsidR="00076B1E" w:rsidRPr="00E77327">
              <w:rPr>
                <w:rFonts w:ascii="Times New Roman" w:hAnsi="Times New Roman" w:cs="Times New Roman"/>
                <w:b/>
                <w:bCs/>
                <w:sz w:val="24"/>
                <w:szCs w:val="24"/>
              </w:rPr>
              <w:t>о</w:t>
            </w:r>
            <w:r w:rsidR="0049495B" w:rsidRPr="00E77327">
              <w:rPr>
                <w:rFonts w:ascii="Times New Roman" w:hAnsi="Times New Roman" w:cs="Times New Roman"/>
                <w:b/>
                <w:bCs/>
                <w:sz w:val="24"/>
                <w:szCs w:val="24"/>
              </w:rPr>
              <w:t>р</w:t>
            </w:r>
            <w:r w:rsidR="00076B1E" w:rsidRPr="00E77327">
              <w:rPr>
                <w:rFonts w:ascii="Times New Roman" w:hAnsi="Times New Roman" w:cs="Times New Roman"/>
                <w:b/>
                <w:bCs/>
                <w:sz w:val="24"/>
                <w:szCs w:val="24"/>
              </w:rPr>
              <w:t>у</w:t>
            </w:r>
            <w:r w:rsidR="0049495B" w:rsidRPr="00E77327">
              <w:rPr>
                <w:rFonts w:ascii="Times New Roman" w:hAnsi="Times New Roman" w:cs="Times New Roman"/>
                <w:b/>
                <w:bCs/>
                <w:sz w:val="24"/>
                <w:szCs w:val="24"/>
              </w:rPr>
              <w:t xml:space="preserve"> щодо обслуговування рахунку (рахунків) учасника товариства</w:t>
            </w:r>
            <w:r w:rsidRPr="00E77327">
              <w:rPr>
                <w:rFonts w:ascii="Times New Roman" w:hAnsi="Times New Roman" w:cs="Times New Roman"/>
                <w:b/>
                <w:bCs/>
                <w:sz w:val="24"/>
                <w:szCs w:val="24"/>
              </w:rPr>
              <w:t xml:space="preserve"> </w:t>
            </w:r>
            <w:r w:rsidR="00076B1E" w:rsidRPr="00E77327">
              <w:rPr>
                <w:rFonts w:ascii="Times New Roman" w:hAnsi="Times New Roman" w:cs="Times New Roman"/>
                <w:b/>
                <w:bCs/>
                <w:sz w:val="24"/>
                <w:szCs w:val="24"/>
              </w:rPr>
              <w:t>передбачено надання такої згоди</w:t>
            </w:r>
            <w:r w:rsidR="002E1FCA" w:rsidRPr="00E77327">
              <w:rPr>
                <w:rFonts w:ascii="Times New Roman" w:hAnsi="Times New Roman" w:cs="Times New Roman"/>
                <w:b/>
                <w:bCs/>
                <w:sz w:val="24"/>
                <w:szCs w:val="24"/>
              </w:rPr>
              <w:t xml:space="preserve"> та підстави відмови на переведення обслуговування рахунку учасника товариства до іншої особи</w:t>
            </w:r>
            <w:r w:rsidR="002E1FCA">
              <w:rPr>
                <w:rFonts w:ascii="Times New Roman" w:hAnsi="Times New Roman" w:cs="Times New Roman"/>
                <w:b/>
                <w:bCs/>
                <w:sz w:val="24"/>
                <w:szCs w:val="24"/>
              </w:rPr>
              <w:t xml:space="preserve"> </w:t>
            </w:r>
            <w:r w:rsidRPr="006A1173">
              <w:rPr>
                <w:rFonts w:ascii="Times New Roman" w:hAnsi="Times New Roman" w:cs="Times New Roman"/>
                <w:b/>
                <w:bCs/>
                <w:sz w:val="24"/>
                <w:szCs w:val="24"/>
              </w:rPr>
              <w:t>- у разі переведення обслуговування рахунку учасника товариства з однієї уповноваженої депозитарної установи до іншої;</w:t>
            </w:r>
          </w:p>
          <w:p w14:paraId="48F74992" w14:textId="77777777" w:rsidR="006A1173" w:rsidRPr="006A1173" w:rsidRDefault="006A1173" w:rsidP="006A1173">
            <w:pPr>
              <w:ind w:firstLine="401"/>
              <w:jc w:val="both"/>
              <w:rPr>
                <w:rFonts w:ascii="Times New Roman" w:hAnsi="Times New Roman" w:cs="Times New Roman"/>
                <w:b/>
                <w:bCs/>
                <w:sz w:val="24"/>
                <w:szCs w:val="24"/>
              </w:rPr>
            </w:pPr>
            <w:r w:rsidRPr="006A1173">
              <w:rPr>
                <w:rFonts w:ascii="Times New Roman" w:hAnsi="Times New Roman" w:cs="Times New Roman"/>
                <w:b/>
                <w:bCs/>
                <w:sz w:val="24"/>
                <w:szCs w:val="24"/>
              </w:rPr>
              <w:t xml:space="preserve">2) відповідного розпорядження уповноваженої депозитарної установи, з якою учасником товариства укладений договір щодо обслуговування рахунку (рахунків) учасника товариства, та внутрішнього розпорядження Центрального депозитарію - у разі </w:t>
            </w:r>
            <w:r w:rsidRPr="006A1173">
              <w:rPr>
                <w:rFonts w:ascii="Times New Roman" w:hAnsi="Times New Roman" w:cs="Times New Roman"/>
                <w:b/>
                <w:bCs/>
                <w:sz w:val="24"/>
                <w:szCs w:val="24"/>
              </w:rPr>
              <w:lastRenderedPageBreak/>
              <w:t>переведення обслуговування рахунку учасника товариства з Центрального депозитарію</w:t>
            </w:r>
            <w:r w:rsidRPr="006A1173">
              <w:rPr>
                <w:b/>
                <w:lang w:eastAsia="uk"/>
              </w:rPr>
              <w:t xml:space="preserve"> </w:t>
            </w:r>
            <w:r w:rsidRPr="006A1173">
              <w:rPr>
                <w:rFonts w:ascii="Times New Roman" w:hAnsi="Times New Roman" w:cs="Times New Roman"/>
                <w:b/>
                <w:bCs/>
                <w:sz w:val="24"/>
                <w:szCs w:val="24"/>
              </w:rPr>
              <w:t>до уповноваженої депозитарної установи;</w:t>
            </w:r>
          </w:p>
          <w:p w14:paraId="3224341B" w14:textId="21D8F778" w:rsidR="001379D9" w:rsidRPr="00E77327" w:rsidRDefault="006A1173" w:rsidP="006A1173">
            <w:pPr>
              <w:ind w:firstLine="401"/>
              <w:jc w:val="both"/>
              <w:rPr>
                <w:rFonts w:ascii="Times New Roman" w:hAnsi="Times New Roman" w:cs="Times New Roman"/>
                <w:b/>
                <w:bCs/>
                <w:sz w:val="24"/>
                <w:szCs w:val="24"/>
              </w:rPr>
            </w:pPr>
            <w:r w:rsidRPr="006A1173">
              <w:rPr>
                <w:rFonts w:ascii="Times New Roman" w:hAnsi="Times New Roman" w:cs="Times New Roman"/>
                <w:b/>
                <w:bCs/>
                <w:sz w:val="24"/>
                <w:szCs w:val="24"/>
              </w:rPr>
              <w:t xml:space="preserve">3) внутрішнього розпорядження Центрального депозитарію, який з відповідним учасником товариства уклав договір щодо </w:t>
            </w:r>
            <w:r w:rsidRPr="00E77327">
              <w:rPr>
                <w:rFonts w:ascii="Times New Roman" w:hAnsi="Times New Roman" w:cs="Times New Roman"/>
                <w:b/>
                <w:bCs/>
                <w:sz w:val="24"/>
                <w:szCs w:val="24"/>
              </w:rPr>
              <w:t>обслуговування рахунку (рахунків) учасника товариства, та повідомлення уповноваженої депозитарної установи про згоду на переведення обслуговування рахунку учасника товариства</w:t>
            </w:r>
            <w:r w:rsidR="00076B1E" w:rsidRPr="00E77327">
              <w:rPr>
                <w:rFonts w:ascii="Times New Roman" w:hAnsi="Times New Roman" w:cs="Times New Roman"/>
                <w:b/>
                <w:bCs/>
                <w:sz w:val="24"/>
                <w:szCs w:val="24"/>
              </w:rPr>
              <w:t>, якщо умовами укладеного нею з учасником товариства договору щодо обслуговування рахунку (рахунків) учасника товариства передбачено надання такої згоди</w:t>
            </w:r>
            <w:r w:rsidR="002E1FCA" w:rsidRPr="00E77327">
              <w:rPr>
                <w:rFonts w:ascii="Times New Roman" w:hAnsi="Times New Roman" w:cs="Times New Roman"/>
                <w:b/>
                <w:bCs/>
                <w:sz w:val="24"/>
                <w:szCs w:val="24"/>
              </w:rPr>
              <w:t xml:space="preserve"> та підстави відмови на переведення обслуговування рахунку учасника товариства до іншої особи</w:t>
            </w:r>
            <w:r w:rsidRPr="00E77327">
              <w:rPr>
                <w:rFonts w:ascii="Times New Roman" w:hAnsi="Times New Roman" w:cs="Times New Roman"/>
                <w:b/>
                <w:bCs/>
                <w:sz w:val="24"/>
                <w:szCs w:val="24"/>
              </w:rPr>
              <w:t xml:space="preserve"> - у разі переведення обслуговування рахунку учасника товариства з уповноваженої депозитарної установи до Центрального депозитарію.</w:t>
            </w:r>
          </w:p>
          <w:p w14:paraId="08303814" w14:textId="0166C53B" w:rsidR="006A1173" w:rsidRPr="00E831C5" w:rsidRDefault="00076B1E" w:rsidP="006A1173">
            <w:pPr>
              <w:ind w:firstLine="401"/>
              <w:jc w:val="both"/>
              <w:rPr>
                <w:rFonts w:ascii="Times New Roman" w:hAnsi="Times New Roman" w:cs="Times New Roman"/>
                <w:b/>
                <w:bCs/>
                <w:sz w:val="24"/>
                <w:szCs w:val="24"/>
              </w:rPr>
            </w:pPr>
            <w:r w:rsidRPr="00E77327">
              <w:rPr>
                <w:rFonts w:ascii="Times New Roman" w:hAnsi="Times New Roman" w:cs="Times New Roman"/>
                <w:b/>
                <w:bCs/>
                <w:sz w:val="24"/>
                <w:szCs w:val="24"/>
              </w:rPr>
              <w:t>У</w:t>
            </w:r>
            <w:r w:rsidR="006A1173" w:rsidRPr="00E77327">
              <w:rPr>
                <w:rFonts w:ascii="Times New Roman" w:hAnsi="Times New Roman" w:cs="Times New Roman"/>
                <w:b/>
                <w:bCs/>
                <w:sz w:val="24"/>
                <w:szCs w:val="24"/>
              </w:rPr>
              <w:t>повноважена депозитарна установа</w:t>
            </w:r>
            <w:r w:rsidR="00902D46" w:rsidRPr="00E77327">
              <w:rPr>
                <w:rFonts w:ascii="Times New Roman" w:hAnsi="Times New Roman" w:cs="Times New Roman"/>
                <w:b/>
                <w:bCs/>
                <w:sz w:val="24"/>
                <w:szCs w:val="24"/>
              </w:rPr>
              <w:t xml:space="preserve">, якій Центральний депозитарій надав запит про надання згоди на переведення обслуговування рахунку учасника товариства, </w:t>
            </w:r>
            <w:r w:rsidR="006A1173" w:rsidRPr="00E77327">
              <w:rPr>
                <w:rFonts w:ascii="Times New Roman" w:hAnsi="Times New Roman" w:cs="Times New Roman"/>
                <w:b/>
                <w:bCs/>
                <w:sz w:val="24"/>
                <w:szCs w:val="24"/>
              </w:rPr>
              <w:t>за формою та у порядку, передбаченому внутрішніми документами Центрального</w:t>
            </w:r>
            <w:r w:rsidR="006A1173" w:rsidRPr="00E831C5">
              <w:rPr>
                <w:rFonts w:ascii="Times New Roman" w:hAnsi="Times New Roman" w:cs="Times New Roman"/>
                <w:b/>
                <w:bCs/>
                <w:sz w:val="24"/>
                <w:szCs w:val="24"/>
              </w:rPr>
              <w:t xml:space="preserve"> депозитарію та/або укладеним з Центральним депозитарієм договором, не пізніше трьох робочих днів з дня </w:t>
            </w:r>
            <w:r w:rsidR="00902D46">
              <w:rPr>
                <w:rFonts w:ascii="Times New Roman" w:hAnsi="Times New Roman" w:cs="Times New Roman"/>
                <w:b/>
                <w:bCs/>
                <w:sz w:val="24"/>
                <w:szCs w:val="24"/>
              </w:rPr>
              <w:t xml:space="preserve">його </w:t>
            </w:r>
            <w:r w:rsidR="006A1173" w:rsidRPr="00E831C5">
              <w:rPr>
                <w:rFonts w:ascii="Times New Roman" w:hAnsi="Times New Roman" w:cs="Times New Roman"/>
                <w:b/>
                <w:bCs/>
                <w:sz w:val="24"/>
                <w:szCs w:val="24"/>
              </w:rPr>
              <w:t xml:space="preserve">надання надає Центральному депозитарію повідомлення про згоду / відмову на переведення обслуговування рахунку учасника товариства. </w:t>
            </w:r>
          </w:p>
          <w:p w14:paraId="3CE4105D" w14:textId="77777777" w:rsidR="006A1173" w:rsidRPr="00E831C5" w:rsidRDefault="006A1173" w:rsidP="006A1173">
            <w:pPr>
              <w:ind w:firstLine="401"/>
              <w:jc w:val="both"/>
              <w:rPr>
                <w:rFonts w:ascii="Times New Roman" w:hAnsi="Times New Roman" w:cs="Times New Roman"/>
                <w:b/>
                <w:bCs/>
                <w:sz w:val="24"/>
                <w:szCs w:val="24"/>
              </w:rPr>
            </w:pPr>
            <w:r w:rsidRPr="00E831C5">
              <w:rPr>
                <w:rFonts w:ascii="Times New Roman" w:hAnsi="Times New Roman" w:cs="Times New Roman"/>
                <w:b/>
                <w:bCs/>
                <w:sz w:val="24"/>
                <w:szCs w:val="24"/>
              </w:rPr>
              <w:t>Повідомлення про відмову на переведення обслуговування рахунку учасника товариства надається Центральному депозитарію та учаснику товариства із зазначенням підстав такої відмови, передбачених укладеним з учасником товариства договором щодо обслуговування рахунку (рахунків) учасника товариства.</w:t>
            </w:r>
          </w:p>
          <w:p w14:paraId="14548300" w14:textId="4064075D" w:rsidR="006A1173" w:rsidRPr="001B1D73" w:rsidRDefault="006A1173" w:rsidP="006A1173">
            <w:pPr>
              <w:ind w:firstLine="401"/>
              <w:jc w:val="both"/>
              <w:rPr>
                <w:rFonts w:ascii="Times New Roman" w:hAnsi="Times New Roman" w:cs="Times New Roman"/>
                <w:b/>
                <w:bCs/>
                <w:sz w:val="24"/>
                <w:szCs w:val="24"/>
              </w:rPr>
            </w:pPr>
            <w:r w:rsidRPr="00E831C5">
              <w:rPr>
                <w:rFonts w:ascii="Times New Roman" w:hAnsi="Times New Roman" w:cs="Times New Roman"/>
                <w:b/>
                <w:bCs/>
                <w:sz w:val="24"/>
                <w:szCs w:val="24"/>
              </w:rPr>
              <w:t xml:space="preserve">У разі якщо протягом трьох робочих днів з дня надання Центральним депозитарієм </w:t>
            </w:r>
            <w:r w:rsidR="00902D46" w:rsidRPr="0012339B">
              <w:rPr>
                <w:rFonts w:ascii="Times New Roman" w:hAnsi="Times New Roman" w:cs="Times New Roman"/>
                <w:b/>
                <w:bCs/>
                <w:sz w:val="24"/>
                <w:szCs w:val="24"/>
              </w:rPr>
              <w:t>відповідній</w:t>
            </w:r>
            <w:r w:rsidR="00902D46">
              <w:rPr>
                <w:rFonts w:ascii="Times New Roman" w:hAnsi="Times New Roman" w:cs="Times New Roman"/>
                <w:b/>
                <w:bCs/>
                <w:sz w:val="24"/>
                <w:szCs w:val="24"/>
              </w:rPr>
              <w:t xml:space="preserve"> </w:t>
            </w:r>
            <w:r w:rsidRPr="00E831C5">
              <w:rPr>
                <w:rFonts w:ascii="Times New Roman" w:hAnsi="Times New Roman" w:cs="Times New Roman"/>
                <w:b/>
                <w:bCs/>
                <w:sz w:val="24"/>
                <w:szCs w:val="24"/>
              </w:rPr>
              <w:t xml:space="preserve">уповноваженій депозитарній установі запиту про надання згоди на переведення обслуговування рахунку учасника товариства така уповноважена </w:t>
            </w:r>
            <w:r w:rsidRPr="00E831C5">
              <w:rPr>
                <w:rFonts w:ascii="Times New Roman" w:hAnsi="Times New Roman" w:cs="Times New Roman"/>
                <w:b/>
                <w:bCs/>
                <w:sz w:val="24"/>
                <w:szCs w:val="24"/>
              </w:rPr>
              <w:lastRenderedPageBreak/>
              <w:t xml:space="preserve">депозитарна установа не надала Центральному депозитарію </w:t>
            </w:r>
            <w:r w:rsidRPr="001B1D73">
              <w:rPr>
                <w:rFonts w:ascii="Times New Roman" w:hAnsi="Times New Roman" w:cs="Times New Roman"/>
                <w:b/>
                <w:bCs/>
                <w:sz w:val="24"/>
                <w:szCs w:val="24"/>
              </w:rPr>
              <w:t xml:space="preserve">повідомлення про згоду / відмову на переведення обслуговування рахунку учасника товариства, то вважається, що за мовчазною згодою </w:t>
            </w:r>
            <w:r w:rsidR="00902D46" w:rsidRPr="0012339B">
              <w:rPr>
                <w:rFonts w:ascii="Times New Roman" w:hAnsi="Times New Roman" w:cs="Times New Roman"/>
                <w:b/>
                <w:bCs/>
                <w:sz w:val="24"/>
                <w:szCs w:val="24"/>
              </w:rPr>
              <w:t>цією</w:t>
            </w:r>
            <w:r w:rsidR="00902D46">
              <w:rPr>
                <w:rFonts w:ascii="Times New Roman" w:hAnsi="Times New Roman" w:cs="Times New Roman"/>
                <w:b/>
                <w:bCs/>
                <w:sz w:val="24"/>
                <w:szCs w:val="24"/>
              </w:rPr>
              <w:t xml:space="preserve"> </w:t>
            </w:r>
            <w:r w:rsidRPr="001B1D73">
              <w:rPr>
                <w:rFonts w:ascii="Times New Roman" w:hAnsi="Times New Roman" w:cs="Times New Roman"/>
                <w:b/>
                <w:bCs/>
                <w:sz w:val="24"/>
                <w:szCs w:val="24"/>
              </w:rPr>
              <w:t xml:space="preserve">уповноваженою депозитарною установою надана згода на переведення обслуговування рахунку учасника товариства, яка є підставою для внесення змін до облікової системи часток у випадках, передбачених </w:t>
            </w:r>
            <w:r w:rsidRPr="0012339B">
              <w:rPr>
                <w:rFonts w:ascii="Times New Roman" w:hAnsi="Times New Roman" w:cs="Times New Roman"/>
                <w:b/>
                <w:bCs/>
                <w:sz w:val="24"/>
                <w:szCs w:val="24"/>
              </w:rPr>
              <w:t>підпунктами 1</w:t>
            </w:r>
            <w:r w:rsidR="002E1FCA" w:rsidRPr="0012339B">
              <w:rPr>
                <w:rFonts w:ascii="Times New Roman" w:hAnsi="Times New Roman" w:cs="Times New Roman"/>
                <w:b/>
                <w:bCs/>
                <w:sz w:val="24"/>
                <w:szCs w:val="24"/>
              </w:rPr>
              <w:t>,</w:t>
            </w:r>
            <w:r w:rsidR="0012339B" w:rsidRPr="0012339B">
              <w:rPr>
                <w:rFonts w:ascii="Times New Roman" w:hAnsi="Times New Roman" w:cs="Times New Roman"/>
                <w:b/>
                <w:bCs/>
                <w:sz w:val="24"/>
                <w:szCs w:val="24"/>
              </w:rPr>
              <w:t xml:space="preserve"> </w:t>
            </w:r>
            <w:r w:rsidRPr="0012339B">
              <w:rPr>
                <w:rFonts w:ascii="Times New Roman" w:hAnsi="Times New Roman" w:cs="Times New Roman"/>
                <w:b/>
                <w:bCs/>
                <w:sz w:val="24"/>
                <w:szCs w:val="24"/>
              </w:rPr>
              <w:t>3</w:t>
            </w:r>
            <w:r w:rsidRPr="001B1D73">
              <w:rPr>
                <w:rFonts w:ascii="Times New Roman" w:hAnsi="Times New Roman" w:cs="Times New Roman"/>
                <w:b/>
                <w:bCs/>
                <w:sz w:val="24"/>
                <w:szCs w:val="24"/>
              </w:rPr>
              <w:t xml:space="preserve"> цього пункту.</w:t>
            </w:r>
          </w:p>
          <w:p w14:paraId="53157FD5" w14:textId="6077F4EC" w:rsidR="006A1173" w:rsidRPr="009C57E0" w:rsidRDefault="006A1173" w:rsidP="0012339B">
            <w:pPr>
              <w:ind w:firstLine="401"/>
              <w:jc w:val="both"/>
            </w:pPr>
            <w:r w:rsidRPr="001B1D73">
              <w:rPr>
                <w:rFonts w:ascii="Times New Roman" w:hAnsi="Times New Roman" w:cs="Times New Roman"/>
                <w:b/>
                <w:bCs/>
                <w:sz w:val="24"/>
                <w:szCs w:val="24"/>
              </w:rPr>
              <w:t>Повідомлення про згоду на переведення не</w:t>
            </w:r>
            <w:r w:rsidRPr="00E831C5">
              <w:rPr>
                <w:rFonts w:ascii="Times New Roman" w:hAnsi="Times New Roman" w:cs="Times New Roman"/>
                <w:b/>
                <w:bCs/>
                <w:sz w:val="24"/>
                <w:szCs w:val="24"/>
              </w:rPr>
              <w:t xml:space="preserve"> вимагається та не надається уповноваженою депозитарною установою у випадках, визначених пунктами 24 та 33 цього Порядку.</w:t>
            </w:r>
          </w:p>
        </w:tc>
      </w:tr>
      <w:tr w:rsidR="00993B10" w:rsidRPr="00993B10" w14:paraId="276435AF" w14:textId="77777777" w:rsidTr="0082760C">
        <w:tc>
          <w:tcPr>
            <w:tcW w:w="2500" w:type="pct"/>
          </w:tcPr>
          <w:p w14:paraId="5CF15992" w14:textId="77777777" w:rsidR="00482F51" w:rsidRPr="00993B10" w:rsidRDefault="00482F51" w:rsidP="00482F51">
            <w:pPr>
              <w:ind w:firstLine="567"/>
              <w:jc w:val="both"/>
              <w:rPr>
                <w:rFonts w:ascii="Times New Roman" w:hAnsi="Times New Roman" w:cs="Times New Roman"/>
                <w:sz w:val="24"/>
                <w:szCs w:val="24"/>
              </w:rPr>
            </w:pPr>
            <w:r w:rsidRPr="00993B10">
              <w:rPr>
                <w:rFonts w:ascii="Times New Roman" w:hAnsi="Times New Roman" w:cs="Times New Roman"/>
                <w:sz w:val="24"/>
                <w:szCs w:val="24"/>
              </w:rPr>
              <w:lastRenderedPageBreak/>
              <w:t>24. Для обліку часток, які є об'єктами державної власності та управління якими здійснюється органами державної влади або іншими органами, визначеними Законом України "Про управління об'єктами державної власності", які не є суб'єктами господарювання, рахунки учасника товариства у обліковій системі часток відкриваються на ім'я держави в розрізі кожного із суб'єктів управління об'єктами державної власності, які відповідно до законодавства та в межах повноважень, визначених законом, рішенням Кабінету Міністрів України, виконують функції з управління відповідними частками товариств (далі - суб'єкт управління) окремо для кожної частки, якою володіє держава, та управління якою здійснює цей суб'єкт управління. Керуючим рахунком учасника товариства - держави є суб'єкт управління. Рахунок учасника товариства - держави відкривається в обліковій системі часток із зазначенням відомостей про суб'єкта управління в порядку, передбаченому внутрішніми документами Центрального депозитарію.</w:t>
            </w:r>
          </w:p>
          <w:p w14:paraId="3278A46A" w14:textId="77777777" w:rsidR="00482F51" w:rsidRPr="00993B10" w:rsidRDefault="00482F51" w:rsidP="00482F51">
            <w:pPr>
              <w:ind w:firstLine="567"/>
              <w:jc w:val="both"/>
              <w:rPr>
                <w:rFonts w:ascii="Times New Roman" w:hAnsi="Times New Roman" w:cs="Times New Roman"/>
                <w:sz w:val="24"/>
                <w:szCs w:val="24"/>
              </w:rPr>
            </w:pPr>
            <w:r w:rsidRPr="00993B10">
              <w:rPr>
                <w:rFonts w:ascii="Times New Roman" w:hAnsi="Times New Roman" w:cs="Times New Roman"/>
                <w:sz w:val="24"/>
                <w:szCs w:val="24"/>
              </w:rPr>
              <w:t>Договір щодо обслуговування рахунку (рахунків) учасника товариства в обліковій системі часток на ім'я держави укладається між суб'єктом управління та Центральним депозитарієм або уповноваженою депозитарною установою.</w:t>
            </w:r>
          </w:p>
          <w:p w14:paraId="64B6A8A7" w14:textId="77777777" w:rsidR="00482F51" w:rsidRPr="00993B10" w:rsidRDefault="00482F51" w:rsidP="00482F51">
            <w:pPr>
              <w:ind w:firstLine="567"/>
              <w:jc w:val="both"/>
              <w:rPr>
                <w:rFonts w:ascii="Times New Roman" w:hAnsi="Times New Roman" w:cs="Times New Roman"/>
                <w:strike/>
                <w:sz w:val="24"/>
                <w:szCs w:val="24"/>
              </w:rPr>
            </w:pPr>
            <w:r w:rsidRPr="00993B10">
              <w:rPr>
                <w:rFonts w:ascii="Times New Roman" w:hAnsi="Times New Roman" w:cs="Times New Roman"/>
                <w:strike/>
                <w:sz w:val="24"/>
                <w:szCs w:val="24"/>
              </w:rPr>
              <w:t xml:space="preserve">У разі розірвання суб'єктом управління договору щодо обслуговування рахунку (рахунків) учасника товариства, який був укладений ним з певною уповноваженою депозитарною установою, та укладення такого договору з іншою уповноваженою депозитарною </w:t>
            </w:r>
            <w:r w:rsidRPr="00993B10">
              <w:rPr>
                <w:rFonts w:ascii="Times New Roman" w:hAnsi="Times New Roman" w:cs="Times New Roman"/>
                <w:strike/>
                <w:sz w:val="24"/>
                <w:szCs w:val="24"/>
              </w:rPr>
              <w:lastRenderedPageBreak/>
              <w:t>установою або безпосередньо з Центральним депозитарієм, право щодо обслуговування відповідного рахунку в частині обліку на ньому часток товариств, за якими він виконує функції з управління, переходить до нової уповноваженої депозитарної установи або Центрального депозитарію відповідно. Переведення обслуговування рахунку учасника товариства до нової уповноваженої депозитарної установи або Центрального депозитарію здійснюється Центральним депозитарієм в порядку, передбаченому внутрішніми документами Центрального депозитарію, на підставі відповідного розпорядження нової уповноваженої депозитарної установи або внутрішнього розпорядження Центрального депозитарію відповідно.</w:t>
            </w:r>
          </w:p>
          <w:p w14:paraId="01294B2C" w14:textId="513DEFEF" w:rsidR="00482F51" w:rsidRPr="00993B10" w:rsidRDefault="00482F51" w:rsidP="00482F51">
            <w:pPr>
              <w:ind w:firstLine="567"/>
              <w:jc w:val="both"/>
              <w:rPr>
                <w:rFonts w:ascii="Times New Roman" w:hAnsi="Times New Roman" w:cs="Times New Roman"/>
                <w:sz w:val="24"/>
                <w:szCs w:val="24"/>
              </w:rPr>
            </w:pPr>
            <w:r w:rsidRPr="00993B10">
              <w:rPr>
                <w:rFonts w:ascii="Times New Roman" w:hAnsi="Times New Roman" w:cs="Times New Roman"/>
                <w:sz w:val="24"/>
                <w:szCs w:val="24"/>
              </w:rPr>
              <w:t>(…)</w:t>
            </w:r>
          </w:p>
        </w:tc>
        <w:tc>
          <w:tcPr>
            <w:tcW w:w="2500" w:type="pct"/>
          </w:tcPr>
          <w:p w14:paraId="1E62079A" w14:textId="77777777" w:rsidR="00463D5C" w:rsidRPr="009C57E0" w:rsidRDefault="00463D5C" w:rsidP="00455D01">
            <w:pPr>
              <w:pStyle w:val="a7"/>
              <w:spacing w:before="0" w:beforeAutospacing="0" w:after="0" w:afterAutospacing="0"/>
              <w:ind w:firstLine="567"/>
              <w:jc w:val="both"/>
              <w:rPr>
                <w:b/>
                <w:bCs/>
              </w:rPr>
            </w:pPr>
          </w:p>
          <w:p w14:paraId="62744B10" w14:textId="77777777" w:rsidR="00463D5C" w:rsidRPr="009C57E0" w:rsidRDefault="00463D5C" w:rsidP="00455D01">
            <w:pPr>
              <w:pStyle w:val="a7"/>
              <w:spacing w:before="0" w:beforeAutospacing="0" w:after="0" w:afterAutospacing="0"/>
              <w:ind w:firstLine="567"/>
              <w:jc w:val="both"/>
              <w:rPr>
                <w:b/>
                <w:bCs/>
              </w:rPr>
            </w:pPr>
          </w:p>
          <w:p w14:paraId="7548D48D" w14:textId="77777777" w:rsidR="00463D5C" w:rsidRPr="009C57E0" w:rsidRDefault="00463D5C" w:rsidP="00455D01">
            <w:pPr>
              <w:pStyle w:val="a7"/>
              <w:spacing w:before="0" w:beforeAutospacing="0" w:after="0" w:afterAutospacing="0"/>
              <w:ind w:firstLine="567"/>
              <w:jc w:val="both"/>
              <w:rPr>
                <w:b/>
                <w:bCs/>
              </w:rPr>
            </w:pPr>
          </w:p>
          <w:p w14:paraId="350B5D40" w14:textId="77777777" w:rsidR="00463D5C" w:rsidRPr="009C57E0" w:rsidRDefault="00463D5C" w:rsidP="00455D01">
            <w:pPr>
              <w:pStyle w:val="a7"/>
              <w:spacing w:before="0" w:beforeAutospacing="0" w:after="0" w:afterAutospacing="0"/>
              <w:ind w:firstLine="567"/>
              <w:jc w:val="both"/>
              <w:rPr>
                <w:b/>
                <w:bCs/>
              </w:rPr>
            </w:pPr>
          </w:p>
          <w:p w14:paraId="300E66E4" w14:textId="77777777" w:rsidR="00463D5C" w:rsidRPr="009C57E0" w:rsidRDefault="00463D5C" w:rsidP="00455D01">
            <w:pPr>
              <w:pStyle w:val="a7"/>
              <w:spacing w:before="0" w:beforeAutospacing="0" w:after="0" w:afterAutospacing="0"/>
              <w:ind w:firstLine="567"/>
              <w:jc w:val="both"/>
              <w:rPr>
                <w:b/>
                <w:bCs/>
              </w:rPr>
            </w:pPr>
          </w:p>
          <w:p w14:paraId="3CE107CE" w14:textId="77777777" w:rsidR="00463D5C" w:rsidRPr="009C57E0" w:rsidRDefault="00463D5C" w:rsidP="00455D01">
            <w:pPr>
              <w:pStyle w:val="a7"/>
              <w:spacing w:before="0" w:beforeAutospacing="0" w:after="0" w:afterAutospacing="0"/>
              <w:ind w:firstLine="567"/>
              <w:jc w:val="both"/>
              <w:rPr>
                <w:b/>
                <w:bCs/>
              </w:rPr>
            </w:pPr>
          </w:p>
          <w:p w14:paraId="01F87DE9" w14:textId="77777777" w:rsidR="00463D5C" w:rsidRPr="009C57E0" w:rsidRDefault="00463D5C" w:rsidP="00455D01">
            <w:pPr>
              <w:pStyle w:val="a7"/>
              <w:spacing w:before="0" w:beforeAutospacing="0" w:after="0" w:afterAutospacing="0"/>
              <w:ind w:firstLine="567"/>
              <w:jc w:val="both"/>
              <w:rPr>
                <w:b/>
                <w:bCs/>
              </w:rPr>
            </w:pPr>
          </w:p>
          <w:p w14:paraId="492C0555" w14:textId="77777777" w:rsidR="00463D5C" w:rsidRPr="009C57E0" w:rsidRDefault="00463D5C" w:rsidP="00455D01">
            <w:pPr>
              <w:pStyle w:val="a7"/>
              <w:spacing w:before="0" w:beforeAutospacing="0" w:after="0" w:afterAutospacing="0"/>
              <w:ind w:firstLine="567"/>
              <w:jc w:val="both"/>
              <w:rPr>
                <w:b/>
                <w:bCs/>
              </w:rPr>
            </w:pPr>
          </w:p>
          <w:p w14:paraId="247AF109" w14:textId="77777777" w:rsidR="00463D5C" w:rsidRPr="009C57E0" w:rsidRDefault="00463D5C" w:rsidP="00455D01">
            <w:pPr>
              <w:pStyle w:val="a7"/>
              <w:spacing w:before="0" w:beforeAutospacing="0" w:after="0" w:afterAutospacing="0"/>
              <w:ind w:firstLine="567"/>
              <w:jc w:val="both"/>
              <w:rPr>
                <w:b/>
                <w:bCs/>
              </w:rPr>
            </w:pPr>
          </w:p>
          <w:p w14:paraId="478BE605" w14:textId="77777777" w:rsidR="00463D5C" w:rsidRPr="009C57E0" w:rsidRDefault="00463D5C" w:rsidP="00455D01">
            <w:pPr>
              <w:pStyle w:val="a7"/>
              <w:spacing w:before="0" w:beforeAutospacing="0" w:after="0" w:afterAutospacing="0"/>
              <w:ind w:firstLine="567"/>
              <w:jc w:val="both"/>
              <w:rPr>
                <w:b/>
                <w:bCs/>
              </w:rPr>
            </w:pPr>
          </w:p>
          <w:p w14:paraId="39B28529" w14:textId="77777777" w:rsidR="00463D5C" w:rsidRPr="009C57E0" w:rsidRDefault="00463D5C" w:rsidP="00455D01">
            <w:pPr>
              <w:pStyle w:val="a7"/>
              <w:spacing w:before="0" w:beforeAutospacing="0" w:after="0" w:afterAutospacing="0"/>
              <w:ind w:firstLine="567"/>
              <w:jc w:val="both"/>
              <w:rPr>
                <w:b/>
                <w:bCs/>
              </w:rPr>
            </w:pPr>
          </w:p>
          <w:p w14:paraId="72657DF0" w14:textId="77777777" w:rsidR="00463D5C" w:rsidRPr="009C57E0" w:rsidRDefault="00463D5C" w:rsidP="00455D01">
            <w:pPr>
              <w:pStyle w:val="a7"/>
              <w:spacing w:before="0" w:beforeAutospacing="0" w:after="0" w:afterAutospacing="0"/>
              <w:ind w:firstLine="567"/>
              <w:jc w:val="both"/>
              <w:rPr>
                <w:b/>
                <w:bCs/>
              </w:rPr>
            </w:pPr>
          </w:p>
          <w:p w14:paraId="6DA6E435" w14:textId="77777777" w:rsidR="00463D5C" w:rsidRPr="009C57E0" w:rsidRDefault="00463D5C" w:rsidP="00455D01">
            <w:pPr>
              <w:pStyle w:val="a7"/>
              <w:spacing w:before="0" w:beforeAutospacing="0" w:after="0" w:afterAutospacing="0"/>
              <w:ind w:firstLine="567"/>
              <w:jc w:val="both"/>
              <w:rPr>
                <w:b/>
                <w:bCs/>
              </w:rPr>
            </w:pPr>
          </w:p>
          <w:p w14:paraId="2BE64356" w14:textId="77777777" w:rsidR="00463D5C" w:rsidRPr="009C57E0" w:rsidRDefault="00463D5C" w:rsidP="00455D01">
            <w:pPr>
              <w:pStyle w:val="a7"/>
              <w:spacing w:before="0" w:beforeAutospacing="0" w:after="0" w:afterAutospacing="0"/>
              <w:ind w:firstLine="567"/>
              <w:jc w:val="both"/>
              <w:rPr>
                <w:b/>
                <w:bCs/>
              </w:rPr>
            </w:pPr>
          </w:p>
          <w:p w14:paraId="560D32B9" w14:textId="77777777" w:rsidR="00463D5C" w:rsidRPr="009C57E0" w:rsidRDefault="00463D5C" w:rsidP="00455D01">
            <w:pPr>
              <w:pStyle w:val="a7"/>
              <w:spacing w:before="0" w:beforeAutospacing="0" w:after="0" w:afterAutospacing="0"/>
              <w:ind w:firstLine="567"/>
              <w:jc w:val="both"/>
              <w:rPr>
                <w:b/>
                <w:bCs/>
              </w:rPr>
            </w:pPr>
          </w:p>
          <w:p w14:paraId="0101AFA0" w14:textId="77777777" w:rsidR="00463D5C" w:rsidRPr="009C57E0" w:rsidRDefault="00463D5C" w:rsidP="00455D01">
            <w:pPr>
              <w:pStyle w:val="a7"/>
              <w:spacing w:before="0" w:beforeAutospacing="0" w:after="0" w:afterAutospacing="0"/>
              <w:ind w:firstLine="567"/>
              <w:jc w:val="both"/>
              <w:rPr>
                <w:b/>
                <w:bCs/>
              </w:rPr>
            </w:pPr>
          </w:p>
          <w:p w14:paraId="20EA79CE" w14:textId="77777777" w:rsidR="00463D5C" w:rsidRPr="009C57E0" w:rsidRDefault="00463D5C" w:rsidP="00455D01">
            <w:pPr>
              <w:pStyle w:val="a7"/>
              <w:spacing w:before="0" w:beforeAutospacing="0" w:after="0" w:afterAutospacing="0"/>
              <w:ind w:firstLine="567"/>
              <w:jc w:val="both"/>
              <w:rPr>
                <w:b/>
                <w:bCs/>
              </w:rPr>
            </w:pPr>
          </w:p>
          <w:p w14:paraId="6EB72007" w14:textId="77777777" w:rsidR="00463D5C" w:rsidRPr="009C57E0" w:rsidRDefault="00463D5C" w:rsidP="00455D01">
            <w:pPr>
              <w:pStyle w:val="a7"/>
              <w:spacing w:before="0" w:beforeAutospacing="0" w:after="0" w:afterAutospacing="0"/>
              <w:ind w:firstLine="567"/>
              <w:jc w:val="both"/>
              <w:rPr>
                <w:b/>
                <w:bCs/>
              </w:rPr>
            </w:pPr>
          </w:p>
          <w:p w14:paraId="6C8CF76F" w14:textId="77777777" w:rsidR="00463D5C" w:rsidRPr="009C57E0" w:rsidRDefault="00463D5C" w:rsidP="00455D01">
            <w:pPr>
              <w:pStyle w:val="a7"/>
              <w:spacing w:before="0" w:beforeAutospacing="0" w:after="0" w:afterAutospacing="0"/>
              <w:ind w:firstLine="567"/>
              <w:jc w:val="both"/>
              <w:rPr>
                <w:b/>
                <w:bCs/>
              </w:rPr>
            </w:pPr>
          </w:p>
          <w:p w14:paraId="5D84A76E" w14:textId="7A54C8F7" w:rsidR="00482F51" w:rsidRPr="009C57E0" w:rsidRDefault="006A1173" w:rsidP="00455D01">
            <w:pPr>
              <w:pStyle w:val="a7"/>
              <w:spacing w:before="0" w:beforeAutospacing="0" w:after="0" w:afterAutospacing="0"/>
              <w:ind w:firstLine="567"/>
              <w:jc w:val="both"/>
              <w:rPr>
                <w:b/>
                <w:bCs/>
              </w:rPr>
            </w:pPr>
            <w:r w:rsidRPr="00E831C5">
              <w:rPr>
                <w:b/>
                <w:bCs/>
              </w:rPr>
              <w:t>Внесення змін до облікової системи часток щодо переведення обслуговування рахунку учасника товариства – держави з уповноваженої депозитарної установи / Центрального депозитарію</w:t>
            </w:r>
            <w:r w:rsidRPr="00E831C5">
              <w:rPr>
                <w:b/>
                <w:lang w:eastAsia="uk"/>
              </w:rPr>
              <w:t xml:space="preserve"> </w:t>
            </w:r>
            <w:r w:rsidRPr="00E831C5">
              <w:rPr>
                <w:b/>
                <w:bCs/>
                <w:lang w:eastAsia="en-US"/>
              </w:rPr>
              <w:t>до іншої уповноваженої депозитарної установи</w:t>
            </w:r>
            <w:r w:rsidRPr="00E831C5">
              <w:rPr>
                <w:b/>
                <w:bCs/>
              </w:rPr>
              <w:t xml:space="preserve"> / Центрального </w:t>
            </w:r>
            <w:r w:rsidRPr="00E831C5">
              <w:rPr>
                <w:b/>
                <w:bCs/>
              </w:rPr>
              <w:lastRenderedPageBreak/>
              <w:t xml:space="preserve">депозитарію, здійснюється в порядку передбаченому абзацами дев’ятим-дванадцятим пункту 18 цього розділу </w:t>
            </w:r>
            <w:r w:rsidRPr="006A1173">
              <w:rPr>
                <w:b/>
                <w:bCs/>
              </w:rPr>
              <w:t>(крім необхідності надання попередньою уповноваженою депозитарною установою згоди на переведення обслуговування рахунку учасника товариства - держави).</w:t>
            </w:r>
          </w:p>
          <w:p w14:paraId="45A8F2A8" w14:textId="67D44BD7" w:rsidR="00B23753" w:rsidRPr="009C57E0" w:rsidRDefault="00B23753" w:rsidP="00455D01">
            <w:pPr>
              <w:pStyle w:val="a7"/>
              <w:spacing w:before="0" w:beforeAutospacing="0" w:after="0" w:afterAutospacing="0"/>
              <w:ind w:firstLine="567"/>
              <w:jc w:val="both"/>
              <w:rPr>
                <w:b/>
                <w:bCs/>
              </w:rPr>
            </w:pPr>
          </w:p>
          <w:p w14:paraId="566E5391" w14:textId="3CCC672D" w:rsidR="00B23753" w:rsidRPr="009C57E0" w:rsidRDefault="00B23753" w:rsidP="00455D01">
            <w:pPr>
              <w:pStyle w:val="a7"/>
              <w:spacing w:before="0" w:beforeAutospacing="0" w:after="0" w:afterAutospacing="0"/>
              <w:ind w:firstLine="567"/>
              <w:jc w:val="both"/>
              <w:rPr>
                <w:b/>
                <w:bCs/>
              </w:rPr>
            </w:pPr>
          </w:p>
          <w:p w14:paraId="089EF926" w14:textId="1EC2BCA6" w:rsidR="00B23753" w:rsidRPr="009C57E0" w:rsidRDefault="00B23753" w:rsidP="00455D01">
            <w:pPr>
              <w:pStyle w:val="a7"/>
              <w:spacing w:before="0" w:beforeAutospacing="0" w:after="0" w:afterAutospacing="0"/>
              <w:ind w:firstLine="567"/>
              <w:jc w:val="both"/>
              <w:rPr>
                <w:b/>
                <w:bCs/>
              </w:rPr>
            </w:pPr>
          </w:p>
          <w:p w14:paraId="2FCBFCB4" w14:textId="495AFD21" w:rsidR="00B23753" w:rsidRPr="009C57E0" w:rsidRDefault="00B23753" w:rsidP="00455D01">
            <w:pPr>
              <w:pStyle w:val="a7"/>
              <w:spacing w:before="0" w:beforeAutospacing="0" w:after="0" w:afterAutospacing="0"/>
              <w:ind w:firstLine="567"/>
              <w:jc w:val="both"/>
              <w:rPr>
                <w:b/>
                <w:bCs/>
              </w:rPr>
            </w:pPr>
          </w:p>
          <w:p w14:paraId="42ADBF2B" w14:textId="480F0668" w:rsidR="00B23753" w:rsidRPr="009C57E0" w:rsidRDefault="00B23753" w:rsidP="00455D01">
            <w:pPr>
              <w:pStyle w:val="a7"/>
              <w:spacing w:before="0" w:beforeAutospacing="0" w:after="0" w:afterAutospacing="0"/>
              <w:ind w:firstLine="567"/>
              <w:jc w:val="both"/>
              <w:rPr>
                <w:b/>
                <w:bCs/>
              </w:rPr>
            </w:pPr>
          </w:p>
          <w:p w14:paraId="0375A03F" w14:textId="77DED0C1" w:rsidR="00B23753" w:rsidRPr="009C57E0" w:rsidRDefault="00B23753" w:rsidP="00455D01">
            <w:pPr>
              <w:pStyle w:val="a7"/>
              <w:spacing w:before="0" w:beforeAutospacing="0" w:after="0" w:afterAutospacing="0"/>
              <w:ind w:firstLine="567"/>
              <w:jc w:val="both"/>
              <w:rPr>
                <w:b/>
                <w:bCs/>
              </w:rPr>
            </w:pPr>
          </w:p>
          <w:p w14:paraId="28357F5F" w14:textId="07073414" w:rsidR="00482F51" w:rsidRPr="009C57E0" w:rsidRDefault="005E2763" w:rsidP="005E2763">
            <w:pPr>
              <w:pStyle w:val="a7"/>
              <w:spacing w:before="0" w:beforeAutospacing="0" w:after="0" w:afterAutospacing="0"/>
              <w:ind w:firstLine="567"/>
              <w:jc w:val="both"/>
            </w:pPr>
            <w:r w:rsidRPr="009C57E0">
              <w:t>(…)</w:t>
            </w:r>
          </w:p>
        </w:tc>
      </w:tr>
      <w:tr w:rsidR="00993B10" w:rsidRPr="00993B10" w14:paraId="104D9EFD" w14:textId="3124747E" w:rsidTr="0082760C">
        <w:tc>
          <w:tcPr>
            <w:tcW w:w="2500" w:type="pct"/>
          </w:tcPr>
          <w:p w14:paraId="4990AC8C" w14:textId="77777777" w:rsidR="0082760C" w:rsidRPr="00993B10" w:rsidRDefault="006D10CA" w:rsidP="0076508E">
            <w:pPr>
              <w:ind w:firstLine="567"/>
              <w:jc w:val="both"/>
              <w:rPr>
                <w:rFonts w:ascii="Times New Roman" w:hAnsi="Times New Roman" w:cs="Times New Roman"/>
                <w:sz w:val="24"/>
                <w:szCs w:val="24"/>
              </w:rPr>
            </w:pPr>
            <w:r w:rsidRPr="00993B10">
              <w:rPr>
                <w:rFonts w:ascii="Times New Roman" w:hAnsi="Times New Roman" w:cs="Times New Roman"/>
                <w:sz w:val="24"/>
                <w:szCs w:val="24"/>
              </w:rPr>
              <w:lastRenderedPageBreak/>
              <w:t>27. Внесення Центральним депозитарієм змін до облікової системи часток внаслідок набуття або припинення прав на частки, встановлення обмежень (блокування) або зняття обмеження (розблокування) щодо часток товариства, крім випадків, передбачених пунктом 11 розділу II цього Порядку, підпунктами 4, 6 цього пункту, пунктами 33, 38, 40 цього розділу, та у разі встановлення заборони щодо реєстрації зміни права власності на частки товариства в день проведення загальних зборів учасників товариства із застосуванням засобів електронних комунікацій через облікову систему часток, здійснюється на підставі розпоряджень уповноважених депозитарних установ, що обслуговують рахунки учасників товариства, на рахунках яких вносяться зміни в обліковій системі часток, та/або, якщо рахунок обслуговується на підставі договору з Центральним депозитарієм, на підставі розпоряджень своїх клієнтів - товариств або учасників товариств, з якими Центральним депозитарієм укладено відповідний договір, крім проведення безумовних операцій за таким рахунком, а також випадку, передбаченого підпунктом 7 цього пункту.</w:t>
            </w:r>
          </w:p>
          <w:p w14:paraId="48703B41" w14:textId="77777777" w:rsidR="0076508E" w:rsidRPr="00993B10" w:rsidRDefault="0076508E" w:rsidP="0076508E">
            <w:pPr>
              <w:ind w:firstLine="567"/>
              <w:jc w:val="both"/>
              <w:rPr>
                <w:rFonts w:ascii="Times New Roman" w:hAnsi="Times New Roman" w:cs="Times New Roman"/>
                <w:sz w:val="24"/>
                <w:szCs w:val="24"/>
              </w:rPr>
            </w:pPr>
            <w:r w:rsidRPr="00993B10">
              <w:rPr>
                <w:rFonts w:ascii="Times New Roman" w:hAnsi="Times New Roman" w:cs="Times New Roman"/>
                <w:sz w:val="24"/>
                <w:szCs w:val="24"/>
              </w:rPr>
              <w:t>(…)</w:t>
            </w:r>
          </w:p>
          <w:p w14:paraId="00D49DCD" w14:textId="77777777" w:rsidR="0076508E" w:rsidRPr="00993B10" w:rsidRDefault="0076508E" w:rsidP="0076508E">
            <w:pPr>
              <w:pStyle w:val="rvps2"/>
              <w:spacing w:before="0" w:beforeAutospacing="0" w:after="0" w:afterAutospacing="0"/>
              <w:rPr>
                <w:lang w:val="uk" w:eastAsia="uk"/>
              </w:rPr>
            </w:pPr>
            <w:r w:rsidRPr="00993B10">
              <w:rPr>
                <w:lang w:val="uk" w:eastAsia="uk"/>
              </w:rPr>
              <w:t>Документами, що підтверджують наявність підстав для внесення змін до облікової системи часток є:</w:t>
            </w:r>
          </w:p>
          <w:p w14:paraId="1486C728" w14:textId="77777777" w:rsidR="0076508E" w:rsidRPr="00993B10" w:rsidRDefault="0076508E" w:rsidP="0076508E">
            <w:pPr>
              <w:ind w:firstLine="567"/>
              <w:jc w:val="both"/>
              <w:rPr>
                <w:rFonts w:ascii="Times New Roman" w:hAnsi="Times New Roman" w:cs="Times New Roman"/>
                <w:sz w:val="24"/>
                <w:szCs w:val="24"/>
              </w:rPr>
            </w:pPr>
            <w:r w:rsidRPr="00993B10">
              <w:rPr>
                <w:rFonts w:ascii="Times New Roman" w:hAnsi="Times New Roman" w:cs="Times New Roman"/>
                <w:sz w:val="24"/>
                <w:szCs w:val="24"/>
              </w:rPr>
              <w:t>(…)</w:t>
            </w:r>
          </w:p>
          <w:p w14:paraId="1B5CD731" w14:textId="77777777" w:rsidR="0076508E" w:rsidRPr="00993B10" w:rsidRDefault="0076508E" w:rsidP="0076508E">
            <w:pPr>
              <w:ind w:firstLine="567"/>
              <w:jc w:val="both"/>
              <w:rPr>
                <w:rFonts w:ascii="Times New Roman" w:hAnsi="Times New Roman" w:cs="Times New Roman"/>
                <w:sz w:val="24"/>
                <w:szCs w:val="24"/>
              </w:rPr>
            </w:pPr>
            <w:r w:rsidRPr="00993B10">
              <w:rPr>
                <w:rFonts w:ascii="Times New Roman" w:hAnsi="Times New Roman" w:cs="Times New Roman"/>
                <w:sz w:val="24"/>
                <w:szCs w:val="24"/>
              </w:rPr>
              <w:lastRenderedPageBreak/>
              <w:t>4) у разі збільшення/зменшення статутного капіталу товариства за рішенням загальних зборів учасників товариства:</w:t>
            </w:r>
          </w:p>
          <w:p w14:paraId="53B843A6" w14:textId="77777777" w:rsidR="0076508E" w:rsidRPr="00993B10" w:rsidRDefault="0076508E" w:rsidP="0076508E">
            <w:pPr>
              <w:ind w:firstLine="567"/>
              <w:jc w:val="both"/>
              <w:rPr>
                <w:rFonts w:ascii="Times New Roman" w:hAnsi="Times New Roman" w:cs="Times New Roman"/>
                <w:sz w:val="24"/>
                <w:szCs w:val="24"/>
              </w:rPr>
            </w:pPr>
            <w:r w:rsidRPr="00993B10">
              <w:rPr>
                <w:rFonts w:ascii="Times New Roman" w:hAnsi="Times New Roman" w:cs="Times New Roman"/>
                <w:sz w:val="24"/>
                <w:szCs w:val="24"/>
              </w:rPr>
              <w:t>оригінал або належним чином засвідчена копія рішення загальних зборів учасників про збільшення/зменшення статутного капіталу;</w:t>
            </w:r>
          </w:p>
          <w:p w14:paraId="5F0810C4" w14:textId="77777777" w:rsidR="0076508E" w:rsidRPr="00993B10" w:rsidRDefault="0076508E" w:rsidP="0076508E">
            <w:pPr>
              <w:ind w:firstLine="567"/>
              <w:jc w:val="both"/>
              <w:rPr>
                <w:rFonts w:ascii="Times New Roman" w:hAnsi="Times New Roman" w:cs="Times New Roman"/>
                <w:sz w:val="24"/>
                <w:szCs w:val="24"/>
              </w:rPr>
            </w:pPr>
            <w:r w:rsidRPr="00993B10">
              <w:rPr>
                <w:rFonts w:ascii="Times New Roman" w:hAnsi="Times New Roman" w:cs="Times New Roman"/>
                <w:sz w:val="24"/>
                <w:szCs w:val="24"/>
              </w:rPr>
              <w:t>дані Єдиного державного реєстру;</w:t>
            </w:r>
          </w:p>
          <w:p w14:paraId="53782AC2" w14:textId="77777777" w:rsidR="0076508E" w:rsidRPr="00993B10" w:rsidRDefault="0076508E" w:rsidP="0076508E">
            <w:pPr>
              <w:ind w:firstLine="567"/>
              <w:jc w:val="both"/>
              <w:rPr>
                <w:rFonts w:ascii="Times New Roman" w:hAnsi="Times New Roman" w:cs="Times New Roman"/>
                <w:sz w:val="24"/>
                <w:szCs w:val="24"/>
              </w:rPr>
            </w:pPr>
            <w:r w:rsidRPr="00993B10">
              <w:rPr>
                <w:rFonts w:ascii="Times New Roman" w:hAnsi="Times New Roman" w:cs="Times New Roman"/>
                <w:sz w:val="24"/>
                <w:szCs w:val="24"/>
              </w:rPr>
              <w:t>відомості, визначені внутрішніми документами Центрального депозитарію щодо нових учасників товариства (подається за необхідності у разі збільшення статутного капіталу).</w:t>
            </w:r>
          </w:p>
          <w:p w14:paraId="33E5602D" w14:textId="311F17B6" w:rsidR="0076508E" w:rsidRDefault="0076508E" w:rsidP="0076508E">
            <w:pPr>
              <w:ind w:firstLine="567"/>
              <w:jc w:val="both"/>
              <w:rPr>
                <w:rFonts w:ascii="Times New Roman" w:hAnsi="Times New Roman" w:cs="Times New Roman"/>
                <w:sz w:val="24"/>
                <w:szCs w:val="24"/>
              </w:rPr>
            </w:pPr>
            <w:r w:rsidRPr="00993B10">
              <w:rPr>
                <w:rFonts w:ascii="Times New Roman" w:hAnsi="Times New Roman" w:cs="Times New Roman"/>
                <w:sz w:val="24"/>
                <w:szCs w:val="24"/>
              </w:rPr>
              <w:t>У разі внесення змін до облікової системи часток щодо збільшення статутного капіталу товариства за рішенням загальних зборів учасників товариства у зв'язку з включенням нового учасника (нових учасників) до складу товариства, Центральний депозитарій відкриває рахунок новому учаснику (новим учасникам) товариства в обліковій системі часток на підставі відомостей, отриманих від товариства, та здійснює відображення відповідних змін в обліковій системі часток. На рахунку нового учасника (нових учасників) товариства в обліковій системі часток, відкритому (відкритим) Центральним депозитарієм відповідно до цього підпункту для забезпечення відображення в обліковій системі часток змін щодо збільшення статутного капіталу товариства, не вносяться зміни (крім випадків, передбачених підпунктами 2, 4, 6, цього пункту та пунктом 40 розділу IV цього Порядку) до моменту укладення таким учасником товариства договору щодо обслуговування рахунку (рахунків) учасника товариства з уповноваженою депозитарною установою/ Центральним депозитарієм (у разі відсутності відповідного договору) або до моменту прийняття на обслуговування уповноваженою депозитарною установою / Центральним депозитарієм відповідного рахунку учасника товариства в обліковій системі часток (у разі, якщо договір щодо обслуговування рахунку(</w:t>
            </w:r>
            <w:proofErr w:type="spellStart"/>
            <w:r w:rsidRPr="00993B10">
              <w:rPr>
                <w:rFonts w:ascii="Times New Roman" w:hAnsi="Times New Roman" w:cs="Times New Roman"/>
                <w:sz w:val="24"/>
                <w:szCs w:val="24"/>
              </w:rPr>
              <w:t>ів</w:t>
            </w:r>
            <w:proofErr w:type="spellEnd"/>
            <w:r w:rsidRPr="00993B10">
              <w:rPr>
                <w:rFonts w:ascii="Times New Roman" w:hAnsi="Times New Roman" w:cs="Times New Roman"/>
                <w:sz w:val="24"/>
                <w:szCs w:val="24"/>
              </w:rPr>
              <w:t>) учасника товариства в обліковій системі часток з відповідною особою вже було укладено);</w:t>
            </w:r>
          </w:p>
          <w:p w14:paraId="10DD7EEE" w14:textId="77777777" w:rsidR="006A1173" w:rsidRPr="00993B10" w:rsidRDefault="006A1173" w:rsidP="0076508E">
            <w:pPr>
              <w:ind w:firstLine="567"/>
              <w:jc w:val="both"/>
              <w:rPr>
                <w:rFonts w:ascii="Times New Roman" w:hAnsi="Times New Roman" w:cs="Times New Roman"/>
                <w:sz w:val="24"/>
                <w:szCs w:val="24"/>
              </w:rPr>
            </w:pPr>
          </w:p>
          <w:p w14:paraId="2C7CF59D" w14:textId="4F9A985E" w:rsidR="00441A2B" w:rsidRPr="00993B10" w:rsidRDefault="00441A2B" w:rsidP="00441A2B">
            <w:pPr>
              <w:pStyle w:val="rvps2"/>
              <w:spacing w:before="0" w:beforeAutospacing="0" w:after="0" w:afterAutospacing="0"/>
              <w:ind w:firstLine="567"/>
              <w:jc w:val="both"/>
              <w:rPr>
                <w:b/>
                <w:lang w:val="uk" w:eastAsia="uk"/>
              </w:rPr>
            </w:pPr>
            <w:r w:rsidRPr="00993B10">
              <w:rPr>
                <w:b/>
                <w:lang w:val="uk" w:eastAsia="uk"/>
              </w:rPr>
              <w:t>Відсутній</w:t>
            </w:r>
          </w:p>
          <w:p w14:paraId="78D42F54" w14:textId="68C6E528" w:rsidR="00463D5C" w:rsidRPr="00993B10" w:rsidRDefault="00463D5C" w:rsidP="00441A2B">
            <w:pPr>
              <w:pStyle w:val="rvps2"/>
              <w:spacing w:before="0" w:beforeAutospacing="0" w:after="0" w:afterAutospacing="0"/>
              <w:ind w:firstLine="567"/>
              <w:jc w:val="both"/>
              <w:rPr>
                <w:b/>
                <w:lang w:val="uk" w:eastAsia="uk"/>
              </w:rPr>
            </w:pPr>
          </w:p>
          <w:p w14:paraId="31522E29" w14:textId="31FBF123" w:rsidR="00463D5C" w:rsidRPr="00993B10" w:rsidRDefault="00463D5C" w:rsidP="00441A2B">
            <w:pPr>
              <w:pStyle w:val="rvps2"/>
              <w:spacing w:before="0" w:beforeAutospacing="0" w:after="0" w:afterAutospacing="0"/>
              <w:ind w:firstLine="567"/>
              <w:jc w:val="both"/>
              <w:rPr>
                <w:b/>
                <w:lang w:val="uk" w:eastAsia="uk"/>
              </w:rPr>
            </w:pPr>
          </w:p>
          <w:p w14:paraId="295EAA47" w14:textId="44CD1F7F" w:rsidR="00463D5C" w:rsidRPr="00993B10" w:rsidRDefault="00463D5C" w:rsidP="00441A2B">
            <w:pPr>
              <w:pStyle w:val="rvps2"/>
              <w:spacing w:before="0" w:beforeAutospacing="0" w:after="0" w:afterAutospacing="0"/>
              <w:ind w:firstLine="567"/>
              <w:jc w:val="both"/>
              <w:rPr>
                <w:b/>
                <w:lang w:val="uk" w:eastAsia="uk"/>
              </w:rPr>
            </w:pPr>
          </w:p>
          <w:p w14:paraId="0C3E182B" w14:textId="666BE141" w:rsidR="00463D5C" w:rsidRPr="00993B10" w:rsidRDefault="00463D5C" w:rsidP="00441A2B">
            <w:pPr>
              <w:pStyle w:val="rvps2"/>
              <w:spacing w:before="0" w:beforeAutospacing="0" w:after="0" w:afterAutospacing="0"/>
              <w:ind w:firstLine="567"/>
              <w:jc w:val="both"/>
              <w:rPr>
                <w:b/>
                <w:lang w:val="uk" w:eastAsia="uk"/>
              </w:rPr>
            </w:pPr>
          </w:p>
          <w:p w14:paraId="41ACCFBE" w14:textId="7154BD2D" w:rsidR="00463D5C" w:rsidRDefault="00463D5C" w:rsidP="00441A2B">
            <w:pPr>
              <w:pStyle w:val="rvps2"/>
              <w:spacing w:before="0" w:beforeAutospacing="0" w:after="0" w:afterAutospacing="0"/>
              <w:ind w:firstLine="567"/>
              <w:jc w:val="both"/>
              <w:rPr>
                <w:b/>
                <w:lang w:val="uk" w:eastAsia="uk"/>
              </w:rPr>
            </w:pPr>
          </w:p>
          <w:p w14:paraId="5AEA5651" w14:textId="77777777" w:rsidR="006A1173" w:rsidRPr="00993B10" w:rsidRDefault="006A1173" w:rsidP="00441A2B">
            <w:pPr>
              <w:pStyle w:val="rvps2"/>
              <w:spacing w:before="0" w:beforeAutospacing="0" w:after="0" w:afterAutospacing="0"/>
              <w:ind w:firstLine="567"/>
              <w:jc w:val="both"/>
              <w:rPr>
                <w:b/>
                <w:lang w:val="uk" w:eastAsia="uk"/>
              </w:rPr>
            </w:pPr>
          </w:p>
          <w:p w14:paraId="1CEEBCD5" w14:textId="51FE21C1" w:rsidR="00463D5C" w:rsidRDefault="00463D5C" w:rsidP="00A46602">
            <w:pPr>
              <w:pStyle w:val="rvps2"/>
              <w:spacing w:before="0" w:beforeAutospacing="0" w:after="0" w:afterAutospacing="0"/>
              <w:jc w:val="both"/>
              <w:rPr>
                <w:b/>
                <w:lang w:val="uk" w:eastAsia="uk"/>
              </w:rPr>
            </w:pPr>
          </w:p>
          <w:p w14:paraId="1D61B791" w14:textId="77777777" w:rsidR="006A1173" w:rsidRPr="00993B10" w:rsidRDefault="006A1173" w:rsidP="00A46602">
            <w:pPr>
              <w:pStyle w:val="rvps2"/>
              <w:spacing w:before="0" w:beforeAutospacing="0" w:after="0" w:afterAutospacing="0"/>
              <w:jc w:val="both"/>
              <w:rPr>
                <w:b/>
                <w:lang w:val="uk" w:eastAsia="uk"/>
              </w:rPr>
            </w:pPr>
          </w:p>
          <w:p w14:paraId="4B07C5B7" w14:textId="70F936D2" w:rsidR="0076508E" w:rsidRPr="00993B10" w:rsidRDefault="0076508E" w:rsidP="0076508E">
            <w:pPr>
              <w:ind w:firstLine="567"/>
              <w:jc w:val="both"/>
              <w:rPr>
                <w:rFonts w:ascii="Times New Roman" w:hAnsi="Times New Roman" w:cs="Times New Roman"/>
                <w:sz w:val="24"/>
                <w:szCs w:val="24"/>
              </w:rPr>
            </w:pPr>
            <w:r w:rsidRPr="00993B10">
              <w:rPr>
                <w:rFonts w:ascii="Times New Roman" w:hAnsi="Times New Roman" w:cs="Times New Roman"/>
                <w:sz w:val="24"/>
                <w:szCs w:val="24"/>
              </w:rPr>
              <w:t>(…)</w:t>
            </w:r>
          </w:p>
        </w:tc>
        <w:tc>
          <w:tcPr>
            <w:tcW w:w="2500" w:type="pct"/>
          </w:tcPr>
          <w:p w14:paraId="40900826" w14:textId="77777777" w:rsidR="0082760C" w:rsidRPr="00993B10" w:rsidRDefault="0082760C" w:rsidP="00455D01">
            <w:pPr>
              <w:pStyle w:val="a7"/>
              <w:spacing w:before="0" w:beforeAutospacing="0" w:after="0" w:afterAutospacing="0"/>
              <w:ind w:firstLine="567"/>
              <w:jc w:val="both"/>
            </w:pPr>
          </w:p>
          <w:p w14:paraId="1D376915" w14:textId="77777777" w:rsidR="0076508E" w:rsidRPr="00993B10" w:rsidRDefault="0076508E" w:rsidP="00455D01">
            <w:pPr>
              <w:pStyle w:val="a7"/>
              <w:spacing w:before="0" w:beforeAutospacing="0" w:after="0" w:afterAutospacing="0"/>
              <w:ind w:firstLine="567"/>
              <w:jc w:val="both"/>
            </w:pPr>
          </w:p>
          <w:p w14:paraId="0CA45813" w14:textId="77777777" w:rsidR="0076508E" w:rsidRPr="00993B10" w:rsidRDefault="0076508E" w:rsidP="00455D01">
            <w:pPr>
              <w:pStyle w:val="a7"/>
              <w:spacing w:before="0" w:beforeAutospacing="0" w:after="0" w:afterAutospacing="0"/>
              <w:ind w:firstLine="567"/>
              <w:jc w:val="both"/>
            </w:pPr>
          </w:p>
          <w:p w14:paraId="6D83D16A" w14:textId="77777777" w:rsidR="0076508E" w:rsidRPr="00993B10" w:rsidRDefault="0076508E" w:rsidP="00455D01">
            <w:pPr>
              <w:pStyle w:val="a7"/>
              <w:spacing w:before="0" w:beforeAutospacing="0" w:after="0" w:afterAutospacing="0"/>
              <w:ind w:firstLine="567"/>
              <w:jc w:val="both"/>
            </w:pPr>
          </w:p>
          <w:p w14:paraId="183777E2" w14:textId="77777777" w:rsidR="0076508E" w:rsidRPr="00993B10" w:rsidRDefault="0076508E" w:rsidP="00455D01">
            <w:pPr>
              <w:pStyle w:val="a7"/>
              <w:spacing w:before="0" w:beforeAutospacing="0" w:after="0" w:afterAutospacing="0"/>
              <w:ind w:firstLine="567"/>
              <w:jc w:val="both"/>
            </w:pPr>
          </w:p>
          <w:p w14:paraId="1271A3E9" w14:textId="77777777" w:rsidR="0076508E" w:rsidRPr="00993B10" w:rsidRDefault="0076508E" w:rsidP="00455D01">
            <w:pPr>
              <w:pStyle w:val="a7"/>
              <w:spacing w:before="0" w:beforeAutospacing="0" w:after="0" w:afterAutospacing="0"/>
              <w:ind w:firstLine="567"/>
              <w:jc w:val="both"/>
            </w:pPr>
          </w:p>
          <w:p w14:paraId="5ED4F5C2" w14:textId="77777777" w:rsidR="0076508E" w:rsidRPr="00993B10" w:rsidRDefault="0076508E" w:rsidP="00455D01">
            <w:pPr>
              <w:pStyle w:val="a7"/>
              <w:spacing w:before="0" w:beforeAutospacing="0" w:after="0" w:afterAutospacing="0"/>
              <w:ind w:firstLine="567"/>
              <w:jc w:val="both"/>
            </w:pPr>
          </w:p>
          <w:p w14:paraId="475490E9" w14:textId="77777777" w:rsidR="0076508E" w:rsidRPr="00993B10" w:rsidRDefault="0076508E" w:rsidP="00455D01">
            <w:pPr>
              <w:pStyle w:val="a7"/>
              <w:spacing w:before="0" w:beforeAutospacing="0" w:after="0" w:afterAutospacing="0"/>
              <w:ind w:firstLine="567"/>
              <w:jc w:val="both"/>
            </w:pPr>
          </w:p>
          <w:p w14:paraId="00BE0135" w14:textId="77777777" w:rsidR="0076508E" w:rsidRPr="00993B10" w:rsidRDefault="0076508E" w:rsidP="00455D01">
            <w:pPr>
              <w:pStyle w:val="a7"/>
              <w:spacing w:before="0" w:beforeAutospacing="0" w:after="0" w:afterAutospacing="0"/>
              <w:ind w:firstLine="567"/>
              <w:jc w:val="both"/>
            </w:pPr>
          </w:p>
          <w:p w14:paraId="6226F51E" w14:textId="77777777" w:rsidR="0076508E" w:rsidRPr="00993B10" w:rsidRDefault="0076508E" w:rsidP="00455D01">
            <w:pPr>
              <w:pStyle w:val="a7"/>
              <w:spacing w:before="0" w:beforeAutospacing="0" w:after="0" w:afterAutospacing="0"/>
              <w:ind w:firstLine="567"/>
              <w:jc w:val="both"/>
            </w:pPr>
          </w:p>
          <w:p w14:paraId="39B95DB1" w14:textId="77777777" w:rsidR="0076508E" w:rsidRPr="00993B10" w:rsidRDefault="0076508E" w:rsidP="00455D01">
            <w:pPr>
              <w:pStyle w:val="a7"/>
              <w:spacing w:before="0" w:beforeAutospacing="0" w:after="0" w:afterAutospacing="0"/>
              <w:ind w:firstLine="567"/>
              <w:jc w:val="both"/>
            </w:pPr>
          </w:p>
          <w:p w14:paraId="0BD0C04E" w14:textId="77777777" w:rsidR="0076508E" w:rsidRPr="00993B10" w:rsidRDefault="0076508E" w:rsidP="00455D01">
            <w:pPr>
              <w:pStyle w:val="a7"/>
              <w:spacing w:before="0" w:beforeAutospacing="0" w:after="0" w:afterAutospacing="0"/>
              <w:ind w:firstLine="567"/>
              <w:jc w:val="both"/>
            </w:pPr>
          </w:p>
          <w:p w14:paraId="26344BB7" w14:textId="77777777" w:rsidR="0076508E" w:rsidRPr="00993B10" w:rsidRDefault="0076508E" w:rsidP="00455D01">
            <w:pPr>
              <w:pStyle w:val="a7"/>
              <w:spacing w:before="0" w:beforeAutospacing="0" w:after="0" w:afterAutospacing="0"/>
              <w:ind w:firstLine="567"/>
              <w:jc w:val="both"/>
            </w:pPr>
          </w:p>
          <w:p w14:paraId="654C9189" w14:textId="77777777" w:rsidR="0076508E" w:rsidRPr="00993B10" w:rsidRDefault="0076508E" w:rsidP="00455D01">
            <w:pPr>
              <w:pStyle w:val="a7"/>
              <w:spacing w:before="0" w:beforeAutospacing="0" w:after="0" w:afterAutospacing="0"/>
              <w:ind w:firstLine="567"/>
              <w:jc w:val="both"/>
            </w:pPr>
          </w:p>
          <w:p w14:paraId="1C8FED91" w14:textId="77777777" w:rsidR="0076508E" w:rsidRPr="00993B10" w:rsidRDefault="0076508E" w:rsidP="00455D01">
            <w:pPr>
              <w:pStyle w:val="a7"/>
              <w:spacing w:before="0" w:beforeAutospacing="0" w:after="0" w:afterAutospacing="0"/>
              <w:ind w:firstLine="567"/>
              <w:jc w:val="both"/>
            </w:pPr>
          </w:p>
          <w:p w14:paraId="4AF14DB0" w14:textId="77777777" w:rsidR="0076508E" w:rsidRPr="00993B10" w:rsidRDefault="0076508E" w:rsidP="00455D01">
            <w:pPr>
              <w:pStyle w:val="a7"/>
              <w:spacing w:before="0" w:beforeAutospacing="0" w:after="0" w:afterAutospacing="0"/>
              <w:ind w:firstLine="567"/>
              <w:jc w:val="both"/>
            </w:pPr>
          </w:p>
          <w:p w14:paraId="4C41662B" w14:textId="77777777" w:rsidR="0076508E" w:rsidRPr="00993B10" w:rsidRDefault="0076508E" w:rsidP="00455D01">
            <w:pPr>
              <w:pStyle w:val="a7"/>
              <w:spacing w:before="0" w:beforeAutospacing="0" w:after="0" w:afterAutospacing="0"/>
              <w:ind w:firstLine="567"/>
              <w:jc w:val="both"/>
            </w:pPr>
          </w:p>
          <w:p w14:paraId="6CC86BAD" w14:textId="77777777" w:rsidR="0076508E" w:rsidRPr="00993B10" w:rsidRDefault="0076508E" w:rsidP="00455D01">
            <w:pPr>
              <w:pStyle w:val="a7"/>
              <w:spacing w:before="0" w:beforeAutospacing="0" w:after="0" w:afterAutospacing="0"/>
              <w:ind w:firstLine="567"/>
              <w:jc w:val="both"/>
            </w:pPr>
          </w:p>
          <w:p w14:paraId="64086993" w14:textId="77777777" w:rsidR="0076508E" w:rsidRPr="00993B10" w:rsidRDefault="0076508E" w:rsidP="00455D01">
            <w:pPr>
              <w:pStyle w:val="a7"/>
              <w:spacing w:before="0" w:beforeAutospacing="0" w:after="0" w:afterAutospacing="0"/>
              <w:ind w:firstLine="567"/>
              <w:jc w:val="both"/>
            </w:pPr>
          </w:p>
          <w:p w14:paraId="0828D2E6" w14:textId="77777777" w:rsidR="0076508E" w:rsidRPr="00993B10" w:rsidRDefault="0076508E" w:rsidP="00455D01">
            <w:pPr>
              <w:pStyle w:val="a7"/>
              <w:spacing w:before="0" w:beforeAutospacing="0" w:after="0" w:afterAutospacing="0"/>
              <w:ind w:firstLine="567"/>
              <w:jc w:val="both"/>
            </w:pPr>
          </w:p>
          <w:p w14:paraId="45F6EDA3" w14:textId="77777777" w:rsidR="0076508E" w:rsidRPr="00993B10" w:rsidRDefault="0076508E" w:rsidP="00455D01">
            <w:pPr>
              <w:pStyle w:val="a7"/>
              <w:spacing w:before="0" w:beforeAutospacing="0" w:after="0" w:afterAutospacing="0"/>
              <w:ind w:firstLine="567"/>
              <w:jc w:val="both"/>
            </w:pPr>
          </w:p>
          <w:p w14:paraId="005E51E9" w14:textId="77777777" w:rsidR="0076508E" w:rsidRPr="00993B10" w:rsidRDefault="0076508E" w:rsidP="00455D01">
            <w:pPr>
              <w:pStyle w:val="a7"/>
              <w:spacing w:before="0" w:beforeAutospacing="0" w:after="0" w:afterAutospacing="0"/>
              <w:ind w:firstLine="567"/>
              <w:jc w:val="both"/>
            </w:pPr>
          </w:p>
          <w:p w14:paraId="67E438D2" w14:textId="77777777" w:rsidR="0076508E" w:rsidRPr="00993B10" w:rsidRDefault="0076508E" w:rsidP="00455D01">
            <w:pPr>
              <w:pStyle w:val="a7"/>
              <w:spacing w:before="0" w:beforeAutospacing="0" w:after="0" w:afterAutospacing="0"/>
              <w:ind w:firstLine="567"/>
              <w:jc w:val="both"/>
            </w:pPr>
          </w:p>
          <w:p w14:paraId="1A804C1E" w14:textId="77777777" w:rsidR="0076508E" w:rsidRPr="00993B10" w:rsidRDefault="0076508E" w:rsidP="00455D01">
            <w:pPr>
              <w:pStyle w:val="a7"/>
              <w:spacing w:before="0" w:beforeAutospacing="0" w:after="0" w:afterAutospacing="0"/>
              <w:ind w:firstLine="567"/>
              <w:jc w:val="both"/>
            </w:pPr>
          </w:p>
          <w:p w14:paraId="38DAC9AC" w14:textId="77777777" w:rsidR="0076508E" w:rsidRPr="00993B10" w:rsidRDefault="0076508E" w:rsidP="00455D01">
            <w:pPr>
              <w:pStyle w:val="a7"/>
              <w:spacing w:before="0" w:beforeAutospacing="0" w:after="0" w:afterAutospacing="0"/>
              <w:ind w:firstLine="567"/>
              <w:jc w:val="both"/>
            </w:pPr>
          </w:p>
          <w:p w14:paraId="10A5C9C3" w14:textId="77777777" w:rsidR="0076508E" w:rsidRPr="00993B10" w:rsidRDefault="0076508E" w:rsidP="00455D01">
            <w:pPr>
              <w:pStyle w:val="a7"/>
              <w:spacing w:before="0" w:beforeAutospacing="0" w:after="0" w:afterAutospacing="0"/>
              <w:ind w:firstLine="567"/>
              <w:jc w:val="both"/>
            </w:pPr>
          </w:p>
          <w:p w14:paraId="58A302EC" w14:textId="77777777" w:rsidR="0076508E" w:rsidRPr="00993B10" w:rsidRDefault="0076508E" w:rsidP="00455D01">
            <w:pPr>
              <w:pStyle w:val="a7"/>
              <w:spacing w:before="0" w:beforeAutospacing="0" w:after="0" w:afterAutospacing="0"/>
              <w:ind w:firstLine="567"/>
              <w:jc w:val="both"/>
            </w:pPr>
          </w:p>
          <w:p w14:paraId="2C1F69C9" w14:textId="77777777" w:rsidR="0076508E" w:rsidRPr="00993B10" w:rsidRDefault="0076508E" w:rsidP="00455D01">
            <w:pPr>
              <w:pStyle w:val="a7"/>
              <w:spacing w:before="0" w:beforeAutospacing="0" w:after="0" w:afterAutospacing="0"/>
              <w:ind w:firstLine="567"/>
              <w:jc w:val="both"/>
            </w:pPr>
          </w:p>
          <w:p w14:paraId="097558F7" w14:textId="77777777" w:rsidR="0076508E" w:rsidRPr="00993B10" w:rsidRDefault="0076508E" w:rsidP="00455D01">
            <w:pPr>
              <w:pStyle w:val="a7"/>
              <w:spacing w:before="0" w:beforeAutospacing="0" w:after="0" w:afterAutospacing="0"/>
              <w:ind w:firstLine="567"/>
              <w:jc w:val="both"/>
            </w:pPr>
          </w:p>
          <w:p w14:paraId="2205D9AE" w14:textId="77777777" w:rsidR="0076508E" w:rsidRPr="00993B10" w:rsidRDefault="0076508E" w:rsidP="00455D01">
            <w:pPr>
              <w:pStyle w:val="a7"/>
              <w:spacing w:before="0" w:beforeAutospacing="0" w:after="0" w:afterAutospacing="0"/>
              <w:ind w:firstLine="567"/>
              <w:jc w:val="both"/>
            </w:pPr>
          </w:p>
          <w:p w14:paraId="44B2BFFA" w14:textId="77777777" w:rsidR="0076508E" w:rsidRPr="00993B10" w:rsidRDefault="0076508E" w:rsidP="00455D01">
            <w:pPr>
              <w:pStyle w:val="a7"/>
              <w:spacing w:before="0" w:beforeAutospacing="0" w:after="0" w:afterAutospacing="0"/>
              <w:ind w:firstLine="567"/>
              <w:jc w:val="both"/>
            </w:pPr>
          </w:p>
          <w:p w14:paraId="5C55C86C" w14:textId="77777777" w:rsidR="0076508E" w:rsidRPr="00993B10" w:rsidRDefault="0076508E" w:rsidP="00455D01">
            <w:pPr>
              <w:pStyle w:val="a7"/>
              <w:spacing w:before="0" w:beforeAutospacing="0" w:after="0" w:afterAutospacing="0"/>
              <w:ind w:firstLine="567"/>
              <w:jc w:val="both"/>
            </w:pPr>
          </w:p>
          <w:p w14:paraId="352C59AE" w14:textId="77777777" w:rsidR="0076508E" w:rsidRPr="00993B10" w:rsidRDefault="0076508E" w:rsidP="00455D01">
            <w:pPr>
              <w:pStyle w:val="a7"/>
              <w:spacing w:before="0" w:beforeAutospacing="0" w:after="0" w:afterAutospacing="0"/>
              <w:ind w:firstLine="567"/>
              <w:jc w:val="both"/>
            </w:pPr>
          </w:p>
          <w:p w14:paraId="5981AD9F" w14:textId="77777777" w:rsidR="0076508E" w:rsidRPr="00993B10" w:rsidRDefault="0076508E" w:rsidP="00455D01">
            <w:pPr>
              <w:pStyle w:val="a7"/>
              <w:spacing w:before="0" w:beforeAutospacing="0" w:after="0" w:afterAutospacing="0"/>
              <w:ind w:firstLine="567"/>
              <w:jc w:val="both"/>
            </w:pPr>
          </w:p>
          <w:p w14:paraId="55F96D47" w14:textId="77777777" w:rsidR="0076508E" w:rsidRPr="00993B10" w:rsidRDefault="0076508E" w:rsidP="00455D01">
            <w:pPr>
              <w:pStyle w:val="a7"/>
              <w:spacing w:before="0" w:beforeAutospacing="0" w:after="0" w:afterAutospacing="0"/>
              <w:ind w:firstLine="567"/>
              <w:jc w:val="both"/>
            </w:pPr>
          </w:p>
          <w:p w14:paraId="22F2AFEB" w14:textId="77777777" w:rsidR="0076508E" w:rsidRPr="00993B10" w:rsidRDefault="0076508E" w:rsidP="00455D01">
            <w:pPr>
              <w:pStyle w:val="a7"/>
              <w:spacing w:before="0" w:beforeAutospacing="0" w:after="0" w:afterAutospacing="0"/>
              <w:ind w:firstLine="567"/>
              <w:jc w:val="both"/>
            </w:pPr>
          </w:p>
          <w:p w14:paraId="0B40B4B7" w14:textId="77777777" w:rsidR="0076508E" w:rsidRPr="00993B10" w:rsidRDefault="0076508E" w:rsidP="00455D01">
            <w:pPr>
              <w:pStyle w:val="a7"/>
              <w:spacing w:before="0" w:beforeAutospacing="0" w:after="0" w:afterAutospacing="0"/>
              <w:ind w:firstLine="567"/>
              <w:jc w:val="both"/>
            </w:pPr>
          </w:p>
          <w:p w14:paraId="1F66964C" w14:textId="77777777" w:rsidR="0076508E" w:rsidRPr="00993B10" w:rsidRDefault="0076508E" w:rsidP="00455D01">
            <w:pPr>
              <w:pStyle w:val="a7"/>
              <w:spacing w:before="0" w:beforeAutospacing="0" w:after="0" w:afterAutospacing="0"/>
              <w:ind w:firstLine="567"/>
              <w:jc w:val="both"/>
            </w:pPr>
          </w:p>
          <w:p w14:paraId="7F4025BE" w14:textId="77777777" w:rsidR="0076508E" w:rsidRPr="00993B10" w:rsidRDefault="0076508E" w:rsidP="00455D01">
            <w:pPr>
              <w:pStyle w:val="a7"/>
              <w:spacing w:before="0" w:beforeAutospacing="0" w:after="0" w:afterAutospacing="0"/>
              <w:ind w:firstLine="567"/>
              <w:jc w:val="both"/>
            </w:pPr>
          </w:p>
          <w:p w14:paraId="20407630" w14:textId="77777777" w:rsidR="0076508E" w:rsidRPr="00993B10" w:rsidRDefault="0076508E" w:rsidP="00455D01">
            <w:pPr>
              <w:pStyle w:val="a7"/>
              <w:spacing w:before="0" w:beforeAutospacing="0" w:after="0" w:afterAutospacing="0"/>
              <w:ind w:firstLine="567"/>
              <w:jc w:val="both"/>
            </w:pPr>
          </w:p>
          <w:p w14:paraId="1AEA17A1" w14:textId="77777777" w:rsidR="0076508E" w:rsidRPr="00993B10" w:rsidRDefault="0076508E" w:rsidP="00455D01">
            <w:pPr>
              <w:pStyle w:val="a7"/>
              <w:spacing w:before="0" w:beforeAutospacing="0" w:after="0" w:afterAutospacing="0"/>
              <w:ind w:firstLine="567"/>
              <w:jc w:val="both"/>
            </w:pPr>
          </w:p>
          <w:p w14:paraId="6C224240" w14:textId="77777777" w:rsidR="0076508E" w:rsidRPr="00993B10" w:rsidRDefault="0076508E" w:rsidP="00455D01">
            <w:pPr>
              <w:pStyle w:val="a7"/>
              <w:spacing w:before="0" w:beforeAutospacing="0" w:after="0" w:afterAutospacing="0"/>
              <w:ind w:firstLine="567"/>
              <w:jc w:val="both"/>
            </w:pPr>
          </w:p>
          <w:p w14:paraId="4B4303F3" w14:textId="77777777" w:rsidR="0076508E" w:rsidRPr="00993B10" w:rsidRDefault="0076508E" w:rsidP="00455D01">
            <w:pPr>
              <w:pStyle w:val="a7"/>
              <w:spacing w:before="0" w:beforeAutospacing="0" w:after="0" w:afterAutospacing="0"/>
              <w:ind w:firstLine="567"/>
              <w:jc w:val="both"/>
            </w:pPr>
          </w:p>
          <w:p w14:paraId="350A3449" w14:textId="77777777" w:rsidR="0076508E" w:rsidRPr="00993B10" w:rsidRDefault="0076508E" w:rsidP="00455D01">
            <w:pPr>
              <w:pStyle w:val="a7"/>
              <w:spacing w:before="0" w:beforeAutospacing="0" w:after="0" w:afterAutospacing="0"/>
              <w:ind w:firstLine="567"/>
              <w:jc w:val="both"/>
            </w:pPr>
          </w:p>
          <w:p w14:paraId="22EF71E8" w14:textId="77777777" w:rsidR="0076508E" w:rsidRPr="00993B10" w:rsidRDefault="0076508E" w:rsidP="00455D01">
            <w:pPr>
              <w:pStyle w:val="a7"/>
              <w:spacing w:before="0" w:beforeAutospacing="0" w:after="0" w:afterAutospacing="0"/>
              <w:ind w:firstLine="567"/>
              <w:jc w:val="both"/>
            </w:pPr>
          </w:p>
          <w:p w14:paraId="2FB294E8" w14:textId="77777777" w:rsidR="0076508E" w:rsidRPr="00993B10" w:rsidRDefault="0076508E" w:rsidP="00455D01">
            <w:pPr>
              <w:pStyle w:val="a7"/>
              <w:spacing w:before="0" w:beforeAutospacing="0" w:after="0" w:afterAutospacing="0"/>
              <w:ind w:firstLine="567"/>
              <w:jc w:val="both"/>
            </w:pPr>
          </w:p>
          <w:p w14:paraId="5F01E07B" w14:textId="77777777" w:rsidR="0076508E" w:rsidRPr="00993B10" w:rsidRDefault="0076508E" w:rsidP="00455D01">
            <w:pPr>
              <w:pStyle w:val="a7"/>
              <w:spacing w:before="0" w:beforeAutospacing="0" w:after="0" w:afterAutospacing="0"/>
              <w:ind w:firstLine="567"/>
              <w:jc w:val="both"/>
            </w:pPr>
          </w:p>
          <w:p w14:paraId="33DDEFCB" w14:textId="77777777" w:rsidR="0076508E" w:rsidRPr="00993B10" w:rsidRDefault="0076508E" w:rsidP="00455D01">
            <w:pPr>
              <w:pStyle w:val="a7"/>
              <w:spacing w:before="0" w:beforeAutospacing="0" w:after="0" w:afterAutospacing="0"/>
              <w:ind w:firstLine="567"/>
              <w:jc w:val="both"/>
            </w:pPr>
          </w:p>
          <w:p w14:paraId="43384E76" w14:textId="21A5DA00" w:rsidR="0076508E" w:rsidRDefault="0076508E" w:rsidP="00455D01">
            <w:pPr>
              <w:pStyle w:val="a7"/>
              <w:spacing w:before="0" w:beforeAutospacing="0" w:after="0" w:afterAutospacing="0"/>
              <w:ind w:firstLine="567"/>
              <w:jc w:val="both"/>
            </w:pPr>
          </w:p>
          <w:p w14:paraId="72A8E4CC" w14:textId="580293E3" w:rsidR="006A1173" w:rsidRDefault="006A1173" w:rsidP="00455D01">
            <w:pPr>
              <w:pStyle w:val="a7"/>
              <w:spacing w:before="0" w:beforeAutospacing="0" w:after="0" w:afterAutospacing="0"/>
              <w:ind w:firstLine="567"/>
              <w:jc w:val="both"/>
            </w:pPr>
          </w:p>
          <w:p w14:paraId="75F05556" w14:textId="77777777" w:rsidR="006A1173" w:rsidRDefault="006A1173" w:rsidP="00455D01">
            <w:pPr>
              <w:pStyle w:val="a7"/>
              <w:spacing w:before="0" w:beforeAutospacing="0" w:after="0" w:afterAutospacing="0"/>
              <w:ind w:firstLine="567"/>
              <w:jc w:val="both"/>
            </w:pPr>
          </w:p>
          <w:p w14:paraId="05C1AAE3" w14:textId="77777777" w:rsidR="006A1173" w:rsidRPr="00993B10" w:rsidRDefault="006A1173" w:rsidP="00455D01">
            <w:pPr>
              <w:pStyle w:val="a7"/>
              <w:spacing w:before="0" w:beforeAutospacing="0" w:after="0" w:afterAutospacing="0"/>
              <w:ind w:firstLine="567"/>
              <w:jc w:val="both"/>
            </w:pPr>
          </w:p>
          <w:p w14:paraId="408B9CF0" w14:textId="596013FC" w:rsidR="00A46602" w:rsidRPr="00993B10" w:rsidRDefault="0076508E" w:rsidP="00455D01">
            <w:pPr>
              <w:pStyle w:val="a7"/>
              <w:spacing w:before="0" w:beforeAutospacing="0" w:after="0" w:afterAutospacing="0"/>
              <w:ind w:firstLine="567"/>
              <w:jc w:val="both"/>
              <w:rPr>
                <w:b/>
              </w:rPr>
            </w:pPr>
            <w:r w:rsidRPr="00993B10">
              <w:rPr>
                <w:b/>
                <w:bCs/>
              </w:rPr>
              <w:t>Внесення змін до облікової системи часток щодо збільшення</w:t>
            </w:r>
            <w:r w:rsidR="00DD3146" w:rsidRPr="00993B10">
              <w:rPr>
                <w:b/>
                <w:bCs/>
              </w:rPr>
              <w:t xml:space="preserve"> </w:t>
            </w:r>
            <w:r w:rsidRPr="00993B10">
              <w:rPr>
                <w:b/>
                <w:bCs/>
              </w:rPr>
              <w:t>/</w:t>
            </w:r>
            <w:r w:rsidR="00DD3146" w:rsidRPr="00993B10">
              <w:rPr>
                <w:b/>
                <w:bCs/>
              </w:rPr>
              <w:t xml:space="preserve"> </w:t>
            </w:r>
            <w:r w:rsidRPr="00993B10">
              <w:rPr>
                <w:b/>
                <w:bCs/>
              </w:rPr>
              <w:t xml:space="preserve">зменшення статутного капіталу товариства за рішенням загальних </w:t>
            </w:r>
            <w:r w:rsidRPr="00993B10">
              <w:rPr>
                <w:b/>
                <w:bCs/>
              </w:rPr>
              <w:lastRenderedPageBreak/>
              <w:t>зборів учасників товариства, що не пов’язане з включенням</w:t>
            </w:r>
            <w:r w:rsidR="00DD3146" w:rsidRPr="00993B10">
              <w:rPr>
                <w:b/>
                <w:bCs/>
              </w:rPr>
              <w:t xml:space="preserve"> </w:t>
            </w:r>
            <w:r w:rsidRPr="00993B10">
              <w:rPr>
                <w:b/>
                <w:bCs/>
              </w:rPr>
              <w:t>/ виключенням учасників товариства до</w:t>
            </w:r>
            <w:r w:rsidR="00DD3146" w:rsidRPr="00993B10">
              <w:rPr>
                <w:b/>
                <w:bCs/>
              </w:rPr>
              <w:t xml:space="preserve"> </w:t>
            </w:r>
            <w:r w:rsidRPr="00993B10">
              <w:rPr>
                <w:b/>
                <w:bCs/>
              </w:rPr>
              <w:t>/</w:t>
            </w:r>
            <w:r w:rsidR="00DD3146" w:rsidRPr="00993B10">
              <w:rPr>
                <w:b/>
                <w:bCs/>
              </w:rPr>
              <w:t xml:space="preserve"> </w:t>
            </w:r>
            <w:r w:rsidRPr="00993B10">
              <w:rPr>
                <w:b/>
                <w:bCs/>
              </w:rPr>
              <w:t>зі складу учасників, здійснюється Центральним депозитарієм на підставі документів, отриманих згідно з цим підпунктом, як безумовні операції щодо рахунків учасників товариства для відображення відповідних змін щодо належної кожному учаснику товариства розміру частки товариства</w:t>
            </w:r>
            <w:r w:rsidR="00631B36" w:rsidRPr="00993B10">
              <w:rPr>
                <w:b/>
                <w:bCs/>
              </w:rPr>
              <w:t>.</w:t>
            </w:r>
          </w:p>
          <w:p w14:paraId="47F4AAEA" w14:textId="70AF2F57" w:rsidR="0076508E" w:rsidRPr="00993B10" w:rsidRDefault="0076508E" w:rsidP="00EB2CED">
            <w:pPr>
              <w:pStyle w:val="a7"/>
              <w:spacing w:before="0" w:beforeAutospacing="0" w:after="0" w:afterAutospacing="0"/>
              <w:ind w:firstLine="567"/>
              <w:jc w:val="both"/>
            </w:pPr>
            <w:r w:rsidRPr="00993B10">
              <w:t>(…)</w:t>
            </w:r>
          </w:p>
        </w:tc>
      </w:tr>
      <w:tr w:rsidR="00993B10" w:rsidRPr="00993B10" w14:paraId="3AB5E873" w14:textId="77777777" w:rsidTr="0082760C">
        <w:tc>
          <w:tcPr>
            <w:tcW w:w="2500" w:type="pct"/>
          </w:tcPr>
          <w:p w14:paraId="10B64FEA" w14:textId="5A1F6671" w:rsidR="001E332B" w:rsidRPr="00993B10" w:rsidRDefault="001E332B" w:rsidP="0076508E">
            <w:pPr>
              <w:ind w:firstLine="567"/>
              <w:jc w:val="both"/>
              <w:rPr>
                <w:rFonts w:ascii="Times New Roman" w:hAnsi="Times New Roman" w:cs="Times New Roman"/>
                <w:sz w:val="24"/>
                <w:szCs w:val="24"/>
              </w:rPr>
            </w:pPr>
            <w:r w:rsidRPr="00993B10">
              <w:rPr>
                <w:rFonts w:ascii="Times New Roman" w:hAnsi="Times New Roman" w:cs="Times New Roman"/>
                <w:sz w:val="24"/>
                <w:szCs w:val="24"/>
              </w:rPr>
              <w:lastRenderedPageBreak/>
              <w:t>31. Розпорядження/вимоги уповноважених депозитарних установ, товариств, учасників товариств та документи, що є підставою для внесення змін до облікової системи часток, зберігаються Центральним депозитарієм, уповноваженою депозитарною установою протягом трьох років з дня їх отримання.</w:t>
            </w:r>
          </w:p>
          <w:p w14:paraId="01A9E608" w14:textId="77777777" w:rsidR="00A46602" w:rsidRPr="00993B10" w:rsidRDefault="00A46602" w:rsidP="0076508E">
            <w:pPr>
              <w:ind w:firstLine="567"/>
              <w:jc w:val="both"/>
              <w:rPr>
                <w:rFonts w:ascii="Times New Roman" w:hAnsi="Times New Roman" w:cs="Times New Roman"/>
                <w:sz w:val="24"/>
                <w:szCs w:val="24"/>
              </w:rPr>
            </w:pPr>
          </w:p>
          <w:p w14:paraId="1AEB64EF" w14:textId="133B2430" w:rsidR="00BE53FB" w:rsidRPr="00993B10" w:rsidRDefault="00BE53FB" w:rsidP="0076508E">
            <w:pPr>
              <w:ind w:firstLine="567"/>
              <w:jc w:val="both"/>
              <w:rPr>
                <w:rFonts w:ascii="Times New Roman" w:hAnsi="Times New Roman" w:cs="Times New Roman"/>
                <w:sz w:val="24"/>
                <w:szCs w:val="24"/>
              </w:rPr>
            </w:pPr>
            <w:r w:rsidRPr="00993B10">
              <w:rPr>
                <w:rFonts w:ascii="Times New Roman" w:hAnsi="Times New Roman" w:cs="Times New Roman"/>
                <w:sz w:val="24"/>
                <w:szCs w:val="24"/>
              </w:rPr>
              <w:t>(…)</w:t>
            </w:r>
          </w:p>
        </w:tc>
        <w:tc>
          <w:tcPr>
            <w:tcW w:w="2500" w:type="pct"/>
          </w:tcPr>
          <w:p w14:paraId="052DEA15" w14:textId="669FCFD6" w:rsidR="001E332B" w:rsidRPr="00993B10" w:rsidRDefault="001E332B" w:rsidP="001E332B">
            <w:pPr>
              <w:pStyle w:val="a7"/>
              <w:spacing w:before="0" w:beforeAutospacing="0" w:after="0" w:afterAutospacing="0"/>
              <w:ind w:firstLine="567"/>
              <w:jc w:val="both"/>
            </w:pPr>
            <w:r w:rsidRPr="00993B10">
              <w:t>31. Розпорядження</w:t>
            </w:r>
            <w:r w:rsidR="003A1680" w:rsidRPr="00993B10">
              <w:t xml:space="preserve">, </w:t>
            </w:r>
            <w:r w:rsidRPr="00993B10">
              <w:t xml:space="preserve">вимоги уповноважених депозитарних установ, товариств, учасників товариств та документи, що є підставою для внесення змін до облікової системи часток </w:t>
            </w:r>
            <w:r w:rsidRPr="00993B10">
              <w:rPr>
                <w:b/>
                <w:lang w:val="uk" w:eastAsia="uk"/>
              </w:rPr>
              <w:t xml:space="preserve">(далі </w:t>
            </w:r>
            <w:r w:rsidR="00DD3146" w:rsidRPr="00993B10">
              <w:rPr>
                <w:b/>
                <w:lang w:val="uk" w:eastAsia="uk"/>
              </w:rPr>
              <w:t>–</w:t>
            </w:r>
            <w:r w:rsidRPr="00993B10">
              <w:rPr>
                <w:b/>
                <w:lang w:val="uk" w:eastAsia="uk"/>
              </w:rPr>
              <w:t xml:space="preserve"> розпорядження</w:t>
            </w:r>
            <w:r w:rsidR="003A1680" w:rsidRPr="00993B10">
              <w:rPr>
                <w:b/>
                <w:lang w:val="uk" w:eastAsia="uk"/>
              </w:rPr>
              <w:t>,</w:t>
            </w:r>
            <w:r w:rsidR="00DD3146" w:rsidRPr="00993B10">
              <w:rPr>
                <w:b/>
                <w:lang w:val="uk" w:eastAsia="uk"/>
              </w:rPr>
              <w:t xml:space="preserve"> </w:t>
            </w:r>
            <w:r w:rsidRPr="00993B10">
              <w:rPr>
                <w:b/>
                <w:lang w:val="uk" w:eastAsia="uk"/>
              </w:rPr>
              <w:t>вимога</w:t>
            </w:r>
            <w:r w:rsidR="003A1680" w:rsidRPr="00993B10">
              <w:rPr>
                <w:b/>
                <w:lang w:val="uk" w:eastAsia="uk"/>
              </w:rPr>
              <w:t>,</w:t>
            </w:r>
            <w:r w:rsidRPr="00993B10">
              <w:rPr>
                <w:b/>
                <w:lang w:val="uk" w:eastAsia="uk"/>
              </w:rPr>
              <w:t xml:space="preserve"> документи)</w:t>
            </w:r>
            <w:r w:rsidRPr="00993B10">
              <w:rPr>
                <w:lang w:val="uk" w:eastAsia="uk"/>
              </w:rPr>
              <w:t>,</w:t>
            </w:r>
            <w:r w:rsidRPr="00993B10">
              <w:t xml:space="preserve"> зберігаються Центральним депозитарієм, уповноваженою депозитарною установою протягом трьох років з дня їх отримання.</w:t>
            </w:r>
          </w:p>
          <w:p w14:paraId="538BF153" w14:textId="4ACA0445" w:rsidR="00DD3146" w:rsidRPr="00993B10" w:rsidRDefault="00DD3146" w:rsidP="001E332B">
            <w:pPr>
              <w:pStyle w:val="a7"/>
              <w:spacing w:before="0" w:beforeAutospacing="0" w:after="0" w:afterAutospacing="0"/>
              <w:ind w:firstLine="567"/>
              <w:jc w:val="both"/>
            </w:pPr>
            <w:r w:rsidRPr="00993B10">
              <w:t>(…)</w:t>
            </w:r>
          </w:p>
        </w:tc>
      </w:tr>
      <w:tr w:rsidR="00993B10" w:rsidRPr="00993B10" w14:paraId="17702E54" w14:textId="32A86A23" w:rsidTr="0082760C">
        <w:tc>
          <w:tcPr>
            <w:tcW w:w="2500" w:type="pct"/>
          </w:tcPr>
          <w:p w14:paraId="0CD90A6F" w14:textId="0DCAE7DD" w:rsidR="0082760C" w:rsidRPr="00993B10" w:rsidRDefault="008E48DC" w:rsidP="008E48DC">
            <w:pPr>
              <w:ind w:firstLine="567"/>
              <w:jc w:val="both"/>
              <w:rPr>
                <w:rFonts w:ascii="Times New Roman" w:hAnsi="Times New Roman" w:cs="Times New Roman"/>
                <w:sz w:val="24"/>
                <w:szCs w:val="24"/>
              </w:rPr>
            </w:pPr>
            <w:r w:rsidRPr="00993B10">
              <w:rPr>
                <w:rFonts w:ascii="Times New Roman" w:hAnsi="Times New Roman" w:cs="Times New Roman"/>
                <w:sz w:val="24"/>
                <w:szCs w:val="24"/>
                <w:lang w:val="uk" w:eastAsia="uk"/>
              </w:rPr>
              <w:t>32. Підставами для відмови у внесенні змін до облікової системи часток є:</w:t>
            </w:r>
          </w:p>
        </w:tc>
        <w:tc>
          <w:tcPr>
            <w:tcW w:w="2500" w:type="pct"/>
          </w:tcPr>
          <w:p w14:paraId="7D71F27A" w14:textId="25E2A879" w:rsidR="0082760C" w:rsidRPr="00993B10" w:rsidRDefault="00CD026A" w:rsidP="00F13B38">
            <w:pPr>
              <w:ind w:firstLine="567"/>
              <w:jc w:val="both"/>
              <w:rPr>
                <w:rFonts w:ascii="Times New Roman" w:hAnsi="Times New Roman" w:cs="Times New Roman"/>
                <w:sz w:val="24"/>
                <w:szCs w:val="24"/>
              </w:rPr>
            </w:pPr>
            <w:r w:rsidRPr="00655ED5">
              <w:rPr>
                <w:rFonts w:ascii="Times New Roman" w:hAnsi="Times New Roman" w:cs="Times New Roman"/>
                <w:sz w:val="24"/>
                <w:szCs w:val="24"/>
              </w:rPr>
              <w:t>32.</w:t>
            </w:r>
            <w:r w:rsidRPr="001F3DC1">
              <w:rPr>
                <w:rFonts w:ascii="Times New Roman" w:hAnsi="Times New Roman" w:cs="Times New Roman"/>
                <w:b/>
                <w:sz w:val="24"/>
                <w:szCs w:val="24"/>
              </w:rPr>
              <w:t xml:space="preserve"> </w:t>
            </w:r>
            <w:r w:rsidRPr="00655ED5">
              <w:rPr>
                <w:rFonts w:ascii="Times New Roman" w:hAnsi="Times New Roman" w:cs="Times New Roman"/>
                <w:sz w:val="24"/>
                <w:szCs w:val="24"/>
              </w:rPr>
              <w:t>Підставами для відмови у внесенні</w:t>
            </w:r>
            <w:r w:rsidRPr="001F3DC1">
              <w:rPr>
                <w:rFonts w:ascii="Times New Roman" w:hAnsi="Times New Roman" w:cs="Times New Roman"/>
                <w:b/>
                <w:sz w:val="24"/>
                <w:szCs w:val="24"/>
              </w:rPr>
              <w:t xml:space="preserve"> Центральним депозитарієм </w:t>
            </w:r>
            <w:r w:rsidRPr="00655ED5">
              <w:rPr>
                <w:rFonts w:ascii="Times New Roman" w:hAnsi="Times New Roman" w:cs="Times New Roman"/>
                <w:sz w:val="24"/>
                <w:szCs w:val="24"/>
              </w:rPr>
              <w:t>змін до облікової системи часток</w:t>
            </w:r>
            <w:r w:rsidRPr="001F3DC1">
              <w:rPr>
                <w:rFonts w:ascii="Times New Roman" w:hAnsi="Times New Roman" w:cs="Times New Roman"/>
                <w:b/>
                <w:sz w:val="24"/>
                <w:szCs w:val="24"/>
              </w:rPr>
              <w:t xml:space="preserve">, в прийнятті Центральним депозитарієм / депозитарною установою до виконання </w:t>
            </w:r>
            <w:r w:rsidRPr="00655ED5">
              <w:rPr>
                <w:rFonts w:ascii="Times New Roman" w:hAnsi="Times New Roman" w:cs="Times New Roman"/>
                <w:sz w:val="24"/>
                <w:szCs w:val="24"/>
              </w:rPr>
              <w:t>розпоряджень, вимог, документів є:</w:t>
            </w:r>
          </w:p>
        </w:tc>
      </w:tr>
      <w:tr w:rsidR="00993B10" w:rsidRPr="00993B10" w14:paraId="3EB95BBE" w14:textId="502FC8DF" w:rsidTr="0082760C">
        <w:tc>
          <w:tcPr>
            <w:tcW w:w="2500" w:type="pct"/>
          </w:tcPr>
          <w:p w14:paraId="7DDBB267" w14:textId="313BAEE5" w:rsidR="0082760C" w:rsidRPr="00993B10" w:rsidRDefault="008E48DC" w:rsidP="008E48DC">
            <w:pPr>
              <w:pStyle w:val="rvps2"/>
              <w:spacing w:after="150"/>
              <w:ind w:firstLine="567"/>
              <w:jc w:val="both"/>
              <w:rPr>
                <w:strike/>
              </w:rPr>
            </w:pPr>
            <w:r w:rsidRPr="00993B10">
              <w:rPr>
                <w:strike/>
                <w:lang w:val="uk" w:eastAsia="uk"/>
              </w:rPr>
              <w:t>розпорядження/вимога та/або документи, що є підставою для внесення змін до облікової системи часток не відповідають вимогам законодавства та/або внутрішнім документам Центрального депозитарію, уповноваженої депозитарної установи;</w:t>
            </w:r>
          </w:p>
        </w:tc>
        <w:tc>
          <w:tcPr>
            <w:tcW w:w="2500" w:type="pct"/>
          </w:tcPr>
          <w:p w14:paraId="7F4615A5" w14:textId="67258009" w:rsidR="0082760C" w:rsidRPr="00993B10" w:rsidRDefault="001E332B" w:rsidP="00F13B38">
            <w:pPr>
              <w:ind w:firstLine="567"/>
              <w:jc w:val="both"/>
              <w:rPr>
                <w:rFonts w:ascii="Times New Roman" w:eastAsia="Times New Roman" w:hAnsi="Times New Roman" w:cs="Times New Roman"/>
                <w:b/>
                <w:sz w:val="24"/>
                <w:szCs w:val="24"/>
                <w:lang w:eastAsia="uk-UA"/>
              </w:rPr>
            </w:pPr>
            <w:r w:rsidRPr="00993B10">
              <w:rPr>
                <w:rFonts w:ascii="Times New Roman" w:hAnsi="Times New Roman" w:cs="Times New Roman"/>
                <w:b/>
                <w:sz w:val="24"/>
                <w:szCs w:val="24"/>
                <w:lang w:val="uk" w:eastAsia="uk"/>
              </w:rPr>
              <w:t>1) розпорядження</w:t>
            </w:r>
            <w:r w:rsidR="00F13B38" w:rsidRPr="00993B10">
              <w:rPr>
                <w:rFonts w:ascii="Times New Roman" w:hAnsi="Times New Roman" w:cs="Times New Roman"/>
                <w:b/>
                <w:sz w:val="24"/>
                <w:szCs w:val="24"/>
                <w:lang w:val="uk" w:eastAsia="uk"/>
              </w:rPr>
              <w:t xml:space="preserve">, </w:t>
            </w:r>
            <w:r w:rsidRPr="00993B10">
              <w:rPr>
                <w:rFonts w:ascii="Times New Roman" w:hAnsi="Times New Roman" w:cs="Times New Roman"/>
                <w:b/>
                <w:sz w:val="24"/>
                <w:szCs w:val="24"/>
                <w:lang w:val="uk" w:eastAsia="uk"/>
              </w:rPr>
              <w:t>вимога</w:t>
            </w:r>
            <w:r w:rsidR="00F13B38" w:rsidRPr="00993B10">
              <w:rPr>
                <w:rFonts w:ascii="Times New Roman" w:hAnsi="Times New Roman" w:cs="Times New Roman"/>
                <w:b/>
                <w:sz w:val="24"/>
                <w:szCs w:val="24"/>
                <w:lang w:val="uk" w:eastAsia="uk"/>
              </w:rPr>
              <w:t>,</w:t>
            </w:r>
            <w:r w:rsidRPr="00993B10">
              <w:rPr>
                <w:rFonts w:ascii="Times New Roman" w:hAnsi="Times New Roman" w:cs="Times New Roman"/>
                <w:b/>
                <w:sz w:val="24"/>
                <w:szCs w:val="24"/>
                <w:lang w:val="uk" w:eastAsia="uk"/>
              </w:rPr>
              <w:t xml:space="preserve"> документи не відповідають вимогам законодавства та/або внутрішнім документам Центрального депозитарію, уповноваженої депозитарної установи;</w:t>
            </w:r>
          </w:p>
        </w:tc>
      </w:tr>
      <w:tr w:rsidR="00993B10" w:rsidRPr="00993B10" w14:paraId="2DC43F03" w14:textId="50A188F1" w:rsidTr="0082760C">
        <w:tc>
          <w:tcPr>
            <w:tcW w:w="2500" w:type="pct"/>
          </w:tcPr>
          <w:p w14:paraId="042E867B" w14:textId="4C31CEE2" w:rsidR="0082760C" w:rsidRPr="00993B10" w:rsidRDefault="008E48DC" w:rsidP="008E48DC">
            <w:pPr>
              <w:pStyle w:val="rvps2"/>
              <w:spacing w:after="150"/>
              <w:ind w:firstLine="567"/>
              <w:jc w:val="both"/>
              <w:rPr>
                <w:strike/>
                <w:lang w:eastAsia="ru-RU"/>
              </w:rPr>
            </w:pPr>
            <w:r w:rsidRPr="00993B10">
              <w:rPr>
                <w:strike/>
                <w:lang w:val="uk" w:eastAsia="uk"/>
              </w:rPr>
              <w:t>розпорядження/вимога та/або документи, що є підставою для внесення змін до облікової системи часток, розмір частки, щодо якої ініційовано проведення операції перевищує розмір частки, що обліковується на рахунку в обліковій системі часток, скоригований на розмір частки, щодо якої вже ініційовано внесення змін до облікової системи часток відповідно до раніше прийнятих, але ще не виконаних розпоряджень/вимог та/або документів, що є підставою для внесення змін до облікової системи часток;</w:t>
            </w:r>
          </w:p>
        </w:tc>
        <w:tc>
          <w:tcPr>
            <w:tcW w:w="2500" w:type="pct"/>
          </w:tcPr>
          <w:p w14:paraId="07E9C200" w14:textId="496D7894" w:rsidR="0082760C" w:rsidRPr="00993B10" w:rsidRDefault="001E332B" w:rsidP="00F13B38">
            <w:pPr>
              <w:shd w:val="clear" w:color="auto" w:fill="FFFFFF"/>
              <w:spacing w:after="150"/>
              <w:ind w:firstLine="567"/>
              <w:jc w:val="both"/>
              <w:rPr>
                <w:rFonts w:ascii="Times New Roman" w:eastAsia="Times New Roman" w:hAnsi="Times New Roman" w:cs="Times New Roman"/>
                <w:b/>
                <w:sz w:val="24"/>
                <w:szCs w:val="24"/>
                <w:lang w:eastAsia="ru-RU"/>
              </w:rPr>
            </w:pPr>
            <w:r w:rsidRPr="00993B10">
              <w:rPr>
                <w:rFonts w:ascii="Times New Roman" w:eastAsia="Times New Roman" w:hAnsi="Times New Roman" w:cs="Times New Roman"/>
                <w:b/>
                <w:sz w:val="24"/>
                <w:szCs w:val="24"/>
                <w:lang w:eastAsia="ru-RU"/>
              </w:rPr>
              <w:t>2) розмір частки, щодо якої ініційовано проведення операції, перевищує розмір частки, що обліковується на рахунку в обліковій системі часток, скоригований на розмір частки, щодо якої вже ініційовано внесення змін до облікової системи часток відповідно до раніше прийнятих, але ще не виконаних розпоряджень</w:t>
            </w:r>
            <w:r w:rsidR="00F13B38" w:rsidRPr="00993B10">
              <w:rPr>
                <w:rFonts w:ascii="Times New Roman" w:eastAsia="Times New Roman" w:hAnsi="Times New Roman" w:cs="Times New Roman"/>
                <w:b/>
                <w:sz w:val="24"/>
                <w:szCs w:val="24"/>
                <w:lang w:eastAsia="ru-RU"/>
              </w:rPr>
              <w:t xml:space="preserve">, </w:t>
            </w:r>
            <w:r w:rsidRPr="00993B10">
              <w:rPr>
                <w:rFonts w:ascii="Times New Roman" w:eastAsia="Times New Roman" w:hAnsi="Times New Roman" w:cs="Times New Roman"/>
                <w:b/>
                <w:sz w:val="24"/>
                <w:szCs w:val="24"/>
                <w:lang w:eastAsia="ru-RU"/>
              </w:rPr>
              <w:t>вимог</w:t>
            </w:r>
            <w:r w:rsidR="00F13B38" w:rsidRPr="00993B10">
              <w:rPr>
                <w:rFonts w:ascii="Times New Roman" w:eastAsia="Times New Roman" w:hAnsi="Times New Roman" w:cs="Times New Roman"/>
                <w:b/>
                <w:sz w:val="24"/>
                <w:szCs w:val="24"/>
                <w:lang w:eastAsia="ru-RU"/>
              </w:rPr>
              <w:t>,</w:t>
            </w:r>
            <w:r w:rsidRPr="00993B10">
              <w:rPr>
                <w:rFonts w:ascii="Times New Roman" w:eastAsia="Times New Roman" w:hAnsi="Times New Roman" w:cs="Times New Roman"/>
                <w:b/>
                <w:sz w:val="24"/>
                <w:szCs w:val="24"/>
                <w:lang w:eastAsia="ru-RU"/>
              </w:rPr>
              <w:t xml:space="preserve"> документів;</w:t>
            </w:r>
          </w:p>
        </w:tc>
      </w:tr>
      <w:tr w:rsidR="00993B10" w:rsidRPr="00993B10" w14:paraId="1B1EABA3" w14:textId="4B327553" w:rsidTr="0082760C">
        <w:tc>
          <w:tcPr>
            <w:tcW w:w="2500" w:type="pct"/>
          </w:tcPr>
          <w:p w14:paraId="45AE17AB" w14:textId="6D2ECBF9" w:rsidR="0082760C" w:rsidRPr="00993B10" w:rsidRDefault="008E48DC" w:rsidP="008E48DC">
            <w:pPr>
              <w:pStyle w:val="rvps2"/>
              <w:spacing w:after="150"/>
              <w:ind w:firstLine="567"/>
              <w:jc w:val="both"/>
              <w:rPr>
                <w:strike/>
              </w:rPr>
            </w:pPr>
            <w:r w:rsidRPr="00993B10">
              <w:rPr>
                <w:strike/>
                <w:lang w:val="uk" w:eastAsia="uk"/>
              </w:rPr>
              <w:t>вказана у розпорядженні/</w:t>
            </w:r>
            <w:proofErr w:type="spellStart"/>
            <w:r w:rsidRPr="00993B10">
              <w:rPr>
                <w:strike/>
                <w:lang w:val="uk" w:eastAsia="uk"/>
              </w:rPr>
              <w:t>вимозі</w:t>
            </w:r>
            <w:proofErr w:type="spellEnd"/>
            <w:r w:rsidRPr="00993B10">
              <w:rPr>
                <w:strike/>
                <w:lang w:val="uk" w:eastAsia="uk"/>
              </w:rPr>
              <w:t xml:space="preserve"> та/або документах, що є підставою для внесення змін до облікової системи часток, пов'язаних зі </w:t>
            </w:r>
            <w:r w:rsidRPr="00993B10">
              <w:rPr>
                <w:strike/>
                <w:lang w:val="uk" w:eastAsia="uk"/>
              </w:rPr>
              <w:lastRenderedPageBreak/>
              <w:t>зміною права власності на частку, частка, щодо якої ініційовано внесення змін до облікової системи часток, заблокована у зв'язку з обтяженням її зобов'язаннями або іншим обмеженням в обігу та/або рішенням суду заборонено внесення змін до облікової системи часток;</w:t>
            </w:r>
          </w:p>
        </w:tc>
        <w:tc>
          <w:tcPr>
            <w:tcW w:w="2500" w:type="pct"/>
          </w:tcPr>
          <w:p w14:paraId="64BEB33A" w14:textId="05289CD7" w:rsidR="00583DCB" w:rsidRPr="00993B10" w:rsidRDefault="001E332B" w:rsidP="008E48DC">
            <w:pPr>
              <w:pStyle w:val="a8"/>
              <w:ind w:firstLine="567"/>
              <w:jc w:val="both"/>
              <w:rPr>
                <w:rFonts w:ascii="Times New Roman" w:hAnsi="Times New Roman"/>
                <w:b/>
                <w:sz w:val="24"/>
                <w:szCs w:val="24"/>
                <w:lang w:eastAsia="uk"/>
              </w:rPr>
            </w:pPr>
            <w:r w:rsidRPr="00993B10">
              <w:rPr>
                <w:rFonts w:ascii="Times New Roman" w:hAnsi="Times New Roman"/>
                <w:b/>
                <w:sz w:val="24"/>
                <w:szCs w:val="24"/>
                <w:lang w:eastAsia="uk"/>
              </w:rPr>
              <w:lastRenderedPageBreak/>
              <w:t xml:space="preserve">3) </w:t>
            </w:r>
            <w:r w:rsidR="00583DCB" w:rsidRPr="00993B10">
              <w:rPr>
                <w:rFonts w:ascii="Times New Roman" w:hAnsi="Times New Roman"/>
                <w:b/>
                <w:sz w:val="24"/>
                <w:szCs w:val="24"/>
                <w:lang w:eastAsia="uk"/>
              </w:rPr>
              <w:t xml:space="preserve">частка, щодо якої ініційовано внесення змін до облікової системи часток, заблокована у зв’язку з обтяженнями її </w:t>
            </w:r>
            <w:r w:rsidR="00583DCB" w:rsidRPr="00993B10">
              <w:rPr>
                <w:rFonts w:ascii="Times New Roman" w:hAnsi="Times New Roman"/>
                <w:b/>
                <w:sz w:val="24"/>
                <w:szCs w:val="24"/>
                <w:lang w:eastAsia="uk"/>
              </w:rPr>
              <w:lastRenderedPageBreak/>
              <w:t>зобов'язаннями або іншим обмеженням в обігу та/або на підставі судових рішень</w:t>
            </w:r>
            <w:r w:rsidR="00146316" w:rsidRPr="00993B10">
              <w:rPr>
                <w:rFonts w:ascii="Times New Roman" w:hAnsi="Times New Roman"/>
                <w:b/>
                <w:sz w:val="24"/>
                <w:szCs w:val="24"/>
                <w:lang w:eastAsia="uk"/>
              </w:rPr>
              <w:t xml:space="preserve"> </w:t>
            </w:r>
            <w:r w:rsidR="00583DCB" w:rsidRPr="00993B10">
              <w:rPr>
                <w:rFonts w:ascii="Times New Roman" w:hAnsi="Times New Roman"/>
                <w:b/>
                <w:sz w:val="24"/>
                <w:szCs w:val="24"/>
                <w:lang w:eastAsia="uk"/>
              </w:rPr>
              <w:t>/</w:t>
            </w:r>
            <w:r w:rsidR="00146316" w:rsidRPr="00993B10">
              <w:rPr>
                <w:rFonts w:ascii="Times New Roman" w:hAnsi="Times New Roman"/>
                <w:b/>
                <w:sz w:val="24"/>
                <w:szCs w:val="24"/>
                <w:lang w:eastAsia="uk"/>
              </w:rPr>
              <w:t xml:space="preserve"> </w:t>
            </w:r>
            <w:r w:rsidR="00583DCB" w:rsidRPr="00993B10">
              <w:rPr>
                <w:rFonts w:ascii="Times New Roman" w:hAnsi="Times New Roman"/>
                <w:b/>
                <w:sz w:val="24"/>
                <w:szCs w:val="24"/>
                <w:lang w:eastAsia="uk"/>
              </w:rPr>
              <w:t>постанов або рішень уповноваженого законом органу чи його посадової особи, які передбачають заборону внесення змін до облікової системи часток, та інформація про які наявна в обліковій системі часток;</w:t>
            </w:r>
          </w:p>
          <w:p w14:paraId="14DDC6C2" w14:textId="589EC9CB" w:rsidR="00583DCB" w:rsidRPr="00993B10" w:rsidRDefault="00583DCB" w:rsidP="008E48DC">
            <w:pPr>
              <w:pStyle w:val="a8"/>
              <w:ind w:firstLine="567"/>
              <w:jc w:val="both"/>
              <w:rPr>
                <w:rFonts w:ascii="Times New Roman" w:hAnsi="Times New Roman"/>
                <w:sz w:val="24"/>
                <w:szCs w:val="24"/>
              </w:rPr>
            </w:pPr>
          </w:p>
        </w:tc>
      </w:tr>
      <w:tr w:rsidR="00993B10" w:rsidRPr="00993B10" w14:paraId="7FF53073" w14:textId="77777777" w:rsidTr="0082760C">
        <w:tc>
          <w:tcPr>
            <w:tcW w:w="2500" w:type="pct"/>
          </w:tcPr>
          <w:p w14:paraId="22B3B42B" w14:textId="5531D294" w:rsidR="004B1554" w:rsidRPr="00993B10" w:rsidRDefault="008E48DC" w:rsidP="008E48DC">
            <w:pPr>
              <w:pStyle w:val="rvps2"/>
              <w:spacing w:after="150"/>
              <w:ind w:firstLine="567"/>
              <w:jc w:val="both"/>
              <w:rPr>
                <w:b/>
                <w:lang w:eastAsia="ru-RU"/>
              </w:rPr>
            </w:pPr>
            <w:r w:rsidRPr="00993B10">
              <w:rPr>
                <w:lang w:val="uk" w:eastAsia="uk"/>
              </w:rPr>
              <w:lastRenderedPageBreak/>
              <w:t>рахунок, щодо якого надане розпорядження/вимога, заблокований на підставі визначених законодавством документів;</w:t>
            </w:r>
          </w:p>
        </w:tc>
        <w:tc>
          <w:tcPr>
            <w:tcW w:w="2500" w:type="pct"/>
          </w:tcPr>
          <w:p w14:paraId="63138C2B" w14:textId="309DBF4F" w:rsidR="00895D2C" w:rsidRPr="00993B10" w:rsidRDefault="004850F0" w:rsidP="00D57300">
            <w:pPr>
              <w:pStyle w:val="a8"/>
              <w:ind w:firstLine="567"/>
              <w:jc w:val="both"/>
              <w:rPr>
                <w:rFonts w:ascii="Times New Roman" w:eastAsia="Times New Roman" w:hAnsi="Times New Roman"/>
                <w:sz w:val="24"/>
                <w:szCs w:val="24"/>
                <w:lang w:eastAsia="ru-RU"/>
              </w:rPr>
            </w:pPr>
            <w:r w:rsidRPr="00993B10">
              <w:rPr>
                <w:rFonts w:ascii="Times New Roman" w:eastAsia="Times New Roman" w:hAnsi="Times New Roman"/>
                <w:b/>
                <w:sz w:val="24"/>
                <w:szCs w:val="24"/>
                <w:lang w:eastAsia="ru-RU"/>
              </w:rPr>
              <w:t>4)</w:t>
            </w:r>
            <w:r w:rsidRPr="00993B10">
              <w:rPr>
                <w:rFonts w:ascii="Times New Roman" w:eastAsia="Times New Roman" w:hAnsi="Times New Roman"/>
                <w:sz w:val="24"/>
                <w:szCs w:val="24"/>
                <w:lang w:eastAsia="ru-RU"/>
              </w:rPr>
              <w:t xml:space="preserve"> рахунок, щодо якого надане розпорядження/вимога, заблокований на підставі визначених законодавством документів;</w:t>
            </w:r>
          </w:p>
        </w:tc>
      </w:tr>
      <w:tr w:rsidR="00993B10" w:rsidRPr="00993B10" w14:paraId="3A7F3702" w14:textId="77777777" w:rsidTr="0082760C">
        <w:tc>
          <w:tcPr>
            <w:tcW w:w="2500" w:type="pct"/>
          </w:tcPr>
          <w:p w14:paraId="5C2E8BC5" w14:textId="070EF184" w:rsidR="007E69D2" w:rsidRPr="00993B10" w:rsidRDefault="008E48DC" w:rsidP="008E48DC">
            <w:pPr>
              <w:pStyle w:val="rvps2"/>
              <w:spacing w:after="150"/>
              <w:ind w:firstLine="567"/>
              <w:jc w:val="both"/>
              <w:rPr>
                <w:strike/>
                <w:lang w:eastAsia="ru-RU"/>
              </w:rPr>
            </w:pPr>
            <w:r w:rsidRPr="00993B10">
              <w:rPr>
                <w:strike/>
                <w:lang w:val="uk" w:eastAsia="uk"/>
              </w:rPr>
              <w:t xml:space="preserve">надання учасником товариства або призначеним ним керуючим його рахунком розпорядження/вимоги та/або документів, що є підставою для внесення змін до облікової системи часток щодо частки товариства, управління за якою здійснює АРМА або Управитель відповідно до </w:t>
            </w:r>
            <w:hyperlink w:anchor="n91" w:history="1">
              <w:r w:rsidRPr="00993B10">
                <w:rPr>
                  <w:rStyle w:val="arvts99"/>
                  <w:strike/>
                  <w:color w:val="auto"/>
                  <w:lang w:val="uk" w:eastAsia="uk"/>
                </w:rPr>
                <w:t>пункту 23</w:t>
              </w:r>
            </w:hyperlink>
            <w:r w:rsidRPr="00993B10">
              <w:rPr>
                <w:strike/>
                <w:lang w:val="uk" w:eastAsia="uk"/>
              </w:rPr>
              <w:t xml:space="preserve"> цього розділу;</w:t>
            </w:r>
          </w:p>
        </w:tc>
        <w:tc>
          <w:tcPr>
            <w:tcW w:w="2500" w:type="pct"/>
          </w:tcPr>
          <w:p w14:paraId="00B4FDF4" w14:textId="397A4B9C" w:rsidR="00895D2C" w:rsidRPr="00993B10" w:rsidRDefault="00B5357B" w:rsidP="00835BA8">
            <w:pPr>
              <w:shd w:val="clear" w:color="auto" w:fill="FFFFFF"/>
              <w:spacing w:after="150"/>
              <w:ind w:firstLine="567"/>
              <w:jc w:val="both"/>
              <w:rPr>
                <w:rFonts w:ascii="Times New Roman" w:eastAsia="Times New Roman" w:hAnsi="Times New Roman" w:cs="Times New Roman"/>
                <w:b/>
                <w:sz w:val="24"/>
                <w:szCs w:val="24"/>
                <w:lang w:eastAsia="ru-RU"/>
              </w:rPr>
            </w:pPr>
            <w:r w:rsidRPr="00993B10">
              <w:rPr>
                <w:rFonts w:ascii="Times New Roman" w:eastAsia="Times New Roman" w:hAnsi="Times New Roman" w:cs="Times New Roman"/>
                <w:b/>
                <w:sz w:val="24"/>
                <w:szCs w:val="24"/>
                <w:lang w:eastAsia="ru-RU"/>
              </w:rPr>
              <w:t xml:space="preserve">5) </w:t>
            </w:r>
            <w:r w:rsidR="00583DCB" w:rsidRPr="00993B10">
              <w:rPr>
                <w:rFonts w:ascii="Times New Roman" w:eastAsia="Times New Roman" w:hAnsi="Times New Roman" w:cs="Times New Roman"/>
                <w:b/>
                <w:sz w:val="24"/>
                <w:szCs w:val="24"/>
                <w:lang w:eastAsia="ru-RU"/>
              </w:rPr>
              <w:t>надання розпорядження</w:t>
            </w:r>
            <w:r w:rsidR="00835BA8" w:rsidRPr="00993B10">
              <w:rPr>
                <w:rFonts w:ascii="Times New Roman" w:eastAsia="Times New Roman" w:hAnsi="Times New Roman" w:cs="Times New Roman"/>
                <w:b/>
                <w:sz w:val="24"/>
                <w:szCs w:val="24"/>
                <w:lang w:eastAsia="ru-RU"/>
              </w:rPr>
              <w:t>,</w:t>
            </w:r>
            <w:r w:rsidR="00583DCB" w:rsidRPr="00993B10">
              <w:rPr>
                <w:rFonts w:ascii="Times New Roman" w:eastAsia="Times New Roman" w:hAnsi="Times New Roman" w:cs="Times New Roman"/>
                <w:b/>
                <w:sz w:val="24"/>
                <w:szCs w:val="24"/>
                <w:lang w:eastAsia="ru-RU"/>
              </w:rPr>
              <w:t xml:space="preserve"> вимог</w:t>
            </w:r>
            <w:r w:rsidR="00835BA8" w:rsidRPr="00993B10">
              <w:rPr>
                <w:rFonts w:ascii="Times New Roman" w:eastAsia="Times New Roman" w:hAnsi="Times New Roman" w:cs="Times New Roman"/>
                <w:b/>
                <w:sz w:val="24"/>
                <w:szCs w:val="24"/>
                <w:lang w:eastAsia="ru-RU"/>
              </w:rPr>
              <w:t>и,</w:t>
            </w:r>
            <w:r w:rsidR="00583DCB" w:rsidRPr="00993B10">
              <w:rPr>
                <w:rFonts w:ascii="Times New Roman" w:eastAsia="Times New Roman" w:hAnsi="Times New Roman" w:cs="Times New Roman"/>
                <w:b/>
                <w:sz w:val="24"/>
                <w:szCs w:val="24"/>
                <w:lang w:eastAsia="ru-RU"/>
              </w:rPr>
              <w:t xml:space="preserve"> документів учасником товариства та/або керуючим рахунком учасника товариства щодо належної такому учаснику частки товариства,  яка передана в управління АРМА</w:t>
            </w:r>
            <w:r w:rsidR="00631B36" w:rsidRPr="00993B10">
              <w:rPr>
                <w:rFonts w:ascii="Times New Roman" w:eastAsia="Times New Roman" w:hAnsi="Times New Roman" w:cs="Times New Roman"/>
                <w:b/>
                <w:sz w:val="24"/>
                <w:szCs w:val="24"/>
                <w:lang w:eastAsia="ru-RU"/>
              </w:rPr>
              <w:t xml:space="preserve"> </w:t>
            </w:r>
            <w:r w:rsidR="00583DCB" w:rsidRPr="00993B10">
              <w:rPr>
                <w:rFonts w:ascii="Times New Roman" w:eastAsia="Times New Roman" w:hAnsi="Times New Roman" w:cs="Times New Roman"/>
                <w:b/>
                <w:sz w:val="24"/>
                <w:szCs w:val="24"/>
                <w:lang w:eastAsia="ru-RU"/>
              </w:rPr>
              <w:t>/</w:t>
            </w:r>
            <w:r w:rsidR="00631B36" w:rsidRPr="00993B10">
              <w:rPr>
                <w:rFonts w:ascii="Times New Roman" w:eastAsia="Times New Roman" w:hAnsi="Times New Roman" w:cs="Times New Roman"/>
                <w:b/>
                <w:sz w:val="24"/>
                <w:szCs w:val="24"/>
                <w:lang w:eastAsia="ru-RU"/>
              </w:rPr>
              <w:t xml:space="preserve"> </w:t>
            </w:r>
            <w:r w:rsidR="00583DCB" w:rsidRPr="00993B10">
              <w:rPr>
                <w:rFonts w:ascii="Times New Roman" w:eastAsia="Times New Roman" w:hAnsi="Times New Roman" w:cs="Times New Roman"/>
                <w:b/>
                <w:sz w:val="24"/>
                <w:szCs w:val="24"/>
                <w:lang w:eastAsia="ru-RU"/>
              </w:rPr>
              <w:t>Управителю відповідно до пункту 23 цього розділу;</w:t>
            </w:r>
          </w:p>
        </w:tc>
      </w:tr>
      <w:tr w:rsidR="00993B10" w:rsidRPr="00993B10" w14:paraId="1C8CCD43" w14:textId="184C3652" w:rsidTr="0082760C">
        <w:tc>
          <w:tcPr>
            <w:tcW w:w="2500" w:type="pct"/>
          </w:tcPr>
          <w:p w14:paraId="6A00793F" w14:textId="6FA6EA35" w:rsidR="00B5357B" w:rsidRPr="00993B10" w:rsidRDefault="00B5357B" w:rsidP="00B5357B">
            <w:pPr>
              <w:ind w:firstLine="567"/>
              <w:jc w:val="both"/>
              <w:rPr>
                <w:rFonts w:ascii="Times New Roman" w:eastAsia="Times New Roman" w:hAnsi="Times New Roman" w:cs="Times New Roman"/>
                <w:sz w:val="24"/>
                <w:szCs w:val="24"/>
                <w:lang w:eastAsia="uk-UA"/>
              </w:rPr>
            </w:pPr>
            <w:r w:rsidRPr="00993B10">
              <w:rPr>
                <w:rFonts w:ascii="Times New Roman" w:hAnsi="Times New Roman" w:cs="Times New Roman"/>
                <w:sz w:val="24"/>
                <w:szCs w:val="24"/>
                <w:lang w:val="uk" w:eastAsia="uk"/>
              </w:rPr>
              <w:t xml:space="preserve">заборона щодо реєстрації зміни права власності на частки товариства в дату проведення загальних зборів учасників товариства, у разі проведення відповідних загальних зборів із застосуванням засобів електронних комунікацій через облікову систему часток або у випадку, передбаченому </w:t>
            </w:r>
            <w:hyperlink w:anchor="n49" w:history="1">
              <w:r w:rsidRPr="00993B10">
                <w:rPr>
                  <w:rStyle w:val="arvts99"/>
                  <w:rFonts w:eastAsiaTheme="minorHAnsi"/>
                  <w:color w:val="auto"/>
                  <w:lang w:val="uk" w:eastAsia="uk"/>
                </w:rPr>
                <w:t>абзацом другим</w:t>
              </w:r>
            </w:hyperlink>
            <w:r w:rsidRPr="00993B10">
              <w:rPr>
                <w:rFonts w:ascii="Times New Roman" w:hAnsi="Times New Roman" w:cs="Times New Roman"/>
                <w:sz w:val="24"/>
                <w:szCs w:val="24"/>
                <w:lang w:val="uk" w:eastAsia="uk"/>
              </w:rPr>
              <w:t xml:space="preserve"> пункту 11 розділу II та підпунктом 4 пункту 27 розділу III цього Порядку цього Порядку;</w:t>
            </w:r>
          </w:p>
        </w:tc>
        <w:tc>
          <w:tcPr>
            <w:tcW w:w="2500" w:type="pct"/>
          </w:tcPr>
          <w:p w14:paraId="2F3843C6" w14:textId="6BEFDB63" w:rsidR="00B5357B" w:rsidRPr="00993B10" w:rsidRDefault="00B5357B" w:rsidP="007D29F4">
            <w:pPr>
              <w:ind w:firstLine="567"/>
              <w:jc w:val="both"/>
              <w:rPr>
                <w:rFonts w:ascii="Times New Roman" w:eastAsia="Times New Roman" w:hAnsi="Times New Roman" w:cs="Times New Roman"/>
                <w:sz w:val="24"/>
                <w:szCs w:val="24"/>
                <w:lang w:eastAsia="uk-UA"/>
              </w:rPr>
            </w:pPr>
            <w:r w:rsidRPr="00993B10">
              <w:rPr>
                <w:rFonts w:ascii="Times New Roman" w:hAnsi="Times New Roman" w:cs="Times New Roman"/>
                <w:b/>
                <w:sz w:val="24"/>
                <w:szCs w:val="24"/>
                <w:lang w:val="uk" w:eastAsia="uk"/>
              </w:rPr>
              <w:t>6)</w:t>
            </w:r>
            <w:r w:rsidRPr="00993B10">
              <w:rPr>
                <w:rFonts w:ascii="Times New Roman" w:hAnsi="Times New Roman" w:cs="Times New Roman"/>
                <w:sz w:val="24"/>
                <w:szCs w:val="24"/>
                <w:lang w:val="uk" w:eastAsia="uk"/>
              </w:rPr>
              <w:t xml:space="preserve"> заборона щодо реєстрації зміни права власності на частки товариства в дату проведення загальних зборів учасників товариства, у разі проведення відповідних загальних зборів із застосуванням засобів електронних комунікацій через облікову систему часток або у випадку, передбаченому </w:t>
            </w:r>
            <w:hyperlink w:anchor="n49" w:history="1">
              <w:r w:rsidRPr="00993B10">
                <w:rPr>
                  <w:rStyle w:val="arvts99"/>
                  <w:rFonts w:eastAsiaTheme="minorHAnsi"/>
                  <w:color w:val="auto"/>
                  <w:lang w:val="uk" w:eastAsia="uk"/>
                </w:rPr>
                <w:t>абзацом другим</w:t>
              </w:r>
            </w:hyperlink>
            <w:r w:rsidRPr="00993B10">
              <w:rPr>
                <w:rFonts w:ascii="Times New Roman" w:hAnsi="Times New Roman" w:cs="Times New Roman"/>
                <w:sz w:val="24"/>
                <w:szCs w:val="24"/>
                <w:lang w:val="uk" w:eastAsia="uk"/>
              </w:rPr>
              <w:t xml:space="preserve"> пункту 11 розділу II та підпунктом 4 пункту 27 розділу III цього Порядку;</w:t>
            </w:r>
          </w:p>
        </w:tc>
      </w:tr>
      <w:tr w:rsidR="00993B10" w:rsidRPr="00993B10" w14:paraId="22486B75" w14:textId="4ADA8C76" w:rsidTr="0082760C">
        <w:tc>
          <w:tcPr>
            <w:tcW w:w="2500" w:type="pct"/>
          </w:tcPr>
          <w:p w14:paraId="52FC3676" w14:textId="50C0A4AF" w:rsidR="00B5357B" w:rsidRPr="00993B10" w:rsidRDefault="00B5357B" w:rsidP="00B5357B">
            <w:pPr>
              <w:pStyle w:val="rvps2"/>
              <w:spacing w:after="150"/>
              <w:ind w:firstLine="567"/>
              <w:jc w:val="both"/>
            </w:pPr>
            <w:bookmarkStart w:id="1" w:name="n471"/>
            <w:bookmarkEnd w:id="1"/>
            <w:r w:rsidRPr="00993B10">
              <w:rPr>
                <w:lang w:val="uk" w:eastAsia="uk"/>
              </w:rPr>
              <w:t xml:space="preserve">блокування проведення в обліковій системі часток операцій у зв'язку з поданням Центральним депозитарієм до Міністерства юстиції України заяви про державну реєстрацію відомостей щодо припинення обліку часток товариства в обліковій системі часток відповідно до </w:t>
            </w:r>
            <w:hyperlink w:anchor="n213" w:history="1">
              <w:r w:rsidRPr="00993B10">
                <w:rPr>
                  <w:rStyle w:val="arvts99"/>
                  <w:color w:val="auto"/>
                  <w:lang w:val="uk" w:eastAsia="uk"/>
                </w:rPr>
                <w:t>пункту 38</w:t>
              </w:r>
            </w:hyperlink>
            <w:r w:rsidRPr="00993B10">
              <w:rPr>
                <w:lang w:val="uk" w:eastAsia="uk"/>
              </w:rPr>
              <w:t xml:space="preserve"> розділу IV цього Порядку;</w:t>
            </w:r>
          </w:p>
        </w:tc>
        <w:tc>
          <w:tcPr>
            <w:tcW w:w="2500" w:type="pct"/>
          </w:tcPr>
          <w:p w14:paraId="30C21FBD" w14:textId="1E255648" w:rsidR="00B5357B" w:rsidRPr="00993B10" w:rsidRDefault="00B5357B" w:rsidP="00B5357B">
            <w:pPr>
              <w:ind w:firstLine="567"/>
              <w:jc w:val="both"/>
              <w:rPr>
                <w:rFonts w:ascii="Times New Roman" w:eastAsia="Times New Roman" w:hAnsi="Times New Roman" w:cs="Times New Roman"/>
                <w:sz w:val="24"/>
                <w:szCs w:val="24"/>
                <w:lang w:eastAsia="uk-UA"/>
              </w:rPr>
            </w:pPr>
            <w:r w:rsidRPr="00993B10">
              <w:rPr>
                <w:rFonts w:ascii="Times New Roman" w:hAnsi="Times New Roman" w:cs="Times New Roman"/>
                <w:b/>
                <w:sz w:val="24"/>
                <w:szCs w:val="24"/>
                <w:lang w:val="uk" w:eastAsia="uk"/>
              </w:rPr>
              <w:t>7)</w:t>
            </w:r>
            <w:r w:rsidRPr="00993B10">
              <w:rPr>
                <w:rFonts w:ascii="Times New Roman" w:hAnsi="Times New Roman" w:cs="Times New Roman"/>
                <w:sz w:val="24"/>
                <w:szCs w:val="24"/>
                <w:lang w:val="uk" w:eastAsia="uk"/>
              </w:rPr>
              <w:t xml:space="preserve"> блокування проведення в обліковій системі часток операцій у зв'язку з поданням Центральним депозитарієм до Міністерства юстиції України заяви про державну реєстрацію відомостей щодо припинення обліку часток товариства в обліковій системі часток відповідно до </w:t>
            </w:r>
            <w:hyperlink w:anchor="n213" w:history="1">
              <w:r w:rsidRPr="00993B10">
                <w:rPr>
                  <w:rStyle w:val="arvts99"/>
                  <w:rFonts w:eastAsiaTheme="minorHAnsi"/>
                  <w:color w:val="auto"/>
                  <w:lang w:val="uk" w:eastAsia="uk"/>
                </w:rPr>
                <w:t>пункту 38</w:t>
              </w:r>
            </w:hyperlink>
            <w:r w:rsidRPr="00993B10">
              <w:rPr>
                <w:rFonts w:ascii="Times New Roman" w:hAnsi="Times New Roman" w:cs="Times New Roman"/>
                <w:sz w:val="24"/>
                <w:szCs w:val="24"/>
                <w:lang w:val="uk" w:eastAsia="uk"/>
              </w:rPr>
              <w:t xml:space="preserve"> розділу IV цього Порядку;</w:t>
            </w:r>
          </w:p>
        </w:tc>
      </w:tr>
      <w:tr w:rsidR="00993B10" w:rsidRPr="00993B10" w14:paraId="77D0959A" w14:textId="0FD94BA3" w:rsidTr="0082760C">
        <w:tc>
          <w:tcPr>
            <w:tcW w:w="2500" w:type="pct"/>
          </w:tcPr>
          <w:p w14:paraId="5B461518" w14:textId="0A34DEF3" w:rsidR="00B5357B" w:rsidRPr="00993B10" w:rsidRDefault="00B5357B" w:rsidP="00B5357B">
            <w:pPr>
              <w:pStyle w:val="rvps2"/>
              <w:spacing w:after="150"/>
              <w:ind w:firstLine="567"/>
              <w:jc w:val="both"/>
            </w:pPr>
            <w:r w:rsidRPr="00993B10">
              <w:rPr>
                <w:lang w:val="uk" w:eastAsia="uk"/>
              </w:rPr>
              <w:t xml:space="preserve">не внесення до Єдиного державного реєстру інформації про зміну розміру статутного капіталу товариства (при внесенні змін у випадках, передбачених підпунктами 4, 5 </w:t>
            </w:r>
            <w:hyperlink w:anchor="n162" w:history="1">
              <w:r w:rsidRPr="00993B10">
                <w:rPr>
                  <w:rStyle w:val="arvts99"/>
                  <w:color w:val="auto"/>
                  <w:lang w:val="uk" w:eastAsia="uk"/>
                </w:rPr>
                <w:t>пункту 27</w:t>
              </w:r>
            </w:hyperlink>
            <w:r w:rsidRPr="00993B10">
              <w:rPr>
                <w:lang w:val="uk" w:eastAsia="uk"/>
              </w:rPr>
              <w:t xml:space="preserve"> розділу III цього Порядку);</w:t>
            </w:r>
          </w:p>
        </w:tc>
        <w:tc>
          <w:tcPr>
            <w:tcW w:w="2500" w:type="pct"/>
          </w:tcPr>
          <w:p w14:paraId="2AA42FF5" w14:textId="798F287C" w:rsidR="002335DC" w:rsidRPr="00993B10" w:rsidRDefault="00B5357B" w:rsidP="00133887">
            <w:pPr>
              <w:shd w:val="clear" w:color="auto" w:fill="FFFFFF"/>
              <w:ind w:firstLine="567"/>
              <w:jc w:val="both"/>
              <w:rPr>
                <w:rFonts w:ascii="Times New Roman" w:hAnsi="Times New Roman" w:cs="Times New Roman"/>
                <w:sz w:val="24"/>
                <w:szCs w:val="24"/>
              </w:rPr>
            </w:pPr>
            <w:r w:rsidRPr="00993B10">
              <w:rPr>
                <w:rFonts w:ascii="Times New Roman" w:hAnsi="Times New Roman" w:cs="Times New Roman"/>
                <w:b/>
                <w:sz w:val="24"/>
                <w:szCs w:val="24"/>
                <w:lang w:val="uk" w:eastAsia="uk"/>
              </w:rPr>
              <w:t>8)</w:t>
            </w:r>
            <w:r w:rsidR="00FD134E">
              <w:rPr>
                <w:rFonts w:ascii="Times New Roman" w:hAnsi="Times New Roman" w:cs="Times New Roman"/>
                <w:sz w:val="24"/>
                <w:szCs w:val="24"/>
                <w:lang w:val="uk" w:eastAsia="uk"/>
              </w:rPr>
              <w:t xml:space="preserve"> не</w:t>
            </w:r>
            <w:r w:rsidRPr="00993B10">
              <w:rPr>
                <w:rFonts w:ascii="Times New Roman" w:hAnsi="Times New Roman" w:cs="Times New Roman"/>
                <w:sz w:val="24"/>
                <w:szCs w:val="24"/>
                <w:lang w:val="uk" w:eastAsia="uk"/>
              </w:rPr>
              <w:t xml:space="preserve">внесення до Єдиного державного реєстру інформації про зміну розміру статутного капіталу товариства (при внесенні змін у випадках, передбачених підпунктами 4, 5 </w:t>
            </w:r>
            <w:hyperlink w:anchor="n162" w:history="1">
              <w:r w:rsidRPr="00993B10">
                <w:rPr>
                  <w:rStyle w:val="arvts99"/>
                  <w:rFonts w:eastAsiaTheme="minorHAnsi"/>
                  <w:color w:val="auto"/>
                  <w:lang w:val="uk" w:eastAsia="uk"/>
                </w:rPr>
                <w:t>пункту 27</w:t>
              </w:r>
            </w:hyperlink>
            <w:r w:rsidRPr="00993B10">
              <w:rPr>
                <w:rFonts w:ascii="Times New Roman" w:hAnsi="Times New Roman" w:cs="Times New Roman"/>
                <w:sz w:val="24"/>
                <w:szCs w:val="24"/>
                <w:lang w:val="uk" w:eastAsia="uk"/>
              </w:rPr>
              <w:t xml:space="preserve"> розділу III цього Порядку);</w:t>
            </w:r>
          </w:p>
        </w:tc>
      </w:tr>
      <w:tr w:rsidR="00993B10" w:rsidRPr="00993B10" w14:paraId="65A5A84B" w14:textId="4E339167" w:rsidTr="0082760C">
        <w:tc>
          <w:tcPr>
            <w:tcW w:w="2500" w:type="pct"/>
          </w:tcPr>
          <w:p w14:paraId="18083FB7" w14:textId="4F19F557" w:rsidR="00B5357B" w:rsidRPr="00993B10" w:rsidRDefault="00B5357B" w:rsidP="00B5357B">
            <w:pPr>
              <w:pStyle w:val="rvps2"/>
              <w:spacing w:after="150"/>
              <w:ind w:firstLine="567"/>
              <w:jc w:val="both"/>
            </w:pPr>
            <w:r w:rsidRPr="00993B10">
              <w:rPr>
                <w:lang w:val="uk" w:eastAsia="uk"/>
              </w:rPr>
              <w:t xml:space="preserve">несплата товариством, учасником товариства, уповноваженою депозитарною установою послуг Центрального депозитарію, уповноваженої депозитарної установи, якщо це передбачено відповідним договором (договором щодо обліку часток товариства в </w:t>
            </w:r>
            <w:r w:rsidRPr="00993B10">
              <w:rPr>
                <w:lang w:val="uk" w:eastAsia="uk"/>
              </w:rPr>
              <w:lastRenderedPageBreak/>
              <w:t>обліковій системі часток, договором щодо обслуговування рахунку(</w:t>
            </w:r>
            <w:proofErr w:type="spellStart"/>
            <w:r w:rsidRPr="00993B10">
              <w:rPr>
                <w:lang w:val="uk" w:eastAsia="uk"/>
              </w:rPr>
              <w:t>ів</w:t>
            </w:r>
            <w:proofErr w:type="spellEnd"/>
            <w:r w:rsidRPr="00993B10">
              <w:rPr>
                <w:lang w:val="uk" w:eastAsia="uk"/>
              </w:rPr>
              <w:t>) учасника товариства, договором щодо взаємодії з уповноваженою депозитарною установою).</w:t>
            </w:r>
          </w:p>
        </w:tc>
        <w:tc>
          <w:tcPr>
            <w:tcW w:w="2500" w:type="pct"/>
          </w:tcPr>
          <w:p w14:paraId="0F81123F" w14:textId="28677B5B" w:rsidR="00646972" w:rsidRPr="00993B10" w:rsidRDefault="00B5357B" w:rsidP="00DC054F">
            <w:pPr>
              <w:ind w:firstLine="567"/>
              <w:jc w:val="both"/>
              <w:rPr>
                <w:rFonts w:ascii="Times New Roman" w:hAnsi="Times New Roman" w:cs="Times New Roman"/>
                <w:b/>
                <w:sz w:val="24"/>
                <w:szCs w:val="24"/>
              </w:rPr>
            </w:pPr>
            <w:r w:rsidRPr="00993B10">
              <w:rPr>
                <w:rFonts w:ascii="Times New Roman" w:hAnsi="Times New Roman" w:cs="Times New Roman"/>
                <w:b/>
                <w:sz w:val="24"/>
                <w:szCs w:val="24"/>
                <w:lang w:val="uk" w:eastAsia="uk"/>
              </w:rPr>
              <w:lastRenderedPageBreak/>
              <w:t>9)</w:t>
            </w:r>
            <w:r w:rsidRPr="00993B10">
              <w:rPr>
                <w:rFonts w:ascii="Times New Roman" w:hAnsi="Times New Roman" w:cs="Times New Roman"/>
                <w:sz w:val="24"/>
                <w:szCs w:val="24"/>
                <w:lang w:val="uk" w:eastAsia="uk"/>
              </w:rPr>
              <w:t xml:space="preserve"> </w:t>
            </w:r>
            <w:r w:rsidR="00DC054F" w:rsidRPr="00993B10">
              <w:rPr>
                <w:rFonts w:ascii="Times New Roman" w:hAnsi="Times New Roman" w:cs="Times New Roman"/>
                <w:sz w:val="24"/>
                <w:szCs w:val="24"/>
                <w:lang w:val="uk" w:eastAsia="uk"/>
              </w:rPr>
              <w:t xml:space="preserve">несплата товариством, учасником товариства, уповноваженою депозитарною установою послуг Центрального депозитарію, уповноваженої депозитарної установи, якщо це передбачено відповідним договором (договором щодо обліку часток товариства в </w:t>
            </w:r>
            <w:r w:rsidR="00DC054F" w:rsidRPr="00993B10">
              <w:rPr>
                <w:rFonts w:ascii="Times New Roman" w:hAnsi="Times New Roman" w:cs="Times New Roman"/>
                <w:sz w:val="24"/>
                <w:szCs w:val="24"/>
                <w:lang w:val="uk" w:eastAsia="uk"/>
              </w:rPr>
              <w:lastRenderedPageBreak/>
              <w:t>обліковій системі часток, договором щодо обслуговування рахунку(</w:t>
            </w:r>
            <w:proofErr w:type="spellStart"/>
            <w:r w:rsidR="00DC054F" w:rsidRPr="00993B10">
              <w:rPr>
                <w:rFonts w:ascii="Times New Roman" w:hAnsi="Times New Roman" w:cs="Times New Roman"/>
                <w:sz w:val="24"/>
                <w:szCs w:val="24"/>
                <w:lang w:val="uk" w:eastAsia="uk"/>
              </w:rPr>
              <w:t>ів</w:t>
            </w:r>
            <w:proofErr w:type="spellEnd"/>
            <w:r w:rsidR="00DC054F" w:rsidRPr="00993B10">
              <w:rPr>
                <w:rFonts w:ascii="Times New Roman" w:hAnsi="Times New Roman" w:cs="Times New Roman"/>
                <w:sz w:val="24"/>
                <w:szCs w:val="24"/>
                <w:lang w:val="uk" w:eastAsia="uk"/>
              </w:rPr>
              <w:t xml:space="preserve">) учасника товариства, договором щодо взаємодії з уповноваженою депозитарною установою, </w:t>
            </w:r>
            <w:r w:rsidR="00DC054F" w:rsidRPr="00993B10">
              <w:rPr>
                <w:rFonts w:ascii="Times New Roman" w:hAnsi="Times New Roman" w:cs="Times New Roman"/>
                <w:b/>
                <w:sz w:val="24"/>
                <w:szCs w:val="24"/>
                <w:lang w:eastAsia="uk"/>
              </w:rPr>
              <w:t>договором рахунка умовного зберігання (</w:t>
            </w:r>
            <w:proofErr w:type="spellStart"/>
            <w:r w:rsidR="00DC054F" w:rsidRPr="00993B10">
              <w:rPr>
                <w:rFonts w:ascii="Times New Roman" w:hAnsi="Times New Roman" w:cs="Times New Roman"/>
                <w:b/>
                <w:sz w:val="24"/>
                <w:szCs w:val="24"/>
                <w:lang w:eastAsia="uk"/>
              </w:rPr>
              <w:t>ескроу</w:t>
            </w:r>
            <w:proofErr w:type="spellEnd"/>
            <w:r w:rsidR="00DC054F" w:rsidRPr="00993B10">
              <w:rPr>
                <w:rFonts w:ascii="Times New Roman" w:hAnsi="Times New Roman" w:cs="Times New Roman"/>
                <w:b/>
                <w:sz w:val="24"/>
                <w:szCs w:val="24"/>
                <w:lang w:eastAsia="uk"/>
              </w:rPr>
              <w:t>) часток товариства</w:t>
            </w:r>
            <w:r w:rsidR="00DC054F" w:rsidRPr="00993B10">
              <w:rPr>
                <w:rFonts w:ascii="Times New Roman" w:hAnsi="Times New Roman" w:cs="Times New Roman"/>
                <w:sz w:val="24"/>
                <w:szCs w:val="24"/>
                <w:lang w:val="uk" w:eastAsia="uk"/>
              </w:rPr>
              <w:t>);</w:t>
            </w:r>
          </w:p>
        </w:tc>
      </w:tr>
      <w:tr w:rsidR="00993B10" w:rsidRPr="00993B10" w14:paraId="4A23EAFE" w14:textId="4EF69110" w:rsidTr="0082760C">
        <w:tc>
          <w:tcPr>
            <w:tcW w:w="2500" w:type="pct"/>
          </w:tcPr>
          <w:p w14:paraId="7454BBC4" w14:textId="77777777" w:rsidR="00441A2B" w:rsidRPr="00993B10" w:rsidRDefault="00441A2B" w:rsidP="00441A2B">
            <w:pPr>
              <w:pStyle w:val="rvps2"/>
              <w:spacing w:before="0" w:beforeAutospacing="0" w:after="0" w:afterAutospacing="0"/>
              <w:ind w:firstLine="567"/>
              <w:jc w:val="both"/>
              <w:rPr>
                <w:b/>
                <w:lang w:val="uk" w:eastAsia="uk"/>
              </w:rPr>
            </w:pPr>
            <w:r w:rsidRPr="00993B10">
              <w:rPr>
                <w:b/>
                <w:lang w:val="uk" w:eastAsia="uk"/>
              </w:rPr>
              <w:lastRenderedPageBreak/>
              <w:t>Відсутній</w:t>
            </w:r>
          </w:p>
          <w:p w14:paraId="1F3621EF" w14:textId="26F3DC3C" w:rsidR="00B5357B" w:rsidRPr="00993B10" w:rsidRDefault="00B5357B" w:rsidP="00B5357B">
            <w:pPr>
              <w:ind w:firstLine="567"/>
              <w:jc w:val="both"/>
              <w:rPr>
                <w:rFonts w:ascii="Times New Roman" w:hAnsi="Times New Roman" w:cs="Times New Roman"/>
                <w:sz w:val="24"/>
                <w:szCs w:val="24"/>
              </w:rPr>
            </w:pPr>
          </w:p>
        </w:tc>
        <w:tc>
          <w:tcPr>
            <w:tcW w:w="2500" w:type="pct"/>
          </w:tcPr>
          <w:p w14:paraId="7AC09BBF" w14:textId="37F2DC79" w:rsidR="003D6D5E" w:rsidRPr="00993B10" w:rsidRDefault="00AF7964" w:rsidP="00673E8A">
            <w:pPr>
              <w:pStyle w:val="rvps2"/>
              <w:spacing w:before="0" w:beforeAutospacing="0" w:after="0" w:afterAutospacing="0"/>
              <w:ind w:firstLine="567"/>
              <w:jc w:val="both"/>
              <w:rPr>
                <w:lang w:val="ru-RU"/>
              </w:rPr>
            </w:pPr>
            <w:r w:rsidRPr="00993B10">
              <w:rPr>
                <w:b/>
                <w:lang w:eastAsia="uk"/>
              </w:rPr>
              <w:t xml:space="preserve">10) </w:t>
            </w:r>
            <w:r w:rsidR="00146316" w:rsidRPr="00993B10">
              <w:rPr>
                <w:b/>
                <w:lang w:eastAsia="uk"/>
              </w:rPr>
              <w:t xml:space="preserve">відсутність </w:t>
            </w:r>
            <w:r w:rsidR="00673E8A" w:rsidRPr="00993B10">
              <w:rPr>
                <w:b/>
                <w:lang w:eastAsia="uk"/>
              </w:rPr>
              <w:t>повідомлення про згоду</w:t>
            </w:r>
            <w:r w:rsidR="00146316" w:rsidRPr="00993B10">
              <w:rPr>
                <w:b/>
                <w:lang w:eastAsia="uk"/>
              </w:rPr>
              <w:t xml:space="preserve"> заставодержателя на переведення обслуговування рахунку учасника товариства до нової уповноваженої депозитарної установи / Центрального депозитарію (у разі якщо на рахунку учасника товариства обліковується частка, що передана в заставу)</w:t>
            </w:r>
            <w:r w:rsidR="003D6D5E" w:rsidRPr="00993B10">
              <w:rPr>
                <w:b/>
                <w:lang w:eastAsia="uk"/>
              </w:rPr>
              <w:t>;</w:t>
            </w:r>
          </w:p>
        </w:tc>
      </w:tr>
      <w:tr w:rsidR="00993B10" w:rsidRPr="00993B10" w14:paraId="6C188F32" w14:textId="77777777" w:rsidTr="0082760C">
        <w:tc>
          <w:tcPr>
            <w:tcW w:w="2500" w:type="pct"/>
          </w:tcPr>
          <w:p w14:paraId="02F2D5E1" w14:textId="77777777" w:rsidR="00441A2B" w:rsidRPr="00993B10" w:rsidRDefault="00441A2B" w:rsidP="00441A2B">
            <w:pPr>
              <w:pStyle w:val="rvps2"/>
              <w:spacing w:before="0" w:beforeAutospacing="0" w:after="0" w:afterAutospacing="0"/>
              <w:ind w:firstLine="567"/>
              <w:jc w:val="both"/>
              <w:rPr>
                <w:b/>
                <w:lang w:val="uk" w:eastAsia="uk"/>
              </w:rPr>
            </w:pPr>
            <w:r w:rsidRPr="00993B10">
              <w:rPr>
                <w:b/>
                <w:lang w:val="uk" w:eastAsia="uk"/>
              </w:rPr>
              <w:t>Відсутній</w:t>
            </w:r>
          </w:p>
          <w:p w14:paraId="37F00721" w14:textId="539E8220" w:rsidR="00BE66D5" w:rsidRPr="00993B10" w:rsidRDefault="00BE66D5" w:rsidP="00B5357B">
            <w:pPr>
              <w:ind w:firstLine="567"/>
              <w:jc w:val="both"/>
              <w:rPr>
                <w:rFonts w:ascii="Times New Roman" w:eastAsia="Times New Roman" w:hAnsi="Times New Roman" w:cs="Times New Roman"/>
                <w:strike/>
                <w:sz w:val="24"/>
                <w:szCs w:val="24"/>
                <w:lang w:eastAsia="uk-UA"/>
              </w:rPr>
            </w:pPr>
          </w:p>
        </w:tc>
        <w:tc>
          <w:tcPr>
            <w:tcW w:w="2500" w:type="pct"/>
          </w:tcPr>
          <w:p w14:paraId="0E4E4778" w14:textId="64F1D1CF" w:rsidR="00133887" w:rsidRPr="00025242" w:rsidRDefault="00BE66D5" w:rsidP="00025242">
            <w:pPr>
              <w:pStyle w:val="rvps2"/>
              <w:spacing w:before="0" w:beforeAutospacing="0" w:after="0" w:afterAutospacing="0"/>
              <w:ind w:firstLine="567"/>
              <w:jc w:val="both"/>
              <w:rPr>
                <w:rFonts w:eastAsiaTheme="minorHAnsi"/>
                <w:b/>
                <w:bCs/>
                <w:lang w:eastAsia="en-US"/>
              </w:rPr>
            </w:pPr>
            <w:r w:rsidRPr="00025242">
              <w:rPr>
                <w:b/>
                <w:lang w:eastAsia="uk"/>
              </w:rPr>
              <w:t>1</w:t>
            </w:r>
            <w:r w:rsidR="00D17A1C" w:rsidRPr="00025242">
              <w:rPr>
                <w:b/>
                <w:lang w:eastAsia="uk"/>
              </w:rPr>
              <w:t>1</w:t>
            </w:r>
            <w:r w:rsidRPr="00025242">
              <w:rPr>
                <w:b/>
                <w:lang w:eastAsia="uk"/>
              </w:rPr>
              <w:t xml:space="preserve">) </w:t>
            </w:r>
            <w:r w:rsidR="00025242" w:rsidRPr="00025242">
              <w:rPr>
                <w:rFonts w:eastAsiaTheme="minorHAnsi"/>
                <w:b/>
                <w:bCs/>
                <w:lang w:eastAsia="en-US"/>
              </w:rPr>
              <w:t>внесення змін до облікової системи часток порушуватиме спеціальні економічні та інші обмежувальні заходи (санкції), застосовані до учасника товариства відповідно до Закону України «Про санкції»;</w:t>
            </w:r>
          </w:p>
        </w:tc>
      </w:tr>
      <w:tr w:rsidR="006A1173" w:rsidRPr="00993B10" w14:paraId="2A14D5F9" w14:textId="77777777" w:rsidTr="0082760C">
        <w:tc>
          <w:tcPr>
            <w:tcW w:w="2500" w:type="pct"/>
          </w:tcPr>
          <w:p w14:paraId="73FBC4A2" w14:textId="426320F7" w:rsidR="006A1173" w:rsidRPr="00993B10" w:rsidRDefault="006A1173" w:rsidP="006A1173">
            <w:pPr>
              <w:pStyle w:val="rvps2"/>
              <w:spacing w:before="0" w:beforeAutospacing="0" w:after="0" w:afterAutospacing="0"/>
              <w:ind w:firstLine="567"/>
              <w:jc w:val="both"/>
              <w:rPr>
                <w:b/>
                <w:lang w:val="uk" w:eastAsia="uk"/>
              </w:rPr>
            </w:pPr>
            <w:r w:rsidRPr="00993B10">
              <w:rPr>
                <w:b/>
                <w:lang w:val="uk" w:eastAsia="uk"/>
              </w:rPr>
              <w:t>Відсутній</w:t>
            </w:r>
          </w:p>
        </w:tc>
        <w:tc>
          <w:tcPr>
            <w:tcW w:w="2500" w:type="pct"/>
          </w:tcPr>
          <w:p w14:paraId="1CB36ACC" w14:textId="732989C7" w:rsidR="006A1173" w:rsidRPr="006A1173" w:rsidRDefault="006A1173" w:rsidP="0012339B">
            <w:pPr>
              <w:ind w:firstLine="567"/>
              <w:jc w:val="both"/>
              <w:rPr>
                <w:rFonts w:ascii="Times New Roman" w:hAnsi="Times New Roman" w:cs="Times New Roman"/>
                <w:b/>
                <w:sz w:val="24"/>
                <w:szCs w:val="24"/>
              </w:rPr>
            </w:pPr>
            <w:r w:rsidRPr="0012339B">
              <w:rPr>
                <w:rFonts w:ascii="Times New Roman" w:hAnsi="Times New Roman" w:cs="Times New Roman"/>
                <w:b/>
                <w:sz w:val="24"/>
                <w:szCs w:val="24"/>
              </w:rPr>
              <w:t xml:space="preserve">12) надання уповноваженою депозитарною установою </w:t>
            </w:r>
            <w:r w:rsidRPr="0012339B">
              <w:rPr>
                <w:rFonts w:ascii="Times New Roman" w:hAnsi="Times New Roman" w:cs="Times New Roman"/>
                <w:b/>
                <w:bCs/>
                <w:sz w:val="24"/>
                <w:szCs w:val="24"/>
              </w:rPr>
              <w:t>повідомлення про відмову на переведення обслуговування рахунку учасника товариства;</w:t>
            </w:r>
          </w:p>
        </w:tc>
      </w:tr>
      <w:tr w:rsidR="00DC054F" w:rsidRPr="00993B10" w14:paraId="4A9D0AD2" w14:textId="77777777" w:rsidTr="0082760C">
        <w:tc>
          <w:tcPr>
            <w:tcW w:w="2500" w:type="pct"/>
          </w:tcPr>
          <w:p w14:paraId="1172F01C" w14:textId="77777777" w:rsidR="00BE53FB" w:rsidRPr="00993B10" w:rsidRDefault="00BE53FB" w:rsidP="00BE53FB">
            <w:pPr>
              <w:pStyle w:val="rvps2"/>
              <w:spacing w:before="0" w:beforeAutospacing="0" w:after="0" w:afterAutospacing="0"/>
              <w:ind w:firstLine="567"/>
              <w:jc w:val="both"/>
              <w:rPr>
                <w:b/>
                <w:lang w:val="uk" w:eastAsia="uk"/>
              </w:rPr>
            </w:pPr>
            <w:r w:rsidRPr="00993B10">
              <w:rPr>
                <w:b/>
                <w:lang w:val="uk" w:eastAsia="uk"/>
              </w:rPr>
              <w:t>Відсутній</w:t>
            </w:r>
          </w:p>
          <w:p w14:paraId="7F3AE4C6" w14:textId="77777777" w:rsidR="00DC054F" w:rsidRPr="00993B10" w:rsidRDefault="00DC054F" w:rsidP="00441A2B">
            <w:pPr>
              <w:pStyle w:val="rvps2"/>
              <w:spacing w:before="0" w:beforeAutospacing="0" w:after="0" w:afterAutospacing="0"/>
              <w:ind w:firstLine="567"/>
              <w:jc w:val="both"/>
              <w:rPr>
                <w:b/>
                <w:lang w:val="uk" w:eastAsia="uk"/>
              </w:rPr>
            </w:pPr>
          </w:p>
        </w:tc>
        <w:tc>
          <w:tcPr>
            <w:tcW w:w="2500" w:type="pct"/>
          </w:tcPr>
          <w:p w14:paraId="11677FC3" w14:textId="764FF08B" w:rsidR="00DC054F" w:rsidRPr="00993B10" w:rsidRDefault="00DC054F" w:rsidP="006A1173">
            <w:pPr>
              <w:ind w:firstLine="567"/>
              <w:jc w:val="both"/>
              <w:rPr>
                <w:b/>
                <w:lang w:eastAsia="uk"/>
              </w:rPr>
            </w:pPr>
            <w:r w:rsidRPr="00993B10">
              <w:rPr>
                <w:rFonts w:ascii="Times New Roman" w:hAnsi="Times New Roman" w:cs="Times New Roman"/>
                <w:b/>
                <w:sz w:val="24"/>
                <w:szCs w:val="24"/>
              </w:rPr>
              <w:t>1</w:t>
            </w:r>
            <w:r w:rsidR="006A1173">
              <w:rPr>
                <w:rFonts w:ascii="Times New Roman" w:hAnsi="Times New Roman" w:cs="Times New Roman"/>
                <w:b/>
                <w:sz w:val="24"/>
                <w:szCs w:val="24"/>
              </w:rPr>
              <w:t>3</w:t>
            </w:r>
            <w:r w:rsidRPr="00993B10">
              <w:rPr>
                <w:rFonts w:ascii="Times New Roman" w:hAnsi="Times New Roman" w:cs="Times New Roman"/>
                <w:b/>
                <w:sz w:val="24"/>
                <w:szCs w:val="24"/>
              </w:rPr>
              <w:t xml:space="preserve">) інші підстави, які згідно із законодавством встановлюють вимоги до діяльності товариств та/або впливають на проведення операцій в обліковій системі часток, та/або визначені </w:t>
            </w:r>
            <w:r w:rsidRPr="00993B10">
              <w:rPr>
                <w:rFonts w:ascii="Times New Roman" w:hAnsi="Times New Roman" w:cs="Times New Roman"/>
                <w:b/>
                <w:bCs/>
                <w:sz w:val="24"/>
                <w:szCs w:val="24"/>
              </w:rPr>
              <w:t>договором щодо обліку часток товариства в обліковій системі часток, договором щодо обслуговування рахунку(</w:t>
            </w:r>
            <w:proofErr w:type="spellStart"/>
            <w:r w:rsidRPr="00993B10">
              <w:rPr>
                <w:rFonts w:ascii="Times New Roman" w:hAnsi="Times New Roman" w:cs="Times New Roman"/>
                <w:b/>
                <w:bCs/>
                <w:sz w:val="24"/>
                <w:szCs w:val="24"/>
              </w:rPr>
              <w:t>ів</w:t>
            </w:r>
            <w:proofErr w:type="spellEnd"/>
            <w:r w:rsidRPr="00993B10">
              <w:rPr>
                <w:rFonts w:ascii="Times New Roman" w:hAnsi="Times New Roman" w:cs="Times New Roman"/>
                <w:b/>
                <w:bCs/>
                <w:sz w:val="24"/>
                <w:szCs w:val="24"/>
              </w:rPr>
              <w:t>) учасника товариства, договором щодо взаємодії з уповноваженою депозитарною установою, договором рахунка умовного зберігання (</w:t>
            </w:r>
            <w:proofErr w:type="spellStart"/>
            <w:r w:rsidRPr="00993B10">
              <w:rPr>
                <w:rFonts w:ascii="Times New Roman" w:hAnsi="Times New Roman" w:cs="Times New Roman"/>
                <w:b/>
                <w:bCs/>
                <w:sz w:val="24"/>
                <w:szCs w:val="24"/>
              </w:rPr>
              <w:t>ескроу</w:t>
            </w:r>
            <w:proofErr w:type="spellEnd"/>
            <w:r w:rsidRPr="00993B10">
              <w:rPr>
                <w:rFonts w:ascii="Times New Roman" w:hAnsi="Times New Roman" w:cs="Times New Roman"/>
                <w:b/>
                <w:bCs/>
                <w:sz w:val="24"/>
                <w:szCs w:val="24"/>
              </w:rPr>
              <w:t>) часток товариства</w:t>
            </w:r>
            <w:r w:rsidR="00BE53FB" w:rsidRPr="00993B10">
              <w:rPr>
                <w:rFonts w:ascii="Times New Roman" w:hAnsi="Times New Roman" w:cs="Times New Roman"/>
                <w:b/>
                <w:bCs/>
                <w:sz w:val="24"/>
                <w:szCs w:val="24"/>
              </w:rPr>
              <w:t>.</w:t>
            </w:r>
          </w:p>
        </w:tc>
      </w:tr>
      <w:tr w:rsidR="0012339B" w:rsidRPr="00993B10" w14:paraId="2A52E33C" w14:textId="77777777" w:rsidTr="0012339B">
        <w:tc>
          <w:tcPr>
            <w:tcW w:w="5000" w:type="pct"/>
            <w:gridSpan w:val="2"/>
          </w:tcPr>
          <w:p w14:paraId="1927E397" w14:textId="3C9AB42B" w:rsidR="0012339B" w:rsidRPr="0012339B" w:rsidRDefault="0012339B" w:rsidP="0012339B">
            <w:pPr>
              <w:pStyle w:val="rvps2"/>
              <w:shd w:val="clear" w:color="auto" w:fill="FFFFFF"/>
              <w:tabs>
                <w:tab w:val="left" w:pos="6720"/>
              </w:tabs>
              <w:spacing w:before="0" w:beforeAutospacing="0" w:after="0" w:afterAutospacing="0" w:line="240" w:lineRule="atLeast"/>
              <w:ind w:firstLine="22"/>
              <w:jc w:val="center"/>
              <w:rPr>
                <w:b/>
              </w:rPr>
            </w:pPr>
            <w:r w:rsidRPr="0012339B">
              <w:rPr>
                <w:b/>
              </w:rPr>
              <w:t>IV. Порядок припинення обліку часток товариств в обліковій системі часток</w:t>
            </w:r>
          </w:p>
        </w:tc>
      </w:tr>
      <w:tr w:rsidR="0003187E" w:rsidRPr="00993B10" w14:paraId="6DD5CF4D" w14:textId="77777777" w:rsidTr="0082760C">
        <w:tc>
          <w:tcPr>
            <w:tcW w:w="2500" w:type="pct"/>
          </w:tcPr>
          <w:p w14:paraId="059E6998" w14:textId="4A6F7B66" w:rsidR="0003187E" w:rsidRPr="0012339B" w:rsidRDefault="0003187E" w:rsidP="00BE53FB">
            <w:pPr>
              <w:pStyle w:val="rvps2"/>
              <w:spacing w:before="0" w:beforeAutospacing="0" w:after="0" w:afterAutospacing="0"/>
              <w:ind w:firstLine="567"/>
              <w:jc w:val="both"/>
              <w:rPr>
                <w:b/>
                <w:strike/>
                <w:lang w:val="uk" w:eastAsia="uk"/>
              </w:rPr>
            </w:pPr>
            <w:r w:rsidRPr="0012339B">
              <w:rPr>
                <w:strike/>
              </w:rPr>
              <w:t>36. Рішення про припинення обліку часток товариства в обліковій системі часток може бути прийнято загальними зборами учасників виключно щодо всіх часток товариства та за умови відсутності в обліковій системі часток рахунків умовного зберігання (</w:t>
            </w:r>
            <w:proofErr w:type="spellStart"/>
            <w:r w:rsidRPr="0012339B">
              <w:rPr>
                <w:strike/>
              </w:rPr>
              <w:t>ескроу</w:t>
            </w:r>
            <w:proofErr w:type="spellEnd"/>
            <w:r w:rsidRPr="0012339B">
              <w:rPr>
                <w:strike/>
              </w:rPr>
              <w:t>) часток товариства, на яких обліковуються частки товариства</w:t>
            </w:r>
          </w:p>
        </w:tc>
        <w:tc>
          <w:tcPr>
            <w:tcW w:w="2500" w:type="pct"/>
          </w:tcPr>
          <w:p w14:paraId="6DCB40B2" w14:textId="77777777" w:rsidR="0003187E" w:rsidRPr="0012339B" w:rsidRDefault="0003187E" w:rsidP="0012339B">
            <w:pPr>
              <w:pStyle w:val="rvps2"/>
              <w:shd w:val="clear" w:color="auto" w:fill="FFFFFF"/>
              <w:spacing w:before="0" w:beforeAutospacing="0" w:after="0" w:afterAutospacing="0" w:line="240" w:lineRule="atLeast"/>
              <w:ind w:firstLine="543"/>
              <w:jc w:val="both"/>
              <w:rPr>
                <w:b/>
              </w:rPr>
            </w:pPr>
            <w:r w:rsidRPr="0012339B">
              <w:rPr>
                <w:b/>
              </w:rPr>
              <w:t xml:space="preserve">36. Рішення про припинення обліку часток товариства в обліковій системі часток може бути прийнято загальними зборами учасників виключно щодо всіх часток товариства та за умови відсутності в обліковій системі часток: </w:t>
            </w:r>
          </w:p>
          <w:p w14:paraId="5EF7B230" w14:textId="0612AF98" w:rsidR="0003187E" w:rsidRPr="0012339B" w:rsidRDefault="0012339B" w:rsidP="0012339B">
            <w:pPr>
              <w:pStyle w:val="rvps2"/>
              <w:shd w:val="clear" w:color="auto" w:fill="FFFFFF"/>
              <w:spacing w:before="0" w:beforeAutospacing="0" w:after="0" w:afterAutospacing="0" w:line="240" w:lineRule="atLeast"/>
              <w:ind w:firstLine="543"/>
              <w:jc w:val="both"/>
              <w:rPr>
                <w:b/>
              </w:rPr>
            </w:pPr>
            <w:r>
              <w:rPr>
                <w:b/>
              </w:rPr>
              <w:t xml:space="preserve">1) </w:t>
            </w:r>
            <w:r w:rsidR="0003187E" w:rsidRPr="0012339B">
              <w:rPr>
                <w:b/>
              </w:rPr>
              <w:t>рахунків умовного зберігання (</w:t>
            </w:r>
            <w:proofErr w:type="spellStart"/>
            <w:r w:rsidR="0003187E" w:rsidRPr="0012339B">
              <w:rPr>
                <w:b/>
              </w:rPr>
              <w:t>ескроу</w:t>
            </w:r>
            <w:proofErr w:type="spellEnd"/>
            <w:r w:rsidR="0003187E" w:rsidRPr="0012339B">
              <w:rPr>
                <w:b/>
              </w:rPr>
              <w:t xml:space="preserve">) часток товариства, на яких обліковуються частки товариства; </w:t>
            </w:r>
          </w:p>
          <w:p w14:paraId="62796923" w14:textId="77777777" w:rsidR="0012339B" w:rsidRDefault="0012339B" w:rsidP="0012339B">
            <w:pPr>
              <w:ind w:firstLine="543"/>
              <w:jc w:val="both"/>
              <w:rPr>
                <w:rFonts w:ascii="Times New Roman" w:hAnsi="Times New Roman" w:cs="Times New Roman"/>
                <w:b/>
                <w:bCs/>
                <w:sz w:val="24"/>
                <w:szCs w:val="24"/>
              </w:rPr>
            </w:pPr>
            <w:r w:rsidRPr="0012339B">
              <w:rPr>
                <w:rFonts w:ascii="Times New Roman" w:hAnsi="Times New Roman" w:cs="Times New Roman"/>
                <w:b/>
                <w:bCs/>
                <w:sz w:val="24"/>
                <w:szCs w:val="24"/>
              </w:rPr>
              <w:t xml:space="preserve">2) </w:t>
            </w:r>
            <w:r w:rsidR="000C60D0" w:rsidRPr="0012339B">
              <w:rPr>
                <w:rFonts w:ascii="Times New Roman" w:hAnsi="Times New Roman" w:cs="Times New Roman"/>
                <w:b/>
                <w:bCs/>
                <w:sz w:val="24"/>
                <w:szCs w:val="24"/>
              </w:rPr>
              <w:t xml:space="preserve">рахунків учасників товариства, на яких обліковуються частки товариства, </w:t>
            </w:r>
            <w:r w:rsidR="0003187E" w:rsidRPr="0012339B">
              <w:rPr>
                <w:rFonts w:ascii="Times New Roman" w:hAnsi="Times New Roman" w:cs="Times New Roman"/>
                <w:b/>
                <w:bCs/>
                <w:sz w:val="24"/>
                <w:szCs w:val="24"/>
              </w:rPr>
              <w:t>обмежен</w:t>
            </w:r>
            <w:r w:rsidR="000C60D0" w:rsidRPr="0012339B">
              <w:rPr>
                <w:rFonts w:ascii="Times New Roman" w:hAnsi="Times New Roman" w:cs="Times New Roman"/>
                <w:b/>
                <w:bCs/>
                <w:sz w:val="24"/>
                <w:szCs w:val="24"/>
              </w:rPr>
              <w:t>і</w:t>
            </w:r>
            <w:r w:rsidR="0003187E" w:rsidRPr="0012339B">
              <w:rPr>
                <w:rFonts w:ascii="Times New Roman" w:hAnsi="Times New Roman" w:cs="Times New Roman"/>
                <w:b/>
                <w:bCs/>
                <w:sz w:val="24"/>
                <w:szCs w:val="24"/>
              </w:rPr>
              <w:t xml:space="preserve"> внаслідок застави (крім випадку </w:t>
            </w:r>
            <w:r w:rsidR="0003187E" w:rsidRPr="0012339B">
              <w:rPr>
                <w:rFonts w:ascii="Times New Roman" w:hAnsi="Times New Roman" w:cs="Times New Roman"/>
                <w:b/>
                <w:bCs/>
                <w:sz w:val="24"/>
                <w:szCs w:val="24"/>
              </w:rPr>
              <w:lastRenderedPageBreak/>
              <w:t>надання згоди заставодержателем щодо припинення обліку часток товариства в обліковій системі часток).</w:t>
            </w:r>
          </w:p>
          <w:p w14:paraId="2945979B" w14:textId="38EFCC32" w:rsidR="0012339B" w:rsidRPr="00993B10" w:rsidRDefault="0012339B" w:rsidP="0012339B">
            <w:pPr>
              <w:ind w:firstLine="543"/>
              <w:jc w:val="both"/>
              <w:rPr>
                <w:rFonts w:ascii="Times New Roman" w:hAnsi="Times New Roman" w:cs="Times New Roman"/>
                <w:b/>
                <w:sz w:val="24"/>
                <w:szCs w:val="24"/>
              </w:rPr>
            </w:pPr>
          </w:p>
        </w:tc>
      </w:tr>
    </w:tbl>
    <w:p w14:paraId="70526AC2" w14:textId="45FCAA93" w:rsidR="00E45C69" w:rsidRPr="00993B10" w:rsidRDefault="00E45C69" w:rsidP="00813A5E">
      <w:pPr>
        <w:spacing w:after="0"/>
        <w:rPr>
          <w:rFonts w:ascii="Times New Roman" w:hAnsi="Times New Roman" w:cs="Times New Roman"/>
          <w:sz w:val="28"/>
          <w:szCs w:val="28"/>
        </w:rPr>
      </w:pPr>
    </w:p>
    <w:p w14:paraId="4D9CE457" w14:textId="77777777" w:rsidR="00D36D1E" w:rsidRPr="00993B10" w:rsidRDefault="00A15398" w:rsidP="00A15398">
      <w:pPr>
        <w:spacing w:after="0" w:line="240" w:lineRule="auto"/>
        <w:ind w:firstLine="567"/>
        <w:jc w:val="both"/>
        <w:rPr>
          <w:rFonts w:ascii="Times New Roman" w:hAnsi="Times New Roman" w:cs="Times New Roman"/>
          <w:b/>
          <w:sz w:val="24"/>
          <w:szCs w:val="24"/>
        </w:rPr>
      </w:pPr>
      <w:r w:rsidRPr="00993B10">
        <w:rPr>
          <w:rFonts w:ascii="Times New Roman" w:hAnsi="Times New Roman" w:cs="Times New Roman"/>
          <w:b/>
          <w:sz w:val="24"/>
          <w:szCs w:val="24"/>
        </w:rPr>
        <w:t>Д</w:t>
      </w:r>
      <w:r w:rsidR="00032551" w:rsidRPr="00993B10">
        <w:rPr>
          <w:rFonts w:ascii="Times New Roman" w:hAnsi="Times New Roman" w:cs="Times New Roman"/>
          <w:b/>
          <w:sz w:val="24"/>
          <w:szCs w:val="24"/>
        </w:rPr>
        <w:t xml:space="preserve">иректор департаменту </w:t>
      </w:r>
    </w:p>
    <w:p w14:paraId="37891846" w14:textId="77777777" w:rsidR="00D36D1E" w:rsidRPr="00993B10" w:rsidRDefault="00D36D1E" w:rsidP="00A15398">
      <w:pPr>
        <w:spacing w:after="0" w:line="240" w:lineRule="auto"/>
        <w:ind w:firstLine="567"/>
        <w:jc w:val="both"/>
        <w:rPr>
          <w:rFonts w:ascii="Times New Roman" w:hAnsi="Times New Roman" w:cs="Times New Roman"/>
          <w:b/>
          <w:sz w:val="24"/>
          <w:szCs w:val="24"/>
        </w:rPr>
      </w:pPr>
      <w:r w:rsidRPr="00993B10">
        <w:rPr>
          <w:rFonts w:ascii="Times New Roman" w:hAnsi="Times New Roman" w:cs="Times New Roman"/>
          <w:b/>
          <w:sz w:val="24"/>
          <w:szCs w:val="24"/>
        </w:rPr>
        <w:t>методології регулювання професійних</w:t>
      </w:r>
    </w:p>
    <w:p w14:paraId="6ED100DE" w14:textId="71EC37AA" w:rsidR="00032551" w:rsidRPr="00993B10" w:rsidRDefault="00D36D1E" w:rsidP="00146316">
      <w:pPr>
        <w:spacing w:after="0" w:line="240" w:lineRule="auto"/>
        <w:ind w:firstLine="567"/>
        <w:jc w:val="both"/>
        <w:rPr>
          <w:rFonts w:ascii="Times New Roman" w:hAnsi="Times New Roman" w:cs="Times New Roman"/>
          <w:sz w:val="28"/>
          <w:szCs w:val="28"/>
        </w:rPr>
      </w:pPr>
      <w:r w:rsidRPr="00993B10">
        <w:rPr>
          <w:rFonts w:ascii="Times New Roman" w:hAnsi="Times New Roman" w:cs="Times New Roman"/>
          <w:b/>
          <w:sz w:val="24"/>
          <w:szCs w:val="24"/>
        </w:rPr>
        <w:t>учасників ринку цінних паперів</w:t>
      </w:r>
      <w:r w:rsidRPr="00993B10">
        <w:rPr>
          <w:rFonts w:ascii="Times New Roman" w:hAnsi="Times New Roman" w:cs="Times New Roman"/>
          <w:b/>
          <w:sz w:val="24"/>
          <w:szCs w:val="24"/>
        </w:rPr>
        <w:tab/>
      </w:r>
      <w:r w:rsidRPr="00993B10">
        <w:rPr>
          <w:rFonts w:ascii="Times New Roman" w:hAnsi="Times New Roman" w:cs="Times New Roman"/>
          <w:b/>
          <w:sz w:val="24"/>
          <w:szCs w:val="24"/>
        </w:rPr>
        <w:tab/>
      </w:r>
      <w:r w:rsidRPr="00993B10">
        <w:rPr>
          <w:rFonts w:ascii="Times New Roman" w:hAnsi="Times New Roman" w:cs="Times New Roman"/>
          <w:b/>
          <w:sz w:val="24"/>
          <w:szCs w:val="24"/>
        </w:rPr>
        <w:tab/>
      </w:r>
      <w:r w:rsidRPr="00993B10">
        <w:rPr>
          <w:rFonts w:ascii="Times New Roman" w:hAnsi="Times New Roman" w:cs="Times New Roman"/>
          <w:b/>
          <w:sz w:val="24"/>
          <w:szCs w:val="24"/>
        </w:rPr>
        <w:tab/>
      </w:r>
      <w:r w:rsidRPr="00993B10">
        <w:rPr>
          <w:rFonts w:ascii="Times New Roman" w:hAnsi="Times New Roman" w:cs="Times New Roman"/>
          <w:b/>
          <w:sz w:val="24"/>
          <w:szCs w:val="24"/>
        </w:rPr>
        <w:tab/>
      </w:r>
      <w:r w:rsidRPr="00993B10">
        <w:rPr>
          <w:rFonts w:ascii="Times New Roman" w:hAnsi="Times New Roman" w:cs="Times New Roman"/>
          <w:b/>
          <w:sz w:val="24"/>
          <w:szCs w:val="24"/>
        </w:rPr>
        <w:tab/>
      </w:r>
      <w:r w:rsidRPr="00993B10">
        <w:rPr>
          <w:rFonts w:ascii="Times New Roman" w:hAnsi="Times New Roman" w:cs="Times New Roman"/>
          <w:b/>
          <w:sz w:val="24"/>
          <w:szCs w:val="24"/>
        </w:rPr>
        <w:tab/>
      </w:r>
      <w:r w:rsidRPr="00993B10">
        <w:rPr>
          <w:rFonts w:ascii="Times New Roman" w:hAnsi="Times New Roman" w:cs="Times New Roman"/>
          <w:b/>
          <w:sz w:val="24"/>
          <w:szCs w:val="24"/>
        </w:rPr>
        <w:tab/>
      </w:r>
      <w:r w:rsidRPr="00993B10">
        <w:rPr>
          <w:rFonts w:ascii="Times New Roman" w:hAnsi="Times New Roman" w:cs="Times New Roman"/>
          <w:b/>
          <w:sz w:val="24"/>
          <w:szCs w:val="24"/>
        </w:rPr>
        <w:tab/>
      </w:r>
      <w:r w:rsidRPr="00993B10">
        <w:rPr>
          <w:rFonts w:ascii="Times New Roman" w:hAnsi="Times New Roman" w:cs="Times New Roman"/>
          <w:b/>
          <w:sz w:val="24"/>
          <w:szCs w:val="24"/>
        </w:rPr>
        <w:tab/>
      </w:r>
      <w:r w:rsidRPr="00993B10">
        <w:rPr>
          <w:rFonts w:ascii="Times New Roman" w:hAnsi="Times New Roman" w:cs="Times New Roman"/>
          <w:b/>
          <w:sz w:val="24"/>
          <w:szCs w:val="24"/>
        </w:rPr>
        <w:tab/>
      </w:r>
      <w:r w:rsidRPr="00993B10">
        <w:rPr>
          <w:rFonts w:ascii="Times New Roman" w:hAnsi="Times New Roman" w:cs="Times New Roman"/>
          <w:b/>
          <w:sz w:val="24"/>
          <w:szCs w:val="24"/>
        </w:rPr>
        <w:tab/>
      </w:r>
      <w:r w:rsidRPr="00993B10">
        <w:rPr>
          <w:rFonts w:ascii="Times New Roman" w:hAnsi="Times New Roman" w:cs="Times New Roman"/>
          <w:b/>
          <w:sz w:val="24"/>
          <w:szCs w:val="24"/>
        </w:rPr>
        <w:tab/>
        <w:t xml:space="preserve">    Максим ТИМОХІН</w:t>
      </w:r>
    </w:p>
    <w:sectPr w:rsidR="00032551" w:rsidRPr="00993B10" w:rsidSect="009A7DA2">
      <w:footerReference w:type="default" r:id="rId7"/>
      <w:pgSz w:w="16838" w:h="11906" w:orient="landscape"/>
      <w:pgMar w:top="426" w:right="850" w:bottom="2268" w:left="850" w:header="708" w:footer="29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C7EB10D" w16cex:dateUtc="2025-09-24T15: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518248F" w16cid:durableId="2C7EB10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188C86" w14:textId="77777777" w:rsidR="00684FFE" w:rsidRDefault="00684FFE" w:rsidP="006070D5">
      <w:pPr>
        <w:spacing w:after="0" w:line="240" w:lineRule="auto"/>
      </w:pPr>
      <w:r>
        <w:separator/>
      </w:r>
    </w:p>
  </w:endnote>
  <w:endnote w:type="continuationSeparator" w:id="0">
    <w:p w14:paraId="66C5F342" w14:textId="77777777" w:rsidR="00684FFE" w:rsidRDefault="00684FFE" w:rsidP="006070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619500"/>
      <w:docPartObj>
        <w:docPartGallery w:val="Page Numbers (Bottom of Page)"/>
        <w:docPartUnique/>
      </w:docPartObj>
    </w:sdtPr>
    <w:sdtEndPr/>
    <w:sdtContent>
      <w:p w14:paraId="4F63F804" w14:textId="75E84903" w:rsidR="00612FC3" w:rsidRDefault="00612FC3">
        <w:pPr>
          <w:pStyle w:val="af1"/>
          <w:jc w:val="center"/>
        </w:pPr>
        <w:r>
          <w:fldChar w:fldCharType="begin"/>
        </w:r>
        <w:r>
          <w:instrText>PAGE   \* MERGEFORMAT</w:instrText>
        </w:r>
        <w:r>
          <w:fldChar w:fldCharType="separate"/>
        </w:r>
        <w:r w:rsidR="009E76F7">
          <w:rPr>
            <w:noProof/>
          </w:rPr>
          <w:t>10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47326D" w14:textId="77777777" w:rsidR="00684FFE" w:rsidRDefault="00684FFE" w:rsidP="006070D5">
      <w:pPr>
        <w:spacing w:after="0" w:line="240" w:lineRule="auto"/>
      </w:pPr>
      <w:r>
        <w:separator/>
      </w:r>
    </w:p>
  </w:footnote>
  <w:footnote w:type="continuationSeparator" w:id="0">
    <w:p w14:paraId="7AA00A25" w14:textId="77777777" w:rsidR="00684FFE" w:rsidRDefault="00684FFE" w:rsidP="006070D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3A5E"/>
    <w:rsid w:val="0000173C"/>
    <w:rsid w:val="00006057"/>
    <w:rsid w:val="0000756F"/>
    <w:rsid w:val="00007C19"/>
    <w:rsid w:val="00021C71"/>
    <w:rsid w:val="00025242"/>
    <w:rsid w:val="00027669"/>
    <w:rsid w:val="0003187E"/>
    <w:rsid w:val="00032551"/>
    <w:rsid w:val="00033BA8"/>
    <w:rsid w:val="00035E90"/>
    <w:rsid w:val="00041AD1"/>
    <w:rsid w:val="00050867"/>
    <w:rsid w:val="00053885"/>
    <w:rsid w:val="00053970"/>
    <w:rsid w:val="0005764B"/>
    <w:rsid w:val="00063F9B"/>
    <w:rsid w:val="00071DDC"/>
    <w:rsid w:val="000732B9"/>
    <w:rsid w:val="000746D4"/>
    <w:rsid w:val="000750A6"/>
    <w:rsid w:val="00075D76"/>
    <w:rsid w:val="00076B1E"/>
    <w:rsid w:val="00083037"/>
    <w:rsid w:val="00083FD0"/>
    <w:rsid w:val="00084046"/>
    <w:rsid w:val="0008653F"/>
    <w:rsid w:val="0008664D"/>
    <w:rsid w:val="00091E3B"/>
    <w:rsid w:val="000922A9"/>
    <w:rsid w:val="00092FB0"/>
    <w:rsid w:val="00095D83"/>
    <w:rsid w:val="000A2D22"/>
    <w:rsid w:val="000B5CD8"/>
    <w:rsid w:val="000B661E"/>
    <w:rsid w:val="000B66AA"/>
    <w:rsid w:val="000C0316"/>
    <w:rsid w:val="000C369D"/>
    <w:rsid w:val="000C4DBB"/>
    <w:rsid w:val="000C4EEF"/>
    <w:rsid w:val="000C60D0"/>
    <w:rsid w:val="000D5C1E"/>
    <w:rsid w:val="000E0001"/>
    <w:rsid w:val="000E5478"/>
    <w:rsid w:val="000F2D66"/>
    <w:rsid w:val="000F3E81"/>
    <w:rsid w:val="001048C0"/>
    <w:rsid w:val="001115A4"/>
    <w:rsid w:val="0011701D"/>
    <w:rsid w:val="00122C23"/>
    <w:rsid w:val="0012308A"/>
    <w:rsid w:val="0012339B"/>
    <w:rsid w:val="0012376E"/>
    <w:rsid w:val="0012648F"/>
    <w:rsid w:val="0012682A"/>
    <w:rsid w:val="00126CE8"/>
    <w:rsid w:val="001270B0"/>
    <w:rsid w:val="00133887"/>
    <w:rsid w:val="0013577B"/>
    <w:rsid w:val="001379D9"/>
    <w:rsid w:val="0014254B"/>
    <w:rsid w:val="001442F4"/>
    <w:rsid w:val="00145AE3"/>
    <w:rsid w:val="00145CE5"/>
    <w:rsid w:val="00146316"/>
    <w:rsid w:val="001503D0"/>
    <w:rsid w:val="0016251F"/>
    <w:rsid w:val="0016755C"/>
    <w:rsid w:val="00174FBA"/>
    <w:rsid w:val="001771E1"/>
    <w:rsid w:val="00181247"/>
    <w:rsid w:val="00182924"/>
    <w:rsid w:val="00183439"/>
    <w:rsid w:val="00185460"/>
    <w:rsid w:val="00187420"/>
    <w:rsid w:val="001914FA"/>
    <w:rsid w:val="0019448E"/>
    <w:rsid w:val="00195007"/>
    <w:rsid w:val="0019775E"/>
    <w:rsid w:val="001A0518"/>
    <w:rsid w:val="001A2AB0"/>
    <w:rsid w:val="001A7A21"/>
    <w:rsid w:val="001B1D73"/>
    <w:rsid w:val="001B6196"/>
    <w:rsid w:val="001C06D3"/>
    <w:rsid w:val="001C4AAB"/>
    <w:rsid w:val="001D0BCF"/>
    <w:rsid w:val="001D1414"/>
    <w:rsid w:val="001D1F6D"/>
    <w:rsid w:val="001D4D21"/>
    <w:rsid w:val="001D4E18"/>
    <w:rsid w:val="001E063B"/>
    <w:rsid w:val="001E0BE5"/>
    <w:rsid w:val="001E332B"/>
    <w:rsid w:val="001F087A"/>
    <w:rsid w:val="001F1F57"/>
    <w:rsid w:val="001F6988"/>
    <w:rsid w:val="001F7B2B"/>
    <w:rsid w:val="00202471"/>
    <w:rsid w:val="00202A73"/>
    <w:rsid w:val="00212544"/>
    <w:rsid w:val="00216093"/>
    <w:rsid w:val="002175FC"/>
    <w:rsid w:val="00225165"/>
    <w:rsid w:val="002335DC"/>
    <w:rsid w:val="00234066"/>
    <w:rsid w:val="00242874"/>
    <w:rsid w:val="00250417"/>
    <w:rsid w:val="00250C0B"/>
    <w:rsid w:val="00261F46"/>
    <w:rsid w:val="00262F59"/>
    <w:rsid w:val="002704C9"/>
    <w:rsid w:val="00275332"/>
    <w:rsid w:val="00275AEE"/>
    <w:rsid w:val="00276C01"/>
    <w:rsid w:val="00283FE6"/>
    <w:rsid w:val="00284EEC"/>
    <w:rsid w:val="0029267B"/>
    <w:rsid w:val="00296594"/>
    <w:rsid w:val="002A4066"/>
    <w:rsid w:val="002A6291"/>
    <w:rsid w:val="002B24BA"/>
    <w:rsid w:val="002B255F"/>
    <w:rsid w:val="002B2EA9"/>
    <w:rsid w:val="002C1267"/>
    <w:rsid w:val="002C1E4E"/>
    <w:rsid w:val="002C2758"/>
    <w:rsid w:val="002C3CF1"/>
    <w:rsid w:val="002C4951"/>
    <w:rsid w:val="002C75ED"/>
    <w:rsid w:val="002D5D10"/>
    <w:rsid w:val="002E174B"/>
    <w:rsid w:val="002E1FCA"/>
    <w:rsid w:val="002E6525"/>
    <w:rsid w:val="002F0409"/>
    <w:rsid w:val="002F0829"/>
    <w:rsid w:val="002F72DB"/>
    <w:rsid w:val="003026C1"/>
    <w:rsid w:val="003123A2"/>
    <w:rsid w:val="003162FC"/>
    <w:rsid w:val="003228FF"/>
    <w:rsid w:val="00324DC3"/>
    <w:rsid w:val="0032569A"/>
    <w:rsid w:val="00334315"/>
    <w:rsid w:val="00334E5A"/>
    <w:rsid w:val="00342EB4"/>
    <w:rsid w:val="00344CA2"/>
    <w:rsid w:val="003503D4"/>
    <w:rsid w:val="0035072E"/>
    <w:rsid w:val="003526DD"/>
    <w:rsid w:val="00356493"/>
    <w:rsid w:val="003570CE"/>
    <w:rsid w:val="003611D7"/>
    <w:rsid w:val="00361532"/>
    <w:rsid w:val="0036530F"/>
    <w:rsid w:val="00367160"/>
    <w:rsid w:val="003739AF"/>
    <w:rsid w:val="003768B2"/>
    <w:rsid w:val="003842FB"/>
    <w:rsid w:val="003844EE"/>
    <w:rsid w:val="00390D87"/>
    <w:rsid w:val="0039455D"/>
    <w:rsid w:val="00397555"/>
    <w:rsid w:val="003A1680"/>
    <w:rsid w:val="003A6DD8"/>
    <w:rsid w:val="003A7912"/>
    <w:rsid w:val="003B0456"/>
    <w:rsid w:val="003B0FC4"/>
    <w:rsid w:val="003B24DA"/>
    <w:rsid w:val="003B3520"/>
    <w:rsid w:val="003B4B0C"/>
    <w:rsid w:val="003B634B"/>
    <w:rsid w:val="003C07FC"/>
    <w:rsid w:val="003D6D5E"/>
    <w:rsid w:val="003D6EE4"/>
    <w:rsid w:val="003D76D7"/>
    <w:rsid w:val="003E3602"/>
    <w:rsid w:val="003E66BA"/>
    <w:rsid w:val="003E7FC3"/>
    <w:rsid w:val="003F1D42"/>
    <w:rsid w:val="003F7F65"/>
    <w:rsid w:val="0041753E"/>
    <w:rsid w:val="00424094"/>
    <w:rsid w:val="00431FBD"/>
    <w:rsid w:val="00441A2B"/>
    <w:rsid w:val="0044391B"/>
    <w:rsid w:val="00445E86"/>
    <w:rsid w:val="00455D01"/>
    <w:rsid w:val="004633A7"/>
    <w:rsid w:val="00463D5C"/>
    <w:rsid w:val="00464AEF"/>
    <w:rsid w:val="0046796D"/>
    <w:rsid w:val="00470B71"/>
    <w:rsid w:val="00474298"/>
    <w:rsid w:val="00475384"/>
    <w:rsid w:val="0048152C"/>
    <w:rsid w:val="00482775"/>
    <w:rsid w:val="004829A7"/>
    <w:rsid w:val="00482F51"/>
    <w:rsid w:val="00484CDE"/>
    <w:rsid w:val="004850F0"/>
    <w:rsid w:val="00490379"/>
    <w:rsid w:val="00490D7E"/>
    <w:rsid w:val="00490E30"/>
    <w:rsid w:val="00491384"/>
    <w:rsid w:val="00492896"/>
    <w:rsid w:val="0049495B"/>
    <w:rsid w:val="00494FC1"/>
    <w:rsid w:val="004A4B99"/>
    <w:rsid w:val="004A5167"/>
    <w:rsid w:val="004B11D9"/>
    <w:rsid w:val="004B1554"/>
    <w:rsid w:val="004B7011"/>
    <w:rsid w:val="004B745B"/>
    <w:rsid w:val="004C185E"/>
    <w:rsid w:val="004C3882"/>
    <w:rsid w:val="004C5A10"/>
    <w:rsid w:val="004C610B"/>
    <w:rsid w:val="004D191B"/>
    <w:rsid w:val="004E1288"/>
    <w:rsid w:val="004E1919"/>
    <w:rsid w:val="004E3C7C"/>
    <w:rsid w:val="004E4CB1"/>
    <w:rsid w:val="004F389D"/>
    <w:rsid w:val="004F53D2"/>
    <w:rsid w:val="00501EC0"/>
    <w:rsid w:val="0052461E"/>
    <w:rsid w:val="0052723E"/>
    <w:rsid w:val="00545925"/>
    <w:rsid w:val="00554612"/>
    <w:rsid w:val="00560351"/>
    <w:rsid w:val="00561974"/>
    <w:rsid w:val="0056355F"/>
    <w:rsid w:val="005650F4"/>
    <w:rsid w:val="00577A51"/>
    <w:rsid w:val="00580236"/>
    <w:rsid w:val="00582A0C"/>
    <w:rsid w:val="00583DCB"/>
    <w:rsid w:val="00584932"/>
    <w:rsid w:val="00586186"/>
    <w:rsid w:val="00587D67"/>
    <w:rsid w:val="00594B36"/>
    <w:rsid w:val="005A4A97"/>
    <w:rsid w:val="005C32A9"/>
    <w:rsid w:val="005C445B"/>
    <w:rsid w:val="005D6108"/>
    <w:rsid w:val="005D61B5"/>
    <w:rsid w:val="005E2763"/>
    <w:rsid w:val="005E5D5A"/>
    <w:rsid w:val="00603E1A"/>
    <w:rsid w:val="006052AE"/>
    <w:rsid w:val="0060572C"/>
    <w:rsid w:val="006070D5"/>
    <w:rsid w:val="00612FC3"/>
    <w:rsid w:val="0061302E"/>
    <w:rsid w:val="006139BE"/>
    <w:rsid w:val="0061487F"/>
    <w:rsid w:val="00614E04"/>
    <w:rsid w:val="00615118"/>
    <w:rsid w:val="00616726"/>
    <w:rsid w:val="00620516"/>
    <w:rsid w:val="00621AD9"/>
    <w:rsid w:val="0062274F"/>
    <w:rsid w:val="006276DF"/>
    <w:rsid w:val="00630322"/>
    <w:rsid w:val="00631B36"/>
    <w:rsid w:val="00634CA4"/>
    <w:rsid w:val="00643101"/>
    <w:rsid w:val="006436FB"/>
    <w:rsid w:val="00644BAA"/>
    <w:rsid w:val="00646972"/>
    <w:rsid w:val="00647F95"/>
    <w:rsid w:val="0065050C"/>
    <w:rsid w:val="006537A8"/>
    <w:rsid w:val="00656963"/>
    <w:rsid w:val="00657110"/>
    <w:rsid w:val="00666A61"/>
    <w:rsid w:val="00667B57"/>
    <w:rsid w:val="00670CA0"/>
    <w:rsid w:val="00672F62"/>
    <w:rsid w:val="0067309C"/>
    <w:rsid w:val="00673E8A"/>
    <w:rsid w:val="00676B1D"/>
    <w:rsid w:val="006770CC"/>
    <w:rsid w:val="00682B5D"/>
    <w:rsid w:val="00684FFE"/>
    <w:rsid w:val="00686DEA"/>
    <w:rsid w:val="006871C9"/>
    <w:rsid w:val="00695799"/>
    <w:rsid w:val="00695D89"/>
    <w:rsid w:val="006A0780"/>
    <w:rsid w:val="006A1173"/>
    <w:rsid w:val="006A4A2C"/>
    <w:rsid w:val="006A52B3"/>
    <w:rsid w:val="006B28A3"/>
    <w:rsid w:val="006B6A3F"/>
    <w:rsid w:val="006B7A03"/>
    <w:rsid w:val="006C0976"/>
    <w:rsid w:val="006C4239"/>
    <w:rsid w:val="006D10CA"/>
    <w:rsid w:val="006D20BB"/>
    <w:rsid w:val="006D51D9"/>
    <w:rsid w:val="006D68E2"/>
    <w:rsid w:val="006E1353"/>
    <w:rsid w:val="006F3157"/>
    <w:rsid w:val="006F56AD"/>
    <w:rsid w:val="0070138B"/>
    <w:rsid w:val="00703B50"/>
    <w:rsid w:val="007069DC"/>
    <w:rsid w:val="00710259"/>
    <w:rsid w:val="007131A4"/>
    <w:rsid w:val="0071607D"/>
    <w:rsid w:val="00730B9B"/>
    <w:rsid w:val="00731CAA"/>
    <w:rsid w:val="00737917"/>
    <w:rsid w:val="00740F3D"/>
    <w:rsid w:val="007410B0"/>
    <w:rsid w:val="00743A8B"/>
    <w:rsid w:val="0074415E"/>
    <w:rsid w:val="00747127"/>
    <w:rsid w:val="00763C25"/>
    <w:rsid w:val="0076508E"/>
    <w:rsid w:val="00773608"/>
    <w:rsid w:val="00773ABA"/>
    <w:rsid w:val="007741B9"/>
    <w:rsid w:val="007747E5"/>
    <w:rsid w:val="0079197F"/>
    <w:rsid w:val="00791C12"/>
    <w:rsid w:val="00793086"/>
    <w:rsid w:val="007A06BA"/>
    <w:rsid w:val="007C0AAB"/>
    <w:rsid w:val="007C0D7F"/>
    <w:rsid w:val="007C3DDC"/>
    <w:rsid w:val="007C3DF4"/>
    <w:rsid w:val="007C4321"/>
    <w:rsid w:val="007C5FEC"/>
    <w:rsid w:val="007C7283"/>
    <w:rsid w:val="007D0FB4"/>
    <w:rsid w:val="007D29F4"/>
    <w:rsid w:val="007D415E"/>
    <w:rsid w:val="007E24A2"/>
    <w:rsid w:val="007E6553"/>
    <w:rsid w:val="007E69D2"/>
    <w:rsid w:val="007F232D"/>
    <w:rsid w:val="007F42DE"/>
    <w:rsid w:val="007F45F0"/>
    <w:rsid w:val="007F69A2"/>
    <w:rsid w:val="007F78DF"/>
    <w:rsid w:val="008104AF"/>
    <w:rsid w:val="008129D9"/>
    <w:rsid w:val="00813A5E"/>
    <w:rsid w:val="00820F4B"/>
    <w:rsid w:val="00823614"/>
    <w:rsid w:val="0082760C"/>
    <w:rsid w:val="00827E76"/>
    <w:rsid w:val="00835BA8"/>
    <w:rsid w:val="0084005D"/>
    <w:rsid w:val="008401F3"/>
    <w:rsid w:val="00847AB3"/>
    <w:rsid w:val="0085127D"/>
    <w:rsid w:val="00870F95"/>
    <w:rsid w:val="00871632"/>
    <w:rsid w:val="00872038"/>
    <w:rsid w:val="00872221"/>
    <w:rsid w:val="00872A17"/>
    <w:rsid w:val="00876AA5"/>
    <w:rsid w:val="00877676"/>
    <w:rsid w:val="008804B1"/>
    <w:rsid w:val="00882A62"/>
    <w:rsid w:val="00882D41"/>
    <w:rsid w:val="00887C95"/>
    <w:rsid w:val="00890DC4"/>
    <w:rsid w:val="00891186"/>
    <w:rsid w:val="0089224F"/>
    <w:rsid w:val="00894FDF"/>
    <w:rsid w:val="00895D2C"/>
    <w:rsid w:val="008A3491"/>
    <w:rsid w:val="008A43A3"/>
    <w:rsid w:val="008A517A"/>
    <w:rsid w:val="008B45B6"/>
    <w:rsid w:val="008B4E0C"/>
    <w:rsid w:val="008B5247"/>
    <w:rsid w:val="008C3437"/>
    <w:rsid w:val="008C42B3"/>
    <w:rsid w:val="008C4609"/>
    <w:rsid w:val="008D055D"/>
    <w:rsid w:val="008D136A"/>
    <w:rsid w:val="008D2CE3"/>
    <w:rsid w:val="008D65DB"/>
    <w:rsid w:val="008D7D8D"/>
    <w:rsid w:val="008E22F0"/>
    <w:rsid w:val="008E48DC"/>
    <w:rsid w:val="008E6D3C"/>
    <w:rsid w:val="008E6DC7"/>
    <w:rsid w:val="008E7CF7"/>
    <w:rsid w:val="008E7D01"/>
    <w:rsid w:val="008F1C3E"/>
    <w:rsid w:val="008F3881"/>
    <w:rsid w:val="008F4F7E"/>
    <w:rsid w:val="008F58D5"/>
    <w:rsid w:val="008F5D59"/>
    <w:rsid w:val="008F7C85"/>
    <w:rsid w:val="0090070B"/>
    <w:rsid w:val="00902213"/>
    <w:rsid w:val="00902379"/>
    <w:rsid w:val="00902D46"/>
    <w:rsid w:val="0091226D"/>
    <w:rsid w:val="009128B9"/>
    <w:rsid w:val="0092001B"/>
    <w:rsid w:val="00920F53"/>
    <w:rsid w:val="00921AF2"/>
    <w:rsid w:val="00923823"/>
    <w:rsid w:val="009351E9"/>
    <w:rsid w:val="009364BE"/>
    <w:rsid w:val="009411C6"/>
    <w:rsid w:val="00952F3D"/>
    <w:rsid w:val="0096228A"/>
    <w:rsid w:val="00962403"/>
    <w:rsid w:val="00967B42"/>
    <w:rsid w:val="00984F2C"/>
    <w:rsid w:val="009861F5"/>
    <w:rsid w:val="0099014E"/>
    <w:rsid w:val="0099157A"/>
    <w:rsid w:val="009938CF"/>
    <w:rsid w:val="00993B10"/>
    <w:rsid w:val="009949FB"/>
    <w:rsid w:val="009A07CE"/>
    <w:rsid w:val="009A4C9B"/>
    <w:rsid w:val="009A7DA2"/>
    <w:rsid w:val="009C0416"/>
    <w:rsid w:val="009C1A51"/>
    <w:rsid w:val="009C42FF"/>
    <w:rsid w:val="009C57E0"/>
    <w:rsid w:val="009D4ADC"/>
    <w:rsid w:val="009D5C0D"/>
    <w:rsid w:val="009E41FD"/>
    <w:rsid w:val="009E5A64"/>
    <w:rsid w:val="009E76F7"/>
    <w:rsid w:val="009F68F2"/>
    <w:rsid w:val="009F78D3"/>
    <w:rsid w:val="00A020FC"/>
    <w:rsid w:val="00A0467D"/>
    <w:rsid w:val="00A15398"/>
    <w:rsid w:val="00A15A70"/>
    <w:rsid w:val="00A17256"/>
    <w:rsid w:val="00A17CDF"/>
    <w:rsid w:val="00A20A5E"/>
    <w:rsid w:val="00A23B32"/>
    <w:rsid w:val="00A23D5D"/>
    <w:rsid w:val="00A2456A"/>
    <w:rsid w:val="00A254BE"/>
    <w:rsid w:val="00A365D8"/>
    <w:rsid w:val="00A36F43"/>
    <w:rsid w:val="00A3762F"/>
    <w:rsid w:val="00A46602"/>
    <w:rsid w:val="00A526C1"/>
    <w:rsid w:val="00A528F8"/>
    <w:rsid w:val="00A5519E"/>
    <w:rsid w:val="00A72400"/>
    <w:rsid w:val="00A72845"/>
    <w:rsid w:val="00A774D8"/>
    <w:rsid w:val="00A77B20"/>
    <w:rsid w:val="00A80DD1"/>
    <w:rsid w:val="00A80E9A"/>
    <w:rsid w:val="00A81FC1"/>
    <w:rsid w:val="00A92311"/>
    <w:rsid w:val="00A923D8"/>
    <w:rsid w:val="00A92460"/>
    <w:rsid w:val="00A945A8"/>
    <w:rsid w:val="00A96454"/>
    <w:rsid w:val="00AA0D61"/>
    <w:rsid w:val="00AB2956"/>
    <w:rsid w:val="00AC5918"/>
    <w:rsid w:val="00AD3BFB"/>
    <w:rsid w:val="00AD463B"/>
    <w:rsid w:val="00AD4D11"/>
    <w:rsid w:val="00AD5FF3"/>
    <w:rsid w:val="00AD6544"/>
    <w:rsid w:val="00AD77E4"/>
    <w:rsid w:val="00AD7C1B"/>
    <w:rsid w:val="00AE0E14"/>
    <w:rsid w:val="00AE3B66"/>
    <w:rsid w:val="00AF009D"/>
    <w:rsid w:val="00AF3E94"/>
    <w:rsid w:val="00AF7964"/>
    <w:rsid w:val="00B079D6"/>
    <w:rsid w:val="00B161A0"/>
    <w:rsid w:val="00B218F5"/>
    <w:rsid w:val="00B23753"/>
    <w:rsid w:val="00B30B9A"/>
    <w:rsid w:val="00B40104"/>
    <w:rsid w:val="00B4538F"/>
    <w:rsid w:val="00B45AE8"/>
    <w:rsid w:val="00B50246"/>
    <w:rsid w:val="00B5357B"/>
    <w:rsid w:val="00B54F3B"/>
    <w:rsid w:val="00B55021"/>
    <w:rsid w:val="00B56DC2"/>
    <w:rsid w:val="00B56DC9"/>
    <w:rsid w:val="00B605D3"/>
    <w:rsid w:val="00B60A93"/>
    <w:rsid w:val="00B654F9"/>
    <w:rsid w:val="00B67E03"/>
    <w:rsid w:val="00B67F40"/>
    <w:rsid w:val="00B7670D"/>
    <w:rsid w:val="00B86BB8"/>
    <w:rsid w:val="00B87519"/>
    <w:rsid w:val="00B87D84"/>
    <w:rsid w:val="00B92032"/>
    <w:rsid w:val="00B94DCD"/>
    <w:rsid w:val="00BA1F6F"/>
    <w:rsid w:val="00BA4E65"/>
    <w:rsid w:val="00BA5125"/>
    <w:rsid w:val="00BA5682"/>
    <w:rsid w:val="00BA5CCD"/>
    <w:rsid w:val="00BB1A1C"/>
    <w:rsid w:val="00BB2788"/>
    <w:rsid w:val="00BB797C"/>
    <w:rsid w:val="00BC0A1A"/>
    <w:rsid w:val="00BC1D6B"/>
    <w:rsid w:val="00BC5179"/>
    <w:rsid w:val="00BC5FCD"/>
    <w:rsid w:val="00BD3110"/>
    <w:rsid w:val="00BD6A18"/>
    <w:rsid w:val="00BE53FB"/>
    <w:rsid w:val="00BE66D5"/>
    <w:rsid w:val="00BF550E"/>
    <w:rsid w:val="00C04CB2"/>
    <w:rsid w:val="00C1262C"/>
    <w:rsid w:val="00C24F3F"/>
    <w:rsid w:val="00C34554"/>
    <w:rsid w:val="00C34CDB"/>
    <w:rsid w:val="00C4474F"/>
    <w:rsid w:val="00C46CC6"/>
    <w:rsid w:val="00C51241"/>
    <w:rsid w:val="00C52D90"/>
    <w:rsid w:val="00C56609"/>
    <w:rsid w:val="00C567C2"/>
    <w:rsid w:val="00C60D86"/>
    <w:rsid w:val="00C6139B"/>
    <w:rsid w:val="00C63123"/>
    <w:rsid w:val="00C64B11"/>
    <w:rsid w:val="00C703B4"/>
    <w:rsid w:val="00C70FF1"/>
    <w:rsid w:val="00C710B2"/>
    <w:rsid w:val="00C710DC"/>
    <w:rsid w:val="00C82862"/>
    <w:rsid w:val="00C83AAE"/>
    <w:rsid w:val="00C8524F"/>
    <w:rsid w:val="00C9470E"/>
    <w:rsid w:val="00C97291"/>
    <w:rsid w:val="00CA2D87"/>
    <w:rsid w:val="00CB049F"/>
    <w:rsid w:val="00CB3EBA"/>
    <w:rsid w:val="00CB548D"/>
    <w:rsid w:val="00CB64BC"/>
    <w:rsid w:val="00CD026A"/>
    <w:rsid w:val="00CD317C"/>
    <w:rsid w:val="00CD47C9"/>
    <w:rsid w:val="00CD79B9"/>
    <w:rsid w:val="00CE014B"/>
    <w:rsid w:val="00CE047A"/>
    <w:rsid w:val="00CE5240"/>
    <w:rsid w:val="00CE5842"/>
    <w:rsid w:val="00CE5EB4"/>
    <w:rsid w:val="00CE7242"/>
    <w:rsid w:val="00CF50AF"/>
    <w:rsid w:val="00CF58AA"/>
    <w:rsid w:val="00D03D0D"/>
    <w:rsid w:val="00D055A3"/>
    <w:rsid w:val="00D14754"/>
    <w:rsid w:val="00D15F33"/>
    <w:rsid w:val="00D17A1C"/>
    <w:rsid w:val="00D27C53"/>
    <w:rsid w:val="00D33F17"/>
    <w:rsid w:val="00D36D1E"/>
    <w:rsid w:val="00D449EF"/>
    <w:rsid w:val="00D44A82"/>
    <w:rsid w:val="00D54A06"/>
    <w:rsid w:val="00D57300"/>
    <w:rsid w:val="00D61F8A"/>
    <w:rsid w:val="00D705CC"/>
    <w:rsid w:val="00D7281B"/>
    <w:rsid w:val="00D72A12"/>
    <w:rsid w:val="00D82BAA"/>
    <w:rsid w:val="00D94AF6"/>
    <w:rsid w:val="00D969A3"/>
    <w:rsid w:val="00DA1312"/>
    <w:rsid w:val="00DA1831"/>
    <w:rsid w:val="00DA2872"/>
    <w:rsid w:val="00DA3228"/>
    <w:rsid w:val="00DA394E"/>
    <w:rsid w:val="00DA402F"/>
    <w:rsid w:val="00DB3C4F"/>
    <w:rsid w:val="00DB4C8F"/>
    <w:rsid w:val="00DB5F3E"/>
    <w:rsid w:val="00DC054F"/>
    <w:rsid w:val="00DC0970"/>
    <w:rsid w:val="00DC313E"/>
    <w:rsid w:val="00DC4D35"/>
    <w:rsid w:val="00DC5242"/>
    <w:rsid w:val="00DD1A54"/>
    <w:rsid w:val="00DD2A94"/>
    <w:rsid w:val="00DD3146"/>
    <w:rsid w:val="00DD77E1"/>
    <w:rsid w:val="00DE0032"/>
    <w:rsid w:val="00DE30A4"/>
    <w:rsid w:val="00DE32FC"/>
    <w:rsid w:val="00DF223D"/>
    <w:rsid w:val="00DF5D7B"/>
    <w:rsid w:val="00DF6560"/>
    <w:rsid w:val="00E001D6"/>
    <w:rsid w:val="00E01217"/>
    <w:rsid w:val="00E0293B"/>
    <w:rsid w:val="00E04220"/>
    <w:rsid w:val="00E22E62"/>
    <w:rsid w:val="00E23BE9"/>
    <w:rsid w:val="00E25B89"/>
    <w:rsid w:val="00E36CAE"/>
    <w:rsid w:val="00E41B9D"/>
    <w:rsid w:val="00E45C69"/>
    <w:rsid w:val="00E51510"/>
    <w:rsid w:val="00E60F27"/>
    <w:rsid w:val="00E63C72"/>
    <w:rsid w:val="00E65F87"/>
    <w:rsid w:val="00E6696A"/>
    <w:rsid w:val="00E77327"/>
    <w:rsid w:val="00E818BD"/>
    <w:rsid w:val="00E91DE9"/>
    <w:rsid w:val="00E95361"/>
    <w:rsid w:val="00E96821"/>
    <w:rsid w:val="00EA2F71"/>
    <w:rsid w:val="00EB2CED"/>
    <w:rsid w:val="00ED2DAE"/>
    <w:rsid w:val="00ED3651"/>
    <w:rsid w:val="00EE575F"/>
    <w:rsid w:val="00EF10F3"/>
    <w:rsid w:val="00EF275D"/>
    <w:rsid w:val="00EF3E42"/>
    <w:rsid w:val="00EF57B8"/>
    <w:rsid w:val="00EF7F6F"/>
    <w:rsid w:val="00F03DF3"/>
    <w:rsid w:val="00F0517F"/>
    <w:rsid w:val="00F104CC"/>
    <w:rsid w:val="00F13B38"/>
    <w:rsid w:val="00F166CA"/>
    <w:rsid w:val="00F20D69"/>
    <w:rsid w:val="00F25924"/>
    <w:rsid w:val="00F26DD3"/>
    <w:rsid w:val="00F34A81"/>
    <w:rsid w:val="00F35A93"/>
    <w:rsid w:val="00F40BE1"/>
    <w:rsid w:val="00F44150"/>
    <w:rsid w:val="00F46383"/>
    <w:rsid w:val="00F46607"/>
    <w:rsid w:val="00F46B17"/>
    <w:rsid w:val="00F544A6"/>
    <w:rsid w:val="00F54E6D"/>
    <w:rsid w:val="00F56F1B"/>
    <w:rsid w:val="00F65C94"/>
    <w:rsid w:val="00F661F8"/>
    <w:rsid w:val="00F773CE"/>
    <w:rsid w:val="00F87521"/>
    <w:rsid w:val="00F87CE7"/>
    <w:rsid w:val="00FA0111"/>
    <w:rsid w:val="00FA2398"/>
    <w:rsid w:val="00FA4562"/>
    <w:rsid w:val="00FA6F9C"/>
    <w:rsid w:val="00FC020E"/>
    <w:rsid w:val="00FC24C9"/>
    <w:rsid w:val="00FC2AEA"/>
    <w:rsid w:val="00FC4E6D"/>
    <w:rsid w:val="00FD07E2"/>
    <w:rsid w:val="00FD134E"/>
    <w:rsid w:val="00FD1E70"/>
    <w:rsid w:val="00FD29FE"/>
    <w:rsid w:val="00FE07F5"/>
    <w:rsid w:val="00FE32E0"/>
    <w:rsid w:val="00FE4A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267331"/>
  <w15:chartTrackingRefBased/>
  <w15:docId w15:val="{1ACC617E-9F49-4B2F-B393-495D504CF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5">
    <w:name w:val="heading 5"/>
    <w:basedOn w:val="a"/>
    <w:next w:val="a"/>
    <w:link w:val="50"/>
    <w:uiPriority w:val="9"/>
    <w:semiHidden/>
    <w:unhideWhenUsed/>
    <w:qFormat/>
    <w:rsid w:val="00962403"/>
    <w:pPr>
      <w:keepNext/>
      <w:keepLines/>
      <w:spacing w:before="80" w:after="40" w:line="278" w:lineRule="auto"/>
      <w:outlineLvl w:val="4"/>
    </w:pPr>
    <w:rPr>
      <w:rFonts w:eastAsiaTheme="majorEastAsia" w:cstheme="majorBidi"/>
      <w:color w:val="2E74B5" w:themeColor="accent1" w:themeShade="BF"/>
      <w:kern w:val="2"/>
      <w:sz w:val="24"/>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45C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45C69"/>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E45C69"/>
    <w:rPr>
      <w:rFonts w:ascii="Segoe UI" w:hAnsi="Segoe UI" w:cs="Segoe UI"/>
      <w:sz w:val="18"/>
      <w:szCs w:val="18"/>
    </w:rPr>
  </w:style>
  <w:style w:type="paragraph" w:styleId="a6">
    <w:name w:val="List Paragraph"/>
    <w:basedOn w:val="a"/>
    <w:uiPriority w:val="34"/>
    <w:qFormat/>
    <w:rsid w:val="007C0AAB"/>
    <w:pPr>
      <w:ind w:left="720"/>
      <w:contextualSpacing/>
    </w:pPr>
  </w:style>
  <w:style w:type="paragraph" w:styleId="a7">
    <w:name w:val="Normal (Web)"/>
    <w:basedOn w:val="a"/>
    <w:uiPriority w:val="99"/>
    <w:unhideWhenUsed/>
    <w:rsid w:val="00475384"/>
    <w:pPr>
      <w:spacing w:before="100" w:beforeAutospacing="1" w:after="100" w:afterAutospacing="1" w:line="240" w:lineRule="auto"/>
    </w:pPr>
    <w:rPr>
      <w:rFonts w:ascii="Times New Roman" w:eastAsiaTheme="minorEastAsia" w:hAnsi="Times New Roman" w:cs="Times New Roman"/>
      <w:sz w:val="24"/>
      <w:szCs w:val="24"/>
      <w:lang w:eastAsia="uk-UA"/>
    </w:rPr>
  </w:style>
  <w:style w:type="paragraph" w:styleId="a8">
    <w:name w:val="annotation text"/>
    <w:basedOn w:val="a"/>
    <w:link w:val="a9"/>
    <w:uiPriority w:val="99"/>
    <w:semiHidden/>
    <w:rsid w:val="00445E86"/>
    <w:rPr>
      <w:rFonts w:ascii="Calibri" w:eastAsia="Calibri" w:hAnsi="Calibri" w:cs="Times New Roman"/>
      <w:sz w:val="20"/>
      <w:szCs w:val="20"/>
    </w:rPr>
  </w:style>
  <w:style w:type="character" w:customStyle="1" w:styleId="a9">
    <w:name w:val="Текст примітки Знак"/>
    <w:basedOn w:val="a0"/>
    <w:link w:val="a8"/>
    <w:uiPriority w:val="99"/>
    <w:semiHidden/>
    <w:rsid w:val="00445E86"/>
    <w:rPr>
      <w:rFonts w:ascii="Calibri" w:eastAsia="Calibri" w:hAnsi="Calibri" w:cs="Times New Roman"/>
      <w:sz w:val="20"/>
      <w:szCs w:val="20"/>
    </w:rPr>
  </w:style>
  <w:style w:type="character" w:styleId="aa">
    <w:name w:val="annotation reference"/>
    <w:basedOn w:val="a0"/>
    <w:uiPriority w:val="99"/>
    <w:semiHidden/>
    <w:unhideWhenUsed/>
    <w:rsid w:val="00445E86"/>
    <w:rPr>
      <w:sz w:val="16"/>
      <w:szCs w:val="16"/>
    </w:rPr>
  </w:style>
  <w:style w:type="paragraph" w:customStyle="1" w:styleId="rvps2">
    <w:name w:val="rvps2"/>
    <w:basedOn w:val="a"/>
    <w:qFormat/>
    <w:rsid w:val="00B4010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b">
    <w:name w:val="Hyperlink"/>
    <w:basedOn w:val="a0"/>
    <w:uiPriority w:val="99"/>
    <w:semiHidden/>
    <w:unhideWhenUsed/>
    <w:rsid w:val="00AA0D61"/>
    <w:rPr>
      <w:color w:val="0000FF"/>
      <w:u w:val="single"/>
    </w:rPr>
  </w:style>
  <w:style w:type="paragraph" w:styleId="ac">
    <w:name w:val="annotation subject"/>
    <w:basedOn w:val="a8"/>
    <w:next w:val="a8"/>
    <w:link w:val="ad"/>
    <w:uiPriority w:val="99"/>
    <w:semiHidden/>
    <w:unhideWhenUsed/>
    <w:rsid w:val="003526DD"/>
    <w:pPr>
      <w:spacing w:line="240" w:lineRule="auto"/>
    </w:pPr>
    <w:rPr>
      <w:rFonts w:asciiTheme="minorHAnsi" w:eastAsiaTheme="minorHAnsi" w:hAnsiTheme="minorHAnsi" w:cstheme="minorBidi"/>
      <w:b/>
      <w:bCs/>
    </w:rPr>
  </w:style>
  <w:style w:type="character" w:customStyle="1" w:styleId="ad">
    <w:name w:val="Тема примітки Знак"/>
    <w:basedOn w:val="a9"/>
    <w:link w:val="ac"/>
    <w:uiPriority w:val="99"/>
    <w:semiHidden/>
    <w:rsid w:val="003526DD"/>
    <w:rPr>
      <w:rFonts w:ascii="Calibri" w:eastAsia="Calibri" w:hAnsi="Calibri" w:cs="Times New Roman"/>
      <w:b/>
      <w:bCs/>
      <w:sz w:val="20"/>
      <w:szCs w:val="20"/>
    </w:rPr>
  </w:style>
  <w:style w:type="paragraph" w:styleId="ae">
    <w:name w:val="Revision"/>
    <w:hidden/>
    <w:uiPriority w:val="99"/>
    <w:semiHidden/>
    <w:rsid w:val="002E6525"/>
    <w:pPr>
      <w:spacing w:after="0" w:line="240" w:lineRule="auto"/>
    </w:pPr>
  </w:style>
  <w:style w:type="paragraph" w:styleId="af">
    <w:name w:val="header"/>
    <w:basedOn w:val="a"/>
    <w:link w:val="af0"/>
    <w:uiPriority w:val="99"/>
    <w:unhideWhenUsed/>
    <w:rsid w:val="006070D5"/>
    <w:pPr>
      <w:tabs>
        <w:tab w:val="center" w:pos="4819"/>
        <w:tab w:val="right" w:pos="9639"/>
      </w:tabs>
      <w:spacing w:after="0" w:line="240" w:lineRule="auto"/>
    </w:pPr>
  </w:style>
  <w:style w:type="character" w:customStyle="1" w:styleId="af0">
    <w:name w:val="Верхній колонтитул Знак"/>
    <w:basedOn w:val="a0"/>
    <w:link w:val="af"/>
    <w:uiPriority w:val="99"/>
    <w:rsid w:val="006070D5"/>
  </w:style>
  <w:style w:type="paragraph" w:styleId="af1">
    <w:name w:val="footer"/>
    <w:basedOn w:val="a"/>
    <w:link w:val="af2"/>
    <w:uiPriority w:val="99"/>
    <w:unhideWhenUsed/>
    <w:rsid w:val="006070D5"/>
    <w:pPr>
      <w:tabs>
        <w:tab w:val="center" w:pos="4819"/>
        <w:tab w:val="right" w:pos="9639"/>
      </w:tabs>
      <w:spacing w:after="0" w:line="240" w:lineRule="auto"/>
    </w:pPr>
  </w:style>
  <w:style w:type="character" w:customStyle="1" w:styleId="af2">
    <w:name w:val="Нижній колонтитул Знак"/>
    <w:basedOn w:val="a0"/>
    <w:link w:val="af1"/>
    <w:uiPriority w:val="99"/>
    <w:rsid w:val="006070D5"/>
  </w:style>
  <w:style w:type="character" w:customStyle="1" w:styleId="spanrvts15">
    <w:name w:val="span_rvts15"/>
    <w:basedOn w:val="a0"/>
    <w:rsid w:val="00962403"/>
    <w:rPr>
      <w:rFonts w:ascii="Times New Roman" w:eastAsia="Times New Roman" w:hAnsi="Times New Roman" w:cs="Times New Roman"/>
      <w:b/>
      <w:bCs/>
      <w:i w:val="0"/>
      <w:iCs w:val="0"/>
      <w:sz w:val="28"/>
      <w:szCs w:val="28"/>
    </w:rPr>
  </w:style>
  <w:style w:type="character" w:customStyle="1" w:styleId="arvts99">
    <w:name w:val="a_rvts99"/>
    <w:basedOn w:val="a0"/>
    <w:rsid w:val="00962403"/>
    <w:rPr>
      <w:rFonts w:ascii="Times New Roman" w:eastAsia="Times New Roman" w:hAnsi="Times New Roman" w:cs="Times New Roman"/>
      <w:b w:val="0"/>
      <w:bCs w:val="0"/>
      <w:i w:val="0"/>
      <w:iCs w:val="0"/>
      <w:color w:val="006600"/>
      <w:sz w:val="24"/>
      <w:szCs w:val="24"/>
    </w:rPr>
  </w:style>
  <w:style w:type="character" w:customStyle="1" w:styleId="50">
    <w:name w:val="Заголовок 5 Знак"/>
    <w:basedOn w:val="a0"/>
    <w:link w:val="5"/>
    <w:uiPriority w:val="9"/>
    <w:semiHidden/>
    <w:rsid w:val="00962403"/>
    <w:rPr>
      <w:rFonts w:eastAsiaTheme="majorEastAsia" w:cstheme="majorBidi"/>
      <w:color w:val="2E74B5" w:themeColor="accent1" w:themeShade="BF"/>
      <w:kern w:val="2"/>
      <w:sz w:val="24"/>
      <w:szCs w:val="24"/>
      <w14:ligatures w14:val="standardContextual"/>
    </w:rPr>
  </w:style>
  <w:style w:type="character" w:styleId="af3">
    <w:name w:val="Subtle Emphasis"/>
    <w:basedOn w:val="a0"/>
    <w:uiPriority w:val="19"/>
    <w:qFormat/>
    <w:rsid w:val="003162FC"/>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817578">
      <w:bodyDiv w:val="1"/>
      <w:marLeft w:val="0"/>
      <w:marRight w:val="0"/>
      <w:marTop w:val="0"/>
      <w:marBottom w:val="0"/>
      <w:divBdr>
        <w:top w:val="none" w:sz="0" w:space="0" w:color="auto"/>
        <w:left w:val="none" w:sz="0" w:space="0" w:color="auto"/>
        <w:bottom w:val="none" w:sz="0" w:space="0" w:color="auto"/>
        <w:right w:val="none" w:sz="0" w:space="0" w:color="auto"/>
      </w:divBdr>
    </w:div>
    <w:div w:id="313994024">
      <w:bodyDiv w:val="1"/>
      <w:marLeft w:val="0"/>
      <w:marRight w:val="0"/>
      <w:marTop w:val="0"/>
      <w:marBottom w:val="0"/>
      <w:divBdr>
        <w:top w:val="none" w:sz="0" w:space="0" w:color="auto"/>
        <w:left w:val="none" w:sz="0" w:space="0" w:color="auto"/>
        <w:bottom w:val="none" w:sz="0" w:space="0" w:color="auto"/>
        <w:right w:val="none" w:sz="0" w:space="0" w:color="auto"/>
      </w:divBdr>
    </w:div>
    <w:div w:id="419638346">
      <w:bodyDiv w:val="1"/>
      <w:marLeft w:val="0"/>
      <w:marRight w:val="0"/>
      <w:marTop w:val="0"/>
      <w:marBottom w:val="0"/>
      <w:divBdr>
        <w:top w:val="none" w:sz="0" w:space="0" w:color="auto"/>
        <w:left w:val="none" w:sz="0" w:space="0" w:color="auto"/>
        <w:bottom w:val="none" w:sz="0" w:space="0" w:color="auto"/>
        <w:right w:val="none" w:sz="0" w:space="0" w:color="auto"/>
      </w:divBdr>
    </w:div>
    <w:div w:id="840702399">
      <w:bodyDiv w:val="1"/>
      <w:marLeft w:val="0"/>
      <w:marRight w:val="0"/>
      <w:marTop w:val="0"/>
      <w:marBottom w:val="0"/>
      <w:divBdr>
        <w:top w:val="none" w:sz="0" w:space="0" w:color="auto"/>
        <w:left w:val="none" w:sz="0" w:space="0" w:color="auto"/>
        <w:bottom w:val="none" w:sz="0" w:space="0" w:color="auto"/>
        <w:right w:val="none" w:sz="0" w:space="0" w:color="auto"/>
      </w:divBdr>
    </w:div>
    <w:div w:id="2006014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14" Type="http://schemas.microsoft.com/office/2016/09/relationships/commentsIds" Target="commentsId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AEDF2D-3F71-455E-9E05-5D5F7BA4A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14350</Words>
  <Characters>8180</Characters>
  <Application>Microsoft Office Word</Application>
  <DocSecurity>0</DocSecurity>
  <Lines>68</Lines>
  <Paragraphs>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NSSMC</Company>
  <LinksUpToDate>false</LinksUpToDate>
  <CharactersWithSpaces>22486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Нінель Черноморченко</dc:creator>
  <cp:keywords/>
  <dc:description/>
  <cp:lastModifiedBy>КАРІНА</cp:lastModifiedBy>
  <cp:revision>6</cp:revision>
  <cp:lastPrinted>2025-08-28T11:22:00Z</cp:lastPrinted>
  <dcterms:created xsi:type="dcterms:W3CDTF">2025-09-25T14:06:00Z</dcterms:created>
  <dcterms:modified xsi:type="dcterms:W3CDTF">2025-09-26T13:55:00Z</dcterms:modified>
</cp:coreProperties>
</file>