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4D6" w:rsidRPr="00C92BD2" w:rsidRDefault="007E719C" w:rsidP="009354D6">
      <w:pPr>
        <w:pStyle w:val="a8"/>
        <w:spacing w:before="0" w:beforeAutospacing="0" w:after="0" w:afterAutospacing="0"/>
        <w:jc w:val="center"/>
        <w:rPr>
          <w:b/>
        </w:rPr>
      </w:pPr>
      <w:r w:rsidRPr="00C92BD2">
        <w:rPr>
          <w:b/>
        </w:rPr>
        <w:t xml:space="preserve">Таблиця </w:t>
      </w:r>
      <w:r w:rsidR="001F2FEE">
        <w:rPr>
          <w:b/>
        </w:rPr>
        <w:t>розбіжностей</w:t>
      </w:r>
    </w:p>
    <w:p w:rsidR="00B810EC" w:rsidRPr="00C92BD2" w:rsidRDefault="00752D6B" w:rsidP="00B810EC">
      <w:pPr>
        <w:spacing w:after="0"/>
        <w:ind w:right="536" w:firstLine="284"/>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до </w:t>
      </w:r>
      <w:proofErr w:type="spellStart"/>
      <w:r>
        <w:rPr>
          <w:rFonts w:ascii="Times New Roman" w:eastAsia="Times New Roman" w:hAnsi="Times New Roman" w:cs="Times New Roman"/>
          <w:sz w:val="24"/>
          <w:szCs w:val="24"/>
          <w:lang w:eastAsia="uk-UA"/>
        </w:rPr>
        <w:t>проє</w:t>
      </w:r>
      <w:r w:rsidR="00B810EC" w:rsidRPr="00C92BD2">
        <w:rPr>
          <w:rFonts w:ascii="Times New Roman" w:eastAsia="Times New Roman" w:hAnsi="Times New Roman" w:cs="Times New Roman"/>
          <w:sz w:val="24"/>
          <w:szCs w:val="24"/>
          <w:lang w:eastAsia="uk-UA"/>
        </w:rPr>
        <w:t>кту</w:t>
      </w:r>
      <w:proofErr w:type="spellEnd"/>
      <w:r w:rsidR="00B810EC" w:rsidRPr="00C92BD2">
        <w:rPr>
          <w:rFonts w:ascii="Times New Roman" w:eastAsia="Times New Roman" w:hAnsi="Times New Roman" w:cs="Times New Roman"/>
          <w:sz w:val="24"/>
          <w:szCs w:val="24"/>
          <w:lang w:eastAsia="uk-UA"/>
        </w:rPr>
        <w:t xml:space="preserve"> рішення Національної комісії з цінних паперів та фондового ринку </w:t>
      </w:r>
    </w:p>
    <w:p w:rsidR="009354D6" w:rsidRPr="00C92BD2" w:rsidRDefault="00B810EC" w:rsidP="00B810EC">
      <w:pPr>
        <w:spacing w:after="0"/>
        <w:ind w:right="536" w:firstLine="284"/>
        <w:jc w:val="center"/>
        <w:rPr>
          <w:rFonts w:ascii="Times New Roman" w:hAnsi="Times New Roman" w:cs="Times New Roman"/>
          <w:bCs/>
          <w:sz w:val="24"/>
          <w:szCs w:val="24"/>
        </w:rPr>
      </w:pPr>
      <w:r w:rsidRPr="00C92BD2">
        <w:rPr>
          <w:rFonts w:ascii="Times New Roman" w:eastAsia="Times New Roman" w:hAnsi="Times New Roman" w:cs="Times New Roman"/>
          <w:sz w:val="24"/>
          <w:szCs w:val="24"/>
          <w:lang w:eastAsia="uk-UA"/>
        </w:rPr>
        <w:t>«Про внесення змін до Порядку ведення облікової системи часток товариств з обмеженою відповідальністю та товариств з додатковою відповідальністю»</w:t>
      </w:r>
    </w:p>
    <w:p w:rsidR="009354D6" w:rsidRPr="00C92BD2" w:rsidRDefault="009354D6" w:rsidP="005E5294">
      <w:pPr>
        <w:spacing w:after="0"/>
        <w:ind w:right="536"/>
        <w:rPr>
          <w:rFonts w:ascii="Times New Roman" w:hAnsi="Times New Roman" w:cs="Times New Roman"/>
          <w:sz w:val="24"/>
          <w:szCs w:val="24"/>
        </w:rPr>
      </w:pPr>
    </w:p>
    <w:tbl>
      <w:tblPr>
        <w:tblStyle w:val="a3"/>
        <w:tblW w:w="5048" w:type="pct"/>
        <w:tblLook w:val="04A0" w:firstRow="1" w:lastRow="0" w:firstColumn="1" w:lastColumn="0" w:noHBand="0" w:noVBand="1"/>
      </w:tblPr>
      <w:tblGrid>
        <w:gridCol w:w="5381"/>
        <w:gridCol w:w="5056"/>
        <w:gridCol w:w="4866"/>
      </w:tblGrid>
      <w:tr w:rsidR="00C92BD2" w:rsidRPr="00C92BD2" w:rsidTr="001422E3">
        <w:tc>
          <w:tcPr>
            <w:tcW w:w="1758" w:type="pct"/>
          </w:tcPr>
          <w:p w:rsidR="004A6F9F" w:rsidRPr="00C92BD2" w:rsidRDefault="004A6F9F" w:rsidP="00B810EC">
            <w:pPr>
              <w:ind w:right="536"/>
              <w:jc w:val="center"/>
              <w:rPr>
                <w:rFonts w:ascii="Times New Roman" w:hAnsi="Times New Roman" w:cs="Times New Roman"/>
                <w:b/>
                <w:sz w:val="24"/>
                <w:szCs w:val="24"/>
              </w:rPr>
            </w:pPr>
            <w:r w:rsidRPr="00C92BD2">
              <w:rPr>
                <w:rFonts w:ascii="Times New Roman" w:hAnsi="Times New Roman" w:cs="Times New Roman"/>
                <w:b/>
                <w:sz w:val="24"/>
                <w:szCs w:val="24"/>
              </w:rPr>
              <w:t xml:space="preserve">Номер та положення спірного пункту </w:t>
            </w:r>
            <w:r w:rsidR="00356375" w:rsidRPr="00C92BD2">
              <w:rPr>
                <w:rFonts w:ascii="Times New Roman" w:hAnsi="Times New Roman" w:cs="Times New Roman"/>
                <w:b/>
                <w:sz w:val="24"/>
                <w:szCs w:val="24"/>
              </w:rPr>
              <w:t xml:space="preserve">   </w:t>
            </w:r>
            <w:proofErr w:type="spellStart"/>
            <w:r w:rsidRPr="00C92BD2">
              <w:rPr>
                <w:rFonts w:ascii="Times New Roman" w:hAnsi="Times New Roman" w:cs="Times New Roman"/>
                <w:b/>
                <w:sz w:val="24"/>
                <w:szCs w:val="24"/>
              </w:rPr>
              <w:t>проєкту</w:t>
            </w:r>
            <w:proofErr w:type="spellEnd"/>
            <w:r w:rsidRPr="00C92BD2">
              <w:rPr>
                <w:sz w:val="24"/>
                <w:szCs w:val="24"/>
              </w:rPr>
              <w:t xml:space="preserve"> (</w:t>
            </w:r>
            <w:r w:rsidRPr="00C92BD2">
              <w:rPr>
                <w:rFonts w:ascii="Times New Roman" w:hAnsi="Times New Roman" w:cs="Times New Roman"/>
                <w:b/>
                <w:sz w:val="24"/>
                <w:szCs w:val="24"/>
              </w:rPr>
              <w:t xml:space="preserve">редакція </w:t>
            </w:r>
            <w:proofErr w:type="spellStart"/>
            <w:r w:rsidRPr="00C92BD2">
              <w:rPr>
                <w:rFonts w:ascii="Times New Roman" w:hAnsi="Times New Roman" w:cs="Times New Roman"/>
                <w:b/>
                <w:sz w:val="24"/>
                <w:szCs w:val="24"/>
              </w:rPr>
              <w:t>проєкту</w:t>
            </w:r>
            <w:proofErr w:type="spellEnd"/>
            <w:r w:rsidRPr="00C92BD2">
              <w:rPr>
                <w:rFonts w:ascii="Times New Roman" w:hAnsi="Times New Roman" w:cs="Times New Roman"/>
                <w:b/>
                <w:sz w:val="24"/>
                <w:szCs w:val="24"/>
              </w:rPr>
              <w:t xml:space="preserve"> рішення, яка оприлюднена на сайті НКЦПФР </w:t>
            </w:r>
            <w:r w:rsidR="00B810EC" w:rsidRPr="00C92BD2">
              <w:rPr>
                <w:rFonts w:ascii="Times New Roman" w:hAnsi="Times New Roman" w:cs="Times New Roman"/>
                <w:b/>
                <w:sz w:val="24"/>
                <w:szCs w:val="24"/>
              </w:rPr>
              <w:t>08</w:t>
            </w:r>
            <w:r w:rsidRPr="00C92BD2">
              <w:rPr>
                <w:rFonts w:ascii="Times New Roman" w:hAnsi="Times New Roman" w:cs="Times New Roman"/>
                <w:b/>
                <w:sz w:val="24"/>
                <w:szCs w:val="24"/>
              </w:rPr>
              <w:t>.0</w:t>
            </w:r>
            <w:r w:rsidR="00B810EC" w:rsidRPr="00C92BD2">
              <w:rPr>
                <w:rFonts w:ascii="Times New Roman" w:hAnsi="Times New Roman" w:cs="Times New Roman"/>
                <w:b/>
                <w:sz w:val="24"/>
                <w:szCs w:val="24"/>
              </w:rPr>
              <w:t>9</w:t>
            </w:r>
            <w:r w:rsidRPr="00C92BD2">
              <w:rPr>
                <w:rFonts w:ascii="Times New Roman" w:hAnsi="Times New Roman" w:cs="Times New Roman"/>
                <w:b/>
                <w:sz w:val="24"/>
                <w:szCs w:val="24"/>
              </w:rPr>
              <w:t>.2025)</w:t>
            </w:r>
          </w:p>
        </w:tc>
        <w:tc>
          <w:tcPr>
            <w:tcW w:w="1652" w:type="pct"/>
          </w:tcPr>
          <w:p w:rsidR="004A6F9F" w:rsidRPr="00C92BD2" w:rsidRDefault="004A6F9F" w:rsidP="00D825E0">
            <w:pPr>
              <w:ind w:right="536" w:firstLine="320"/>
              <w:jc w:val="center"/>
              <w:rPr>
                <w:rFonts w:ascii="Times New Roman" w:hAnsi="Times New Roman" w:cs="Times New Roman"/>
                <w:b/>
                <w:sz w:val="24"/>
                <w:szCs w:val="24"/>
              </w:rPr>
            </w:pPr>
            <w:r w:rsidRPr="00C92BD2">
              <w:rPr>
                <w:rFonts w:ascii="Times New Roman" w:hAnsi="Times New Roman" w:cs="Times New Roman"/>
                <w:b/>
                <w:sz w:val="24"/>
                <w:szCs w:val="24"/>
              </w:rPr>
              <w:t>Суть зауваження, обґрунтування</w:t>
            </w:r>
          </w:p>
        </w:tc>
        <w:tc>
          <w:tcPr>
            <w:tcW w:w="1590" w:type="pct"/>
          </w:tcPr>
          <w:p w:rsidR="004A6F9F" w:rsidRPr="00C92BD2" w:rsidRDefault="004A6F9F" w:rsidP="00D825E0">
            <w:pPr>
              <w:ind w:right="536" w:firstLine="37"/>
              <w:jc w:val="center"/>
              <w:rPr>
                <w:rFonts w:ascii="Times New Roman" w:hAnsi="Times New Roman" w:cs="Times New Roman"/>
                <w:b/>
                <w:sz w:val="24"/>
                <w:szCs w:val="24"/>
              </w:rPr>
            </w:pPr>
            <w:r w:rsidRPr="00C92BD2">
              <w:rPr>
                <w:rFonts w:ascii="Times New Roman" w:hAnsi="Times New Roman" w:cs="Times New Roman"/>
                <w:b/>
                <w:sz w:val="24"/>
                <w:szCs w:val="24"/>
              </w:rPr>
              <w:t>Пропонована редакція</w:t>
            </w:r>
            <w:r w:rsidR="00A10C3B" w:rsidRPr="00C92BD2">
              <w:rPr>
                <w:rFonts w:ascii="Times New Roman" w:hAnsi="Times New Roman" w:cs="Times New Roman"/>
                <w:b/>
                <w:bCs/>
                <w:sz w:val="24"/>
                <w:szCs w:val="24"/>
                <w:shd w:val="clear" w:color="auto" w:fill="FFFFFF"/>
              </w:rPr>
              <w:t xml:space="preserve"> /обґрунтування відхилення пропозицій</w:t>
            </w:r>
          </w:p>
        </w:tc>
      </w:tr>
      <w:tr w:rsidR="00C92BD2" w:rsidRPr="00C92BD2" w:rsidTr="00B810EC">
        <w:tc>
          <w:tcPr>
            <w:tcW w:w="5000" w:type="pct"/>
            <w:gridSpan w:val="3"/>
          </w:tcPr>
          <w:p w:rsidR="00B810EC" w:rsidRPr="00C92BD2" w:rsidRDefault="00B810EC" w:rsidP="00D825E0">
            <w:pPr>
              <w:ind w:right="536" w:firstLine="37"/>
              <w:jc w:val="center"/>
              <w:rPr>
                <w:rFonts w:ascii="Times New Roman" w:hAnsi="Times New Roman" w:cs="Times New Roman"/>
                <w:b/>
                <w:sz w:val="24"/>
                <w:szCs w:val="24"/>
              </w:rPr>
            </w:pPr>
            <w:r w:rsidRPr="00C92BD2">
              <w:rPr>
                <w:rStyle w:val="spanrvts15"/>
                <w:rFonts w:eastAsiaTheme="minorHAnsi"/>
                <w:sz w:val="24"/>
                <w:szCs w:val="24"/>
                <w:lang w:eastAsia="uk"/>
              </w:rPr>
              <w:t>III. Порядок ведення та внесення змін до облікової системи часток</w:t>
            </w:r>
          </w:p>
        </w:tc>
      </w:tr>
      <w:tr w:rsidR="00C92BD2" w:rsidRPr="00C92BD2" w:rsidTr="001422E3">
        <w:trPr>
          <w:trHeight w:val="3422"/>
        </w:trPr>
        <w:tc>
          <w:tcPr>
            <w:tcW w:w="1758" w:type="pct"/>
          </w:tcPr>
          <w:p w:rsidR="00FE1C02" w:rsidRPr="00C92BD2" w:rsidRDefault="00FE1C02" w:rsidP="00B810EC">
            <w:pPr>
              <w:pStyle w:val="rvps2"/>
              <w:spacing w:before="0" w:beforeAutospacing="0" w:after="0" w:afterAutospacing="0"/>
              <w:ind w:firstLine="567"/>
              <w:jc w:val="both"/>
              <w:rPr>
                <w:lang w:val="uk-UA" w:eastAsia="uk"/>
              </w:rPr>
            </w:pPr>
          </w:p>
          <w:p w:rsidR="00FE1C02" w:rsidRPr="00C92BD2" w:rsidRDefault="00FE1C02" w:rsidP="00B810EC">
            <w:pPr>
              <w:pStyle w:val="rvps2"/>
              <w:spacing w:before="0" w:beforeAutospacing="0" w:after="0" w:afterAutospacing="0"/>
              <w:ind w:firstLine="567"/>
              <w:jc w:val="both"/>
              <w:rPr>
                <w:lang w:val="uk-UA" w:eastAsia="uk"/>
              </w:rPr>
            </w:pPr>
          </w:p>
          <w:p w:rsidR="00FE1C02" w:rsidRPr="00C92BD2" w:rsidRDefault="00FE1C02" w:rsidP="00B810EC">
            <w:pPr>
              <w:pStyle w:val="rvps2"/>
              <w:spacing w:before="0" w:beforeAutospacing="0" w:after="0" w:afterAutospacing="0"/>
              <w:ind w:firstLine="567"/>
              <w:jc w:val="both"/>
              <w:rPr>
                <w:lang w:val="uk-UA" w:eastAsia="uk"/>
              </w:rPr>
            </w:pPr>
          </w:p>
          <w:p w:rsidR="00FE1C02" w:rsidRPr="00C92BD2" w:rsidRDefault="00FE1C02" w:rsidP="00B810EC">
            <w:pPr>
              <w:pStyle w:val="rvps2"/>
              <w:spacing w:before="0" w:beforeAutospacing="0" w:after="0" w:afterAutospacing="0"/>
              <w:ind w:firstLine="567"/>
              <w:jc w:val="both"/>
              <w:rPr>
                <w:lang w:val="uk-UA" w:eastAsia="uk"/>
              </w:rPr>
            </w:pPr>
          </w:p>
          <w:p w:rsidR="00B810EC" w:rsidRPr="00C92BD2" w:rsidRDefault="00B810EC" w:rsidP="00B810EC">
            <w:pPr>
              <w:pStyle w:val="rvps2"/>
              <w:spacing w:before="0" w:beforeAutospacing="0" w:after="0" w:afterAutospacing="0"/>
              <w:ind w:firstLine="567"/>
              <w:jc w:val="both"/>
              <w:rPr>
                <w:lang w:val="uk-UA" w:eastAsia="uk"/>
              </w:rPr>
            </w:pPr>
            <w:r w:rsidRPr="00C92BD2">
              <w:rPr>
                <w:lang w:val="uk-UA" w:eastAsia="uk"/>
              </w:rPr>
              <w:t xml:space="preserve">18. Відкриття рахунку учаснику товариства в обліковій системі часток здійснюється Центральним депозитарієм через уповноважену депозитарну установу або без участі уповноваженої депозитарної установи на підставі договору щодо обслуговування рахунку (рахунків) учасника товариства або на підставі отриманих даних про учасника товариства з Єдиного державного реєстру у випадку, передбаченому </w:t>
            </w:r>
            <w:hyperlink w:anchor="n48" w:history="1">
              <w:r w:rsidRPr="00C92BD2">
                <w:rPr>
                  <w:lang w:val="uk-UA"/>
                </w:rPr>
                <w:t>пунктом 11</w:t>
              </w:r>
            </w:hyperlink>
            <w:r w:rsidRPr="00C92BD2">
              <w:rPr>
                <w:lang w:val="uk-UA" w:eastAsia="uk"/>
              </w:rPr>
              <w:t xml:space="preserve"> розділу II цього Порядку.</w:t>
            </w:r>
          </w:p>
          <w:p w:rsidR="00B810EC" w:rsidRPr="00C92BD2" w:rsidRDefault="00B810EC" w:rsidP="00B810EC">
            <w:pPr>
              <w:pStyle w:val="rvps2"/>
              <w:spacing w:before="0" w:beforeAutospacing="0" w:after="0" w:afterAutospacing="0"/>
              <w:ind w:firstLine="567"/>
              <w:jc w:val="both"/>
              <w:rPr>
                <w:lang w:val="uk-UA" w:eastAsia="uk"/>
              </w:rPr>
            </w:pPr>
            <w:r w:rsidRPr="00C92BD2">
              <w:rPr>
                <w:lang w:val="uk-UA" w:eastAsia="uk"/>
              </w:rPr>
              <w:t>(...)</w:t>
            </w:r>
          </w:p>
          <w:p w:rsidR="00B810EC" w:rsidRPr="00C92BD2" w:rsidRDefault="00B810EC" w:rsidP="00B810EC">
            <w:pPr>
              <w:ind w:firstLine="567"/>
              <w:jc w:val="both"/>
              <w:rPr>
                <w:rFonts w:ascii="Times New Roman" w:hAnsi="Times New Roman" w:cs="Times New Roman"/>
                <w:bCs/>
                <w:sz w:val="24"/>
                <w:szCs w:val="24"/>
              </w:rPr>
            </w:pPr>
            <w:r w:rsidRPr="00C92BD2">
              <w:rPr>
                <w:rFonts w:ascii="Times New Roman" w:hAnsi="Times New Roman" w:cs="Times New Roman"/>
                <w:bCs/>
                <w:sz w:val="24"/>
                <w:szCs w:val="24"/>
              </w:rPr>
              <w:t>Внесення змін до облікової системи часток щодо переведення обслуговування рахунку учасника товариства</w:t>
            </w:r>
            <w:r w:rsidRPr="00C92BD2">
              <w:rPr>
                <w:rFonts w:ascii="Times New Roman" w:hAnsi="Times New Roman" w:cs="Times New Roman"/>
                <w:bCs/>
                <w:strike/>
                <w:sz w:val="24"/>
                <w:szCs w:val="24"/>
              </w:rPr>
              <w:t>,</w:t>
            </w:r>
            <w:r w:rsidRPr="00C92BD2">
              <w:rPr>
                <w:rFonts w:ascii="Times New Roman" w:hAnsi="Times New Roman" w:cs="Times New Roman"/>
                <w:bCs/>
                <w:sz w:val="24"/>
                <w:szCs w:val="24"/>
              </w:rPr>
              <w:t xml:space="preserve"> здійснюється Центральним депозитарієм в порядку, передбаченому внутрішніми документами Центрального депозитарію, на підставі:</w:t>
            </w:r>
          </w:p>
          <w:p w:rsidR="00FE1C02" w:rsidRPr="00C92BD2" w:rsidRDefault="00FE1C02" w:rsidP="00B810EC">
            <w:pPr>
              <w:ind w:firstLine="567"/>
              <w:jc w:val="both"/>
              <w:rPr>
                <w:rFonts w:ascii="Times New Roman" w:hAnsi="Times New Roman" w:cs="Times New Roman"/>
                <w:b/>
                <w:bCs/>
                <w:sz w:val="24"/>
                <w:szCs w:val="24"/>
              </w:rPr>
            </w:pPr>
          </w:p>
          <w:p w:rsidR="00B810EC" w:rsidRPr="00C92BD2" w:rsidRDefault="00B810EC" w:rsidP="00B810EC">
            <w:pPr>
              <w:ind w:firstLine="567"/>
              <w:jc w:val="both"/>
              <w:rPr>
                <w:rFonts w:ascii="Times New Roman" w:hAnsi="Times New Roman" w:cs="Times New Roman"/>
                <w:bCs/>
                <w:sz w:val="24"/>
                <w:szCs w:val="24"/>
              </w:rPr>
            </w:pPr>
            <w:r w:rsidRPr="00C92BD2">
              <w:rPr>
                <w:rFonts w:ascii="Times New Roman" w:hAnsi="Times New Roman" w:cs="Times New Roman"/>
                <w:bCs/>
                <w:sz w:val="24"/>
                <w:szCs w:val="24"/>
              </w:rPr>
              <w:lastRenderedPageBreak/>
              <w:t>1) відповідного розпорядження нової уповноваженої депозитарної установи, з якою учасником товариства укладений договір щодо обслуговування рахунку (рахунків) учасника товариства, - у разі переведення обслуговування рахунку учасника товариства з однієї уповноваженої депозитарної установи до іншої;</w:t>
            </w:r>
          </w:p>
          <w:p w:rsidR="00FE1C02" w:rsidRDefault="00FE1C0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Default="00C92BD2" w:rsidP="00B810EC">
            <w:pPr>
              <w:ind w:firstLine="567"/>
              <w:jc w:val="both"/>
              <w:rPr>
                <w:rFonts w:ascii="Times New Roman" w:hAnsi="Times New Roman" w:cs="Times New Roman"/>
                <w:b/>
                <w:bCs/>
                <w:sz w:val="24"/>
                <w:szCs w:val="24"/>
              </w:rPr>
            </w:pPr>
          </w:p>
          <w:p w:rsidR="00C92BD2" w:rsidRPr="00C92BD2" w:rsidRDefault="00C92BD2" w:rsidP="00B810EC">
            <w:pPr>
              <w:ind w:firstLine="567"/>
              <w:jc w:val="both"/>
              <w:rPr>
                <w:rFonts w:ascii="Times New Roman" w:hAnsi="Times New Roman" w:cs="Times New Roman"/>
                <w:b/>
                <w:bCs/>
                <w:sz w:val="24"/>
                <w:szCs w:val="24"/>
              </w:rPr>
            </w:pPr>
          </w:p>
          <w:p w:rsidR="00FE1C02" w:rsidRPr="00C92BD2" w:rsidRDefault="00FE1C02" w:rsidP="00B810EC">
            <w:pPr>
              <w:ind w:firstLine="567"/>
              <w:jc w:val="both"/>
              <w:rPr>
                <w:rFonts w:ascii="Times New Roman" w:hAnsi="Times New Roman" w:cs="Times New Roman"/>
                <w:b/>
                <w:bCs/>
                <w:sz w:val="24"/>
                <w:szCs w:val="24"/>
              </w:rPr>
            </w:pPr>
          </w:p>
          <w:p w:rsidR="00FE1C02" w:rsidRDefault="00FE1C02" w:rsidP="00B810EC">
            <w:pPr>
              <w:ind w:firstLine="567"/>
              <w:jc w:val="both"/>
              <w:rPr>
                <w:rFonts w:ascii="Times New Roman" w:hAnsi="Times New Roman" w:cs="Times New Roman"/>
                <w:b/>
                <w:bCs/>
                <w:sz w:val="24"/>
                <w:szCs w:val="24"/>
              </w:rPr>
            </w:pPr>
          </w:p>
          <w:p w:rsidR="00E032BB" w:rsidRPr="00C92BD2" w:rsidRDefault="00E032BB" w:rsidP="00B810EC">
            <w:pPr>
              <w:ind w:firstLine="567"/>
              <w:jc w:val="both"/>
              <w:rPr>
                <w:rFonts w:ascii="Times New Roman" w:hAnsi="Times New Roman" w:cs="Times New Roman"/>
                <w:b/>
                <w:bCs/>
                <w:sz w:val="24"/>
                <w:szCs w:val="24"/>
              </w:rPr>
            </w:pPr>
          </w:p>
          <w:p w:rsidR="00B810EC" w:rsidRPr="00C92BD2" w:rsidRDefault="00B810EC" w:rsidP="00B810EC">
            <w:pPr>
              <w:ind w:firstLine="567"/>
              <w:jc w:val="both"/>
              <w:rPr>
                <w:rFonts w:ascii="Times New Roman" w:hAnsi="Times New Roman" w:cs="Times New Roman"/>
                <w:bCs/>
                <w:sz w:val="24"/>
                <w:szCs w:val="24"/>
              </w:rPr>
            </w:pPr>
            <w:r w:rsidRPr="00C92BD2">
              <w:rPr>
                <w:rFonts w:ascii="Times New Roman" w:hAnsi="Times New Roman" w:cs="Times New Roman"/>
                <w:bCs/>
                <w:sz w:val="24"/>
                <w:szCs w:val="24"/>
              </w:rPr>
              <w:t>2) відповідного розпорядження уповноваженої депозитарної установи, з якою учасником товариства укладений договір щодо обслуговування рахунку (рахунків) учасника товариства, - у разі переведення обслуговування рахунку учасника товариства з Центрального депозитарію</w:t>
            </w:r>
            <w:r w:rsidRPr="00C92BD2">
              <w:rPr>
                <w:lang w:eastAsia="uk"/>
              </w:rPr>
              <w:t xml:space="preserve"> </w:t>
            </w:r>
            <w:r w:rsidRPr="00C92BD2">
              <w:rPr>
                <w:rFonts w:ascii="Times New Roman" w:hAnsi="Times New Roman" w:cs="Times New Roman"/>
                <w:bCs/>
                <w:sz w:val="24"/>
                <w:szCs w:val="24"/>
              </w:rPr>
              <w:t>до уповноваженої депозитарної установи;</w:t>
            </w:r>
          </w:p>
          <w:p w:rsidR="00FE1C02" w:rsidRPr="00C92BD2" w:rsidRDefault="00FE1C02" w:rsidP="00B810EC">
            <w:pPr>
              <w:ind w:firstLine="567"/>
              <w:jc w:val="both"/>
              <w:rPr>
                <w:rFonts w:ascii="Times New Roman" w:hAnsi="Times New Roman" w:cs="Times New Roman"/>
                <w:b/>
                <w:bCs/>
                <w:sz w:val="24"/>
                <w:szCs w:val="24"/>
              </w:rPr>
            </w:pPr>
          </w:p>
          <w:p w:rsidR="00FE1C02" w:rsidRPr="00C92BD2" w:rsidRDefault="00FE1C02" w:rsidP="00B810EC">
            <w:pPr>
              <w:ind w:firstLine="567"/>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4A6F9F" w:rsidRPr="00C92BD2" w:rsidRDefault="00B810EC" w:rsidP="00FE1C02">
            <w:pPr>
              <w:suppressAutoHyphens/>
              <w:spacing w:before="120"/>
              <w:ind w:firstLine="426"/>
              <w:contextualSpacing/>
              <w:jc w:val="both"/>
              <w:rPr>
                <w:rFonts w:ascii="Times New Roman" w:hAnsi="Times New Roman" w:cs="Times New Roman"/>
                <w:bCs/>
                <w:sz w:val="24"/>
                <w:szCs w:val="24"/>
              </w:rPr>
            </w:pPr>
            <w:r w:rsidRPr="00C92BD2">
              <w:rPr>
                <w:rFonts w:ascii="Times New Roman" w:hAnsi="Times New Roman" w:cs="Times New Roman"/>
                <w:bCs/>
                <w:sz w:val="24"/>
                <w:szCs w:val="24"/>
              </w:rPr>
              <w:t xml:space="preserve">3) внутрішнього розпорядження Центрального депозитарію </w:t>
            </w:r>
            <w:r w:rsidRPr="00C92BD2">
              <w:rPr>
                <w:rFonts w:ascii="Times New Roman" w:hAnsi="Times New Roman" w:cs="Times New Roman"/>
                <w:b/>
                <w:bCs/>
                <w:strike/>
                <w:sz w:val="24"/>
                <w:szCs w:val="24"/>
              </w:rPr>
              <w:t>та</w:t>
            </w:r>
            <w:r w:rsidR="00FE1C02" w:rsidRPr="00C92BD2">
              <w:rPr>
                <w:rFonts w:ascii="Times New Roman" w:hAnsi="Times New Roman" w:cs="Times New Roman"/>
                <w:b/>
                <w:bCs/>
                <w:strike/>
                <w:sz w:val="24"/>
                <w:szCs w:val="24"/>
              </w:rPr>
              <w:t xml:space="preserve"> </w:t>
            </w:r>
            <w:r w:rsidRPr="00C92BD2">
              <w:rPr>
                <w:rFonts w:ascii="Times New Roman" w:hAnsi="Times New Roman" w:cs="Times New Roman"/>
                <w:b/>
                <w:bCs/>
                <w:strike/>
                <w:sz w:val="24"/>
                <w:szCs w:val="24"/>
              </w:rPr>
              <w:t>укладеного</w:t>
            </w:r>
            <w:r w:rsidRPr="00C92BD2">
              <w:rPr>
                <w:rFonts w:ascii="Times New Roman" w:hAnsi="Times New Roman" w:cs="Times New Roman"/>
                <w:bCs/>
                <w:sz w:val="24"/>
                <w:szCs w:val="24"/>
              </w:rPr>
              <w:t xml:space="preserve"> з відповідним учасником товариства </w:t>
            </w:r>
            <w:r w:rsidRPr="00C92BD2">
              <w:rPr>
                <w:rFonts w:ascii="Times New Roman" w:hAnsi="Times New Roman" w:cs="Times New Roman"/>
                <w:b/>
                <w:bCs/>
                <w:strike/>
                <w:sz w:val="24"/>
                <w:szCs w:val="24"/>
              </w:rPr>
              <w:t>договору</w:t>
            </w:r>
            <w:r w:rsidRPr="00C92BD2">
              <w:rPr>
                <w:rFonts w:ascii="Times New Roman" w:hAnsi="Times New Roman" w:cs="Times New Roman"/>
                <w:bCs/>
                <w:sz w:val="24"/>
                <w:szCs w:val="24"/>
              </w:rPr>
              <w:t xml:space="preserve"> щодо обслуговування рахунку (рахунків) учасника товариства, - у разі переведення обслуговування рахунку учасника товариства з уповноваженої депозитарної установи до Центрального депозитарію.</w:t>
            </w: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Відсутній в </w:t>
            </w:r>
            <w:proofErr w:type="spellStart"/>
            <w:r>
              <w:rPr>
                <w:rFonts w:ascii="Times New Roman" w:hAnsi="Times New Roman" w:cs="Times New Roman"/>
                <w:b/>
                <w:bCs/>
                <w:sz w:val="24"/>
                <w:szCs w:val="24"/>
              </w:rPr>
              <w:t>проєкті</w:t>
            </w:r>
            <w:proofErr w:type="spellEnd"/>
            <w:r>
              <w:rPr>
                <w:rFonts w:ascii="Times New Roman" w:hAnsi="Times New Roman" w:cs="Times New Roman"/>
                <w:b/>
                <w:bCs/>
                <w:sz w:val="24"/>
                <w:szCs w:val="24"/>
              </w:rPr>
              <w:t xml:space="preserve"> змін.</w:t>
            </w: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C92BD2">
            <w:pPr>
              <w:suppressAutoHyphens/>
              <w:spacing w:before="120"/>
              <w:ind w:firstLine="426"/>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Відсутній в </w:t>
            </w:r>
            <w:proofErr w:type="spellStart"/>
            <w:r>
              <w:rPr>
                <w:rFonts w:ascii="Times New Roman" w:hAnsi="Times New Roman" w:cs="Times New Roman"/>
                <w:b/>
                <w:bCs/>
                <w:sz w:val="24"/>
                <w:szCs w:val="24"/>
              </w:rPr>
              <w:t>проєкті</w:t>
            </w:r>
            <w:proofErr w:type="spellEnd"/>
            <w:r>
              <w:rPr>
                <w:rFonts w:ascii="Times New Roman" w:hAnsi="Times New Roman" w:cs="Times New Roman"/>
                <w:b/>
                <w:bCs/>
                <w:sz w:val="24"/>
                <w:szCs w:val="24"/>
              </w:rPr>
              <w:t xml:space="preserve"> змін.</w:t>
            </w: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Default="00C92BD2" w:rsidP="00FE1C02">
            <w:pPr>
              <w:suppressAutoHyphens/>
              <w:spacing w:before="120"/>
              <w:ind w:firstLine="426"/>
              <w:contextualSpacing/>
              <w:jc w:val="both"/>
              <w:rPr>
                <w:rFonts w:ascii="Times New Roman" w:hAnsi="Times New Roman" w:cs="Times New Roman"/>
                <w:b/>
                <w:bCs/>
                <w:sz w:val="24"/>
                <w:szCs w:val="24"/>
              </w:rPr>
            </w:pPr>
          </w:p>
          <w:p w:rsidR="00C92BD2" w:rsidRPr="00C92BD2" w:rsidRDefault="00C92BD2" w:rsidP="00FE1C02">
            <w:pPr>
              <w:suppressAutoHyphens/>
              <w:spacing w:before="120"/>
              <w:ind w:firstLine="426"/>
              <w:contextualSpacing/>
              <w:jc w:val="both"/>
              <w:rPr>
                <w:rFonts w:ascii="Times New Roman" w:hAnsi="Times New Roman" w:cs="Times New Roman"/>
                <w:bCs/>
                <w:sz w:val="24"/>
                <w:szCs w:val="24"/>
              </w:rPr>
            </w:pPr>
          </w:p>
        </w:tc>
        <w:tc>
          <w:tcPr>
            <w:tcW w:w="1652" w:type="pct"/>
          </w:tcPr>
          <w:p w:rsidR="00FE1C02" w:rsidRPr="00C92BD2" w:rsidRDefault="00FE1C02" w:rsidP="00FE1C02">
            <w:pPr>
              <w:pStyle w:val="rvps2"/>
              <w:shd w:val="clear" w:color="auto" w:fill="FFFFFF"/>
              <w:spacing w:before="0" w:beforeAutospacing="0" w:after="0" w:afterAutospacing="0" w:line="240" w:lineRule="atLeast"/>
              <w:jc w:val="both"/>
              <w:rPr>
                <w:b/>
                <w:lang w:val="uk-UA"/>
              </w:rPr>
            </w:pPr>
            <w:r w:rsidRPr="00C92BD2">
              <w:rPr>
                <w:b/>
                <w:lang w:val="uk-UA"/>
              </w:rPr>
              <w:lastRenderedPageBreak/>
              <w:t>За результатами проведеної спільної наради НКЦПФР та НДУ</w:t>
            </w:r>
          </w:p>
          <w:p w:rsidR="00FE1C02" w:rsidRPr="00C92BD2" w:rsidRDefault="00FE1C02" w:rsidP="00B810EC">
            <w:pPr>
              <w:pStyle w:val="rvps2"/>
              <w:spacing w:before="0" w:beforeAutospacing="0" w:after="0" w:afterAutospacing="0"/>
              <w:ind w:firstLine="567"/>
              <w:jc w:val="both"/>
              <w:rPr>
                <w:lang w:val="uk-UA" w:eastAsia="uk"/>
              </w:rPr>
            </w:pPr>
          </w:p>
          <w:p w:rsidR="00FE1C02" w:rsidRPr="00C92BD2" w:rsidRDefault="00FE1C02" w:rsidP="00B810EC">
            <w:pPr>
              <w:pStyle w:val="rvps2"/>
              <w:spacing w:before="0" w:beforeAutospacing="0" w:after="0" w:afterAutospacing="0"/>
              <w:ind w:firstLine="567"/>
              <w:jc w:val="both"/>
              <w:rPr>
                <w:lang w:val="uk-UA" w:eastAsia="uk"/>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FE1C02" w:rsidRPr="00C92BD2" w:rsidRDefault="00FE1C02" w:rsidP="00B810EC">
            <w:pPr>
              <w:ind w:firstLine="567"/>
              <w:jc w:val="both"/>
              <w:rPr>
                <w:rFonts w:ascii="Times New Roman" w:hAnsi="Times New Roman" w:cs="Times New Roman"/>
                <w:bCs/>
                <w:sz w:val="24"/>
                <w:szCs w:val="24"/>
              </w:rPr>
            </w:pPr>
          </w:p>
          <w:p w:rsidR="00B810EC" w:rsidRPr="00C92BD2" w:rsidRDefault="00B810EC" w:rsidP="00B810EC">
            <w:pPr>
              <w:ind w:firstLine="567"/>
              <w:jc w:val="both"/>
              <w:rPr>
                <w:rFonts w:ascii="Times New Roman" w:hAnsi="Times New Roman" w:cs="Times New Roman"/>
                <w:bCs/>
                <w:sz w:val="24"/>
                <w:szCs w:val="24"/>
              </w:rPr>
            </w:pPr>
            <w:r w:rsidRPr="00C92BD2">
              <w:rPr>
                <w:rFonts w:ascii="Times New Roman" w:hAnsi="Times New Roman" w:cs="Times New Roman"/>
                <w:bCs/>
                <w:sz w:val="24"/>
                <w:szCs w:val="24"/>
              </w:rPr>
              <w:lastRenderedPageBreak/>
              <w:t>1) відповідного розпорядження нової уповноваженої депозитарної установи, з якою учасником товариства укладений договір щодо обслуговування рахунку (рахунків) учасника товариства,</w:t>
            </w:r>
            <w:r w:rsidRPr="00C92BD2">
              <w:rPr>
                <w:rFonts w:ascii="Times New Roman" w:hAnsi="Times New Roman" w:cs="Times New Roman"/>
                <w:b/>
                <w:bCs/>
                <w:sz w:val="24"/>
                <w:szCs w:val="24"/>
              </w:rPr>
              <w:t xml:space="preserve"> та повідомлення попередньої уповноваженої депозитарної установи про згоду на переведення обслуговування рахунку учасника товариства - </w:t>
            </w:r>
            <w:r w:rsidRPr="00C92BD2">
              <w:rPr>
                <w:rFonts w:ascii="Times New Roman" w:hAnsi="Times New Roman" w:cs="Times New Roman"/>
                <w:bCs/>
                <w:sz w:val="24"/>
                <w:szCs w:val="24"/>
              </w:rPr>
              <w:t>у разі переведення обслуговування рахунку учасника товариства з однієї уповноваженої депозитарної установи до іншої;</w:t>
            </w: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Default="00417EB0" w:rsidP="00B810EC">
            <w:pPr>
              <w:ind w:firstLine="567"/>
              <w:jc w:val="both"/>
              <w:rPr>
                <w:rFonts w:ascii="Times New Roman" w:hAnsi="Times New Roman" w:cs="Times New Roman"/>
                <w:bCs/>
                <w:sz w:val="24"/>
                <w:szCs w:val="24"/>
              </w:rPr>
            </w:pPr>
          </w:p>
          <w:p w:rsidR="00E032BB" w:rsidRPr="00C92BD2" w:rsidRDefault="00E032BB" w:rsidP="00B810EC">
            <w:pPr>
              <w:ind w:firstLine="567"/>
              <w:jc w:val="both"/>
              <w:rPr>
                <w:rFonts w:ascii="Times New Roman" w:hAnsi="Times New Roman" w:cs="Times New Roman"/>
                <w:bCs/>
                <w:sz w:val="24"/>
                <w:szCs w:val="24"/>
              </w:rPr>
            </w:pPr>
          </w:p>
          <w:p w:rsidR="00B810EC" w:rsidRPr="00C92BD2" w:rsidRDefault="00B810EC" w:rsidP="00B810EC">
            <w:pPr>
              <w:ind w:firstLine="567"/>
              <w:jc w:val="both"/>
              <w:rPr>
                <w:rFonts w:ascii="Times New Roman" w:hAnsi="Times New Roman" w:cs="Times New Roman"/>
                <w:bCs/>
                <w:sz w:val="24"/>
                <w:szCs w:val="24"/>
              </w:rPr>
            </w:pPr>
            <w:r w:rsidRPr="00C92BD2">
              <w:rPr>
                <w:rFonts w:ascii="Times New Roman" w:hAnsi="Times New Roman" w:cs="Times New Roman"/>
                <w:bCs/>
                <w:sz w:val="24"/>
                <w:szCs w:val="24"/>
              </w:rPr>
              <w:t>2) відповідного розпорядження уповноваженої депозитарної установи, з якою учасником товариства укладений договір щодо обслуговування рахунку (рахунків) учасника товариства,</w:t>
            </w:r>
            <w:r w:rsidRPr="00C92BD2">
              <w:rPr>
                <w:rFonts w:ascii="Times New Roman" w:hAnsi="Times New Roman" w:cs="Times New Roman"/>
                <w:b/>
                <w:bCs/>
                <w:sz w:val="24"/>
                <w:szCs w:val="24"/>
              </w:rPr>
              <w:t xml:space="preserve"> та внутрішнього розпорядження Центрального депозитарію - </w:t>
            </w:r>
            <w:r w:rsidRPr="00C92BD2">
              <w:rPr>
                <w:rFonts w:ascii="Times New Roman" w:hAnsi="Times New Roman" w:cs="Times New Roman"/>
                <w:bCs/>
                <w:sz w:val="24"/>
                <w:szCs w:val="24"/>
              </w:rPr>
              <w:t>у разі переведення обслуговування рахунку учасника товариства з Центрального депозитарію</w:t>
            </w:r>
            <w:r w:rsidRPr="00C92BD2">
              <w:rPr>
                <w:lang w:eastAsia="uk"/>
              </w:rPr>
              <w:t xml:space="preserve"> </w:t>
            </w:r>
            <w:r w:rsidRPr="00C92BD2">
              <w:rPr>
                <w:rFonts w:ascii="Times New Roman" w:hAnsi="Times New Roman" w:cs="Times New Roman"/>
                <w:bCs/>
                <w:sz w:val="24"/>
                <w:szCs w:val="24"/>
              </w:rPr>
              <w:t>до уповноваженої депозитарної установи;</w:t>
            </w:r>
          </w:p>
          <w:p w:rsidR="00FE1C02" w:rsidRPr="00C92BD2" w:rsidRDefault="00FE1C02" w:rsidP="00B810EC">
            <w:pPr>
              <w:ind w:firstLine="567"/>
              <w:jc w:val="both"/>
              <w:rPr>
                <w:rFonts w:ascii="Times New Roman" w:hAnsi="Times New Roman" w:cs="Times New Roman"/>
                <w:bCs/>
                <w:sz w:val="24"/>
                <w:szCs w:val="24"/>
              </w:rPr>
            </w:pPr>
          </w:p>
          <w:p w:rsidR="00C92BD2" w:rsidRDefault="00C92BD2" w:rsidP="00B810EC">
            <w:pPr>
              <w:ind w:firstLine="567"/>
              <w:jc w:val="both"/>
              <w:rPr>
                <w:rFonts w:ascii="Times New Roman" w:hAnsi="Times New Roman" w:cs="Times New Roman"/>
                <w:bCs/>
                <w:sz w:val="24"/>
                <w:szCs w:val="24"/>
              </w:rPr>
            </w:pPr>
          </w:p>
          <w:p w:rsidR="00B810EC" w:rsidRPr="00C92BD2" w:rsidRDefault="00B810EC" w:rsidP="00B810EC">
            <w:pPr>
              <w:ind w:firstLine="567"/>
              <w:jc w:val="both"/>
              <w:rPr>
                <w:rFonts w:ascii="Times New Roman" w:hAnsi="Times New Roman" w:cs="Times New Roman"/>
                <w:bCs/>
                <w:sz w:val="24"/>
                <w:szCs w:val="24"/>
              </w:rPr>
            </w:pPr>
            <w:r w:rsidRPr="00C92BD2">
              <w:rPr>
                <w:rFonts w:ascii="Times New Roman" w:hAnsi="Times New Roman" w:cs="Times New Roman"/>
                <w:bCs/>
                <w:sz w:val="24"/>
                <w:szCs w:val="24"/>
              </w:rPr>
              <w:t>3) внутрішнього розпорядження Центрального депозитарію</w:t>
            </w:r>
            <w:r w:rsidRPr="00C92BD2">
              <w:rPr>
                <w:rFonts w:ascii="Times New Roman" w:hAnsi="Times New Roman" w:cs="Times New Roman"/>
                <w:b/>
                <w:bCs/>
                <w:sz w:val="24"/>
                <w:szCs w:val="24"/>
              </w:rPr>
              <w:t xml:space="preserve">, який </w:t>
            </w:r>
            <w:r w:rsidRPr="00C92BD2">
              <w:rPr>
                <w:rFonts w:ascii="Times New Roman" w:hAnsi="Times New Roman" w:cs="Times New Roman"/>
                <w:bCs/>
                <w:sz w:val="24"/>
                <w:szCs w:val="24"/>
              </w:rPr>
              <w:t xml:space="preserve">з відповідним учасником товариства уклав </w:t>
            </w:r>
            <w:r w:rsidRPr="00C92BD2">
              <w:rPr>
                <w:rFonts w:ascii="Times New Roman" w:hAnsi="Times New Roman" w:cs="Times New Roman"/>
                <w:b/>
                <w:bCs/>
                <w:sz w:val="24"/>
                <w:szCs w:val="24"/>
              </w:rPr>
              <w:t>договір</w:t>
            </w:r>
            <w:r w:rsidRPr="00C92BD2">
              <w:rPr>
                <w:rFonts w:ascii="Times New Roman" w:hAnsi="Times New Roman" w:cs="Times New Roman"/>
                <w:bCs/>
                <w:sz w:val="24"/>
                <w:szCs w:val="24"/>
              </w:rPr>
              <w:t xml:space="preserve"> щодо обслуговування рахунку (рахунків) учасника товариства, </w:t>
            </w:r>
            <w:r w:rsidRPr="00C92BD2">
              <w:rPr>
                <w:rFonts w:ascii="Times New Roman" w:hAnsi="Times New Roman" w:cs="Times New Roman"/>
                <w:b/>
                <w:bCs/>
                <w:sz w:val="24"/>
                <w:szCs w:val="24"/>
              </w:rPr>
              <w:t xml:space="preserve">та повідомлення </w:t>
            </w:r>
            <w:r w:rsidRPr="00C92BD2">
              <w:rPr>
                <w:rFonts w:ascii="Times New Roman" w:hAnsi="Times New Roman" w:cs="Times New Roman"/>
                <w:b/>
                <w:bCs/>
                <w:strike/>
                <w:sz w:val="24"/>
                <w:szCs w:val="24"/>
              </w:rPr>
              <w:t>попередньої</w:t>
            </w:r>
            <w:r w:rsidRPr="00C92BD2">
              <w:rPr>
                <w:rFonts w:ascii="Times New Roman" w:hAnsi="Times New Roman" w:cs="Times New Roman"/>
                <w:b/>
                <w:bCs/>
                <w:sz w:val="24"/>
                <w:szCs w:val="24"/>
              </w:rPr>
              <w:t xml:space="preserve"> уповноваженої депозитарної установи про згоду на переведення обслуговування рахунку учасника товариства</w:t>
            </w:r>
            <w:r w:rsidRPr="00C92BD2">
              <w:rPr>
                <w:rFonts w:ascii="Times New Roman" w:hAnsi="Times New Roman" w:cs="Times New Roman"/>
                <w:bCs/>
                <w:sz w:val="24"/>
                <w:szCs w:val="24"/>
              </w:rPr>
              <w:t xml:space="preserve"> - у разі переведення обслуговування рахунку учасника товариства з уповноваженої депозитарної установи до Центрального депозитарію.</w:t>
            </w:r>
          </w:p>
          <w:p w:rsidR="000A7ABC" w:rsidRPr="00C92BD2" w:rsidRDefault="000A7ABC" w:rsidP="00B810EC">
            <w:pPr>
              <w:ind w:firstLine="567"/>
              <w:jc w:val="both"/>
              <w:rPr>
                <w:rFonts w:ascii="Times New Roman" w:hAnsi="Times New Roman" w:cs="Times New Roman"/>
                <w:bCs/>
                <w:sz w:val="24"/>
                <w:szCs w:val="24"/>
              </w:rPr>
            </w:pPr>
          </w:p>
          <w:p w:rsidR="000A7ABC" w:rsidRPr="00C92BD2" w:rsidRDefault="000A7ABC"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417EB0" w:rsidRPr="00C92BD2" w:rsidRDefault="00417EB0" w:rsidP="00B810EC">
            <w:pPr>
              <w:ind w:firstLine="567"/>
              <w:jc w:val="both"/>
              <w:rPr>
                <w:rFonts w:ascii="Times New Roman" w:hAnsi="Times New Roman" w:cs="Times New Roman"/>
                <w:bCs/>
                <w:sz w:val="24"/>
                <w:szCs w:val="24"/>
              </w:rPr>
            </w:pPr>
          </w:p>
          <w:p w:rsidR="00C92BD2" w:rsidRDefault="00C92BD2" w:rsidP="00B810EC">
            <w:pPr>
              <w:ind w:firstLine="567"/>
              <w:jc w:val="both"/>
              <w:rPr>
                <w:rFonts w:ascii="Times New Roman" w:hAnsi="Times New Roman" w:cs="Times New Roman"/>
                <w:b/>
                <w:bCs/>
                <w:sz w:val="24"/>
                <w:szCs w:val="24"/>
              </w:rPr>
            </w:pPr>
          </w:p>
          <w:p w:rsidR="00B810EC" w:rsidRPr="00C92BD2" w:rsidRDefault="00B810EC" w:rsidP="00B810EC">
            <w:pPr>
              <w:ind w:firstLine="567"/>
              <w:jc w:val="both"/>
              <w:rPr>
                <w:rFonts w:ascii="Times New Roman" w:hAnsi="Times New Roman" w:cs="Times New Roman"/>
                <w:b/>
                <w:bCs/>
                <w:sz w:val="24"/>
                <w:szCs w:val="24"/>
              </w:rPr>
            </w:pPr>
            <w:r w:rsidRPr="00C92BD2">
              <w:rPr>
                <w:rFonts w:ascii="Times New Roman" w:hAnsi="Times New Roman" w:cs="Times New Roman"/>
                <w:b/>
                <w:bCs/>
                <w:sz w:val="24"/>
                <w:szCs w:val="24"/>
              </w:rPr>
              <w:t xml:space="preserve">Повідомлення про згоду на переведення обслуговування рахунку учасника товариства (надалі – Повідомлення про згоду на переведення) надається попередньою уповноваженою депозитарною установою за формою, встановленою Центральним депозитарієм, не пізніше трьох робочих днів з дня надання Центральним депозитарієм попередній </w:t>
            </w:r>
            <w:r w:rsidRPr="00C92BD2">
              <w:rPr>
                <w:rFonts w:ascii="Times New Roman" w:hAnsi="Times New Roman" w:cs="Times New Roman"/>
                <w:b/>
                <w:bCs/>
                <w:sz w:val="24"/>
                <w:szCs w:val="24"/>
              </w:rPr>
              <w:lastRenderedPageBreak/>
              <w:t>уповноваженій депозитарній установі у порядку, передбаченому внутрішніми документами Центрального депозитарію та/або укладеним з уповноваженою депозитарною установою договором, запиту щодо надання такого Повідомлення про згоду на переведення. Повідомлення про згоду на переведення не вимагається та не надається попередньою уповноваженою депозитарною установою у випадках, визначених пунктами 24 та 33 цього Порядку.</w:t>
            </w:r>
          </w:p>
          <w:p w:rsidR="00B810EC" w:rsidRPr="00C92BD2" w:rsidRDefault="00B810EC" w:rsidP="00B810EC">
            <w:pPr>
              <w:ind w:firstLine="567"/>
              <w:jc w:val="both"/>
              <w:rPr>
                <w:rFonts w:ascii="Times New Roman" w:hAnsi="Times New Roman" w:cs="Times New Roman"/>
                <w:b/>
                <w:bCs/>
                <w:sz w:val="24"/>
                <w:szCs w:val="24"/>
              </w:rPr>
            </w:pPr>
            <w:r w:rsidRPr="00C92BD2">
              <w:rPr>
                <w:rFonts w:ascii="Times New Roman" w:hAnsi="Times New Roman" w:cs="Times New Roman"/>
                <w:b/>
                <w:bCs/>
                <w:sz w:val="24"/>
                <w:szCs w:val="24"/>
              </w:rPr>
              <w:t>Попередня уповноважена депозитарна установа вправі відмовитися від надання Повідомлення про згоду на переведення у випадках, прямо передбачених укладеним нею з учасником товариства договором щодо обслуговування рахунку (рахунків) учасника товариства. В такому випадку попередня уповноважена депозитарна установа зобов’язана не пізніше трьох робочих днів з дня надання Центральним депозитарієм запиту щодо надання Повідомлення про згоду на переведення надати Центральному депозитарію та учаснику товариства відповідне повідомлення про відмову від надання згоди на переведення з вказівкою причин відмови.</w:t>
            </w:r>
          </w:p>
          <w:p w:rsidR="004A6F9F" w:rsidRDefault="00B810EC" w:rsidP="00B810EC">
            <w:pPr>
              <w:pStyle w:val="rvps2"/>
              <w:shd w:val="clear" w:color="auto" w:fill="FFFFFF"/>
              <w:spacing w:before="0" w:beforeAutospacing="0" w:after="0" w:afterAutospacing="0" w:line="240" w:lineRule="atLeast"/>
              <w:jc w:val="both"/>
              <w:rPr>
                <w:b/>
                <w:bCs/>
                <w:lang w:val="uk-UA"/>
              </w:rPr>
            </w:pPr>
            <w:r w:rsidRPr="00C92BD2">
              <w:rPr>
                <w:b/>
                <w:bCs/>
                <w:lang w:val="uk-UA"/>
              </w:rPr>
              <w:t xml:space="preserve">У випадку, якщо протягом трьох робочих днів з дня надання Центральним депозитарієм попередній уповноваженій </w:t>
            </w:r>
            <w:r w:rsidRPr="00C92BD2">
              <w:rPr>
                <w:b/>
                <w:bCs/>
                <w:lang w:val="uk-UA"/>
              </w:rPr>
              <w:lastRenderedPageBreak/>
              <w:t>депозитарній установі запиту щодо надання Повідомлення про згоду на переведення така попередня уповноважена депозитарна установа не надала Центральному депозитарію Повідомлення про згоду на переведення або повідомлення про відмову від надання згоди на переведення, то вважається, що така попередня уповноважена депозитарна установа є такою, що надала Повідомлення про згоду на переведення за мовчазною згодою.</w:t>
            </w:r>
          </w:p>
          <w:p w:rsidR="00BA78B5" w:rsidRDefault="00BA78B5" w:rsidP="00B810EC">
            <w:pPr>
              <w:pStyle w:val="rvps2"/>
              <w:shd w:val="clear" w:color="auto" w:fill="FFFFFF"/>
              <w:spacing w:before="0" w:beforeAutospacing="0" w:after="0" w:afterAutospacing="0" w:line="240" w:lineRule="atLeast"/>
              <w:jc w:val="both"/>
              <w:rPr>
                <w:b/>
                <w:bCs/>
                <w:lang w:val="uk-UA"/>
              </w:rPr>
            </w:pPr>
          </w:p>
          <w:p w:rsidR="00BA78B5" w:rsidRPr="00C92BD2" w:rsidRDefault="00BA78B5" w:rsidP="00B810EC">
            <w:pPr>
              <w:pStyle w:val="rvps2"/>
              <w:shd w:val="clear" w:color="auto" w:fill="FFFFFF"/>
              <w:spacing w:before="0" w:beforeAutospacing="0" w:after="0" w:afterAutospacing="0" w:line="240" w:lineRule="atLeast"/>
              <w:jc w:val="both"/>
              <w:rPr>
                <w:lang w:val="uk-UA"/>
              </w:rPr>
            </w:pPr>
          </w:p>
        </w:tc>
        <w:tc>
          <w:tcPr>
            <w:tcW w:w="1590" w:type="pct"/>
          </w:tcPr>
          <w:p w:rsidR="004A6F9F" w:rsidRPr="00C92BD2" w:rsidRDefault="004A6F9F"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FE1C02" w:rsidRPr="00C92BD2" w:rsidRDefault="00FE1C02" w:rsidP="00DA2D50">
            <w:pPr>
              <w:pStyle w:val="rvps2"/>
              <w:shd w:val="clear" w:color="auto" w:fill="FFFFFF"/>
              <w:spacing w:before="0" w:beforeAutospacing="0" w:after="0" w:afterAutospacing="0" w:line="240" w:lineRule="atLeast"/>
              <w:jc w:val="both"/>
              <w:rPr>
                <w:lang w:val="uk-UA"/>
              </w:rPr>
            </w:pPr>
          </w:p>
          <w:p w:rsidR="00FE1C02" w:rsidRPr="00C92BD2" w:rsidRDefault="00FE1C02" w:rsidP="00DA2D50">
            <w:pPr>
              <w:pStyle w:val="rvps2"/>
              <w:shd w:val="clear" w:color="auto" w:fill="FFFFFF"/>
              <w:spacing w:before="0" w:beforeAutospacing="0" w:after="0" w:afterAutospacing="0" w:line="240" w:lineRule="atLeast"/>
              <w:jc w:val="both"/>
              <w:rPr>
                <w:lang w:val="uk-UA"/>
              </w:rPr>
            </w:pPr>
          </w:p>
          <w:p w:rsidR="00FE1C02" w:rsidRPr="00C92BD2" w:rsidRDefault="00FE1C02" w:rsidP="00DA2D50">
            <w:pPr>
              <w:pStyle w:val="rvps2"/>
              <w:shd w:val="clear" w:color="auto" w:fill="FFFFFF"/>
              <w:spacing w:before="0" w:beforeAutospacing="0" w:after="0" w:afterAutospacing="0" w:line="240" w:lineRule="atLeast"/>
              <w:jc w:val="both"/>
              <w:rPr>
                <w:lang w:val="uk-UA"/>
              </w:rPr>
            </w:pPr>
          </w:p>
          <w:p w:rsidR="00FE1C02" w:rsidRPr="00C92BD2" w:rsidRDefault="00FE1C02" w:rsidP="00DA2D50">
            <w:pPr>
              <w:pStyle w:val="rvps2"/>
              <w:shd w:val="clear" w:color="auto" w:fill="FFFFFF"/>
              <w:spacing w:before="0" w:beforeAutospacing="0" w:after="0" w:afterAutospacing="0" w:line="240" w:lineRule="atLeast"/>
              <w:jc w:val="both"/>
              <w:rPr>
                <w:lang w:val="uk-UA"/>
              </w:rPr>
            </w:pPr>
          </w:p>
          <w:p w:rsidR="00FE1C02" w:rsidRPr="00C92BD2" w:rsidRDefault="00FE1C0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FE1C02" w:rsidRPr="00C92BD2" w:rsidRDefault="00FE1C02" w:rsidP="00FE1C02">
            <w:pPr>
              <w:jc w:val="both"/>
              <w:rPr>
                <w:rFonts w:ascii="Times New Roman" w:hAnsi="Times New Roman" w:cs="Times New Roman"/>
                <w:b/>
                <w:bCs/>
                <w:sz w:val="24"/>
                <w:szCs w:val="24"/>
              </w:rPr>
            </w:pPr>
            <w:r w:rsidRPr="00C92BD2">
              <w:rPr>
                <w:rFonts w:ascii="Times New Roman" w:hAnsi="Times New Roman" w:cs="Times New Roman"/>
                <w:b/>
                <w:bCs/>
                <w:sz w:val="24"/>
                <w:szCs w:val="24"/>
              </w:rPr>
              <w:lastRenderedPageBreak/>
              <w:t>Враховано</w:t>
            </w:r>
            <w:r w:rsidR="0081031A" w:rsidRPr="00C92BD2">
              <w:rPr>
                <w:rFonts w:ascii="Times New Roman" w:hAnsi="Times New Roman" w:cs="Times New Roman"/>
                <w:b/>
                <w:bCs/>
                <w:sz w:val="24"/>
                <w:szCs w:val="24"/>
              </w:rPr>
              <w:t xml:space="preserve"> редакційно</w:t>
            </w:r>
            <w:r w:rsidR="00AB4851" w:rsidRPr="00C92BD2">
              <w:rPr>
                <w:rFonts w:ascii="Times New Roman" w:hAnsi="Times New Roman" w:cs="Times New Roman"/>
                <w:b/>
                <w:bCs/>
                <w:sz w:val="24"/>
                <w:szCs w:val="24"/>
              </w:rPr>
              <w:t>.</w:t>
            </w:r>
          </w:p>
          <w:p w:rsidR="00FE1C02" w:rsidRPr="00C92BD2" w:rsidRDefault="0081031A" w:rsidP="00DA2D50">
            <w:pPr>
              <w:pStyle w:val="rvps2"/>
              <w:shd w:val="clear" w:color="auto" w:fill="FFFFFF"/>
              <w:spacing w:before="0" w:beforeAutospacing="0" w:after="0" w:afterAutospacing="0" w:line="240" w:lineRule="atLeast"/>
              <w:jc w:val="both"/>
              <w:rPr>
                <w:lang w:val="uk-UA"/>
              </w:rPr>
            </w:pPr>
            <w:r w:rsidRPr="00C92BD2">
              <w:rPr>
                <w:lang w:val="uk-UA"/>
              </w:rPr>
              <w:t>1) відповідного розпорядження нової уповноваженої депозитарної установи, з якою учасником товариства укладений договір щодо обслуговування рахунку (рахунків) учасника товариства,</w:t>
            </w:r>
            <w:r w:rsidRPr="00C92BD2">
              <w:rPr>
                <w:b/>
                <w:lang w:val="uk-UA"/>
              </w:rPr>
              <w:t xml:space="preserve"> та повідомлення попередньої уповноваженої депозитарної установи про згоду на переведення обслуговування рахунку учасника товариства, якщо умовами укладеного нею з учасником товариства договору щодо обслуговування рахунку (рахунків) учасника товариства передбачено надання такої згоди та підстави відмови на переведення обслуговування рахунку учасника товариства до іншої особи </w:t>
            </w:r>
            <w:r w:rsidRPr="00C92BD2">
              <w:rPr>
                <w:lang w:val="uk-UA"/>
              </w:rPr>
              <w:t>- у разі переведення обслуговування рахунку учасника товариства з однієї уповноваженої депозитарної установи до іншої;</w:t>
            </w:r>
          </w:p>
          <w:p w:rsidR="00E032BB" w:rsidRDefault="00E032BB" w:rsidP="00DA2D50">
            <w:pPr>
              <w:pStyle w:val="rvps2"/>
              <w:shd w:val="clear" w:color="auto" w:fill="FFFFFF"/>
              <w:spacing w:before="0" w:beforeAutospacing="0" w:after="0" w:afterAutospacing="0" w:line="240" w:lineRule="atLeast"/>
              <w:jc w:val="both"/>
              <w:rPr>
                <w:b/>
                <w:lang w:val="uk-UA"/>
              </w:rPr>
            </w:pPr>
          </w:p>
          <w:p w:rsidR="00FE1C02" w:rsidRPr="00C92BD2" w:rsidRDefault="00E032BB" w:rsidP="00DA2D50">
            <w:pPr>
              <w:pStyle w:val="rvps2"/>
              <w:shd w:val="clear" w:color="auto" w:fill="FFFFFF"/>
              <w:spacing w:before="0" w:beforeAutospacing="0" w:after="0" w:afterAutospacing="0" w:line="240" w:lineRule="atLeast"/>
              <w:jc w:val="both"/>
              <w:rPr>
                <w:b/>
                <w:lang w:val="uk-UA"/>
              </w:rPr>
            </w:pPr>
            <w:r>
              <w:rPr>
                <w:b/>
                <w:lang w:val="uk-UA"/>
              </w:rPr>
              <w:t>Враховано</w:t>
            </w: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417EB0" w:rsidRPr="00C92BD2" w:rsidRDefault="00417EB0" w:rsidP="00DA2D50">
            <w:pPr>
              <w:pStyle w:val="rvps2"/>
              <w:shd w:val="clear" w:color="auto" w:fill="FFFFFF"/>
              <w:spacing w:before="0" w:beforeAutospacing="0" w:after="0" w:afterAutospacing="0" w:line="240" w:lineRule="atLeast"/>
              <w:jc w:val="both"/>
              <w:rPr>
                <w:b/>
                <w:lang w:val="uk-UA"/>
              </w:rPr>
            </w:pPr>
          </w:p>
          <w:p w:rsidR="00FE1C02" w:rsidRPr="00C92BD2" w:rsidRDefault="0081031A" w:rsidP="00DA2D50">
            <w:pPr>
              <w:pStyle w:val="rvps2"/>
              <w:shd w:val="clear" w:color="auto" w:fill="FFFFFF"/>
              <w:spacing w:before="0" w:beforeAutospacing="0" w:after="0" w:afterAutospacing="0" w:line="240" w:lineRule="atLeast"/>
              <w:jc w:val="both"/>
              <w:rPr>
                <w:b/>
                <w:lang w:val="uk-UA"/>
              </w:rPr>
            </w:pPr>
            <w:r w:rsidRPr="00C92BD2">
              <w:rPr>
                <w:b/>
                <w:lang w:val="uk-UA"/>
              </w:rPr>
              <w:lastRenderedPageBreak/>
              <w:t>Враховано редакційно.</w:t>
            </w:r>
          </w:p>
          <w:p w:rsidR="00E42482" w:rsidRPr="00C92BD2" w:rsidRDefault="0081031A" w:rsidP="00DA2D50">
            <w:pPr>
              <w:pStyle w:val="rvps2"/>
              <w:shd w:val="clear" w:color="auto" w:fill="FFFFFF"/>
              <w:spacing w:before="0" w:beforeAutospacing="0" w:after="0" w:afterAutospacing="0" w:line="240" w:lineRule="atLeast"/>
              <w:jc w:val="both"/>
              <w:rPr>
                <w:lang w:val="uk-UA"/>
              </w:rPr>
            </w:pPr>
            <w:r w:rsidRPr="00C92BD2">
              <w:rPr>
                <w:lang w:val="uk-UA"/>
              </w:rPr>
              <w:t xml:space="preserve">3) внутрішнього розпорядження Центрального депозитарію, </w:t>
            </w:r>
            <w:r w:rsidRPr="00C92BD2">
              <w:rPr>
                <w:b/>
                <w:lang w:val="uk-UA"/>
              </w:rPr>
              <w:t>який</w:t>
            </w:r>
            <w:r w:rsidRPr="00C92BD2">
              <w:rPr>
                <w:lang w:val="uk-UA"/>
              </w:rPr>
              <w:t xml:space="preserve"> з відповідним учасником товариства уклав </w:t>
            </w:r>
            <w:r w:rsidRPr="00C92BD2">
              <w:rPr>
                <w:b/>
                <w:lang w:val="uk-UA"/>
              </w:rPr>
              <w:t>договір</w:t>
            </w:r>
            <w:r w:rsidRPr="00C92BD2">
              <w:rPr>
                <w:lang w:val="uk-UA"/>
              </w:rPr>
              <w:t xml:space="preserve"> щодо обслуговування рахунку (рахунків) учасника товариства, </w:t>
            </w:r>
            <w:r w:rsidRPr="00C92BD2">
              <w:rPr>
                <w:b/>
                <w:lang w:val="uk-UA"/>
              </w:rPr>
              <w:t>та повідомлення уповноваженої</w:t>
            </w:r>
            <w:r w:rsidRPr="00C92BD2">
              <w:rPr>
                <w:lang w:val="uk-UA"/>
              </w:rPr>
              <w:t xml:space="preserve"> </w:t>
            </w:r>
            <w:r w:rsidRPr="00C92BD2">
              <w:rPr>
                <w:b/>
                <w:lang w:val="uk-UA"/>
              </w:rPr>
              <w:t>депозитарної установи про згоду на переведення обслуговування рахунку учасника товариства, якщо умовами укладеного нею з учасником товариства договору щодо обслуговування рахунку (рахунків) учасника товариства передбачено надання такої згоди та підстави відмови на переведення обслуговування рахунку учасника товариства до іншої особи</w:t>
            </w:r>
            <w:r w:rsidRPr="00C92BD2">
              <w:rPr>
                <w:lang w:val="uk-UA"/>
              </w:rPr>
              <w:t xml:space="preserve"> - у разі переведення обслуговування рахунку учасника товариства з уповноваженої депозитарної установи до Центрального депозитарію.</w:t>
            </w: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27416C" w:rsidRPr="00C92BD2" w:rsidRDefault="00AB4851" w:rsidP="00E831C5">
            <w:pPr>
              <w:jc w:val="both"/>
              <w:rPr>
                <w:rFonts w:ascii="Times New Roman" w:hAnsi="Times New Roman" w:cs="Times New Roman"/>
                <w:b/>
                <w:bCs/>
                <w:sz w:val="24"/>
                <w:szCs w:val="24"/>
              </w:rPr>
            </w:pPr>
            <w:r w:rsidRPr="00C92BD2">
              <w:rPr>
                <w:rFonts w:ascii="Times New Roman" w:hAnsi="Times New Roman" w:cs="Times New Roman"/>
                <w:b/>
                <w:bCs/>
                <w:sz w:val="24"/>
                <w:szCs w:val="24"/>
              </w:rPr>
              <w:t>Враховано редакційно.</w:t>
            </w:r>
          </w:p>
          <w:p w:rsidR="00E42482" w:rsidRPr="00C92BD2" w:rsidRDefault="00417EB0" w:rsidP="00E42482">
            <w:pPr>
              <w:ind w:firstLine="567"/>
              <w:jc w:val="both"/>
              <w:rPr>
                <w:rFonts w:ascii="Times New Roman" w:hAnsi="Times New Roman" w:cs="Times New Roman"/>
                <w:b/>
                <w:bCs/>
                <w:sz w:val="24"/>
                <w:szCs w:val="24"/>
              </w:rPr>
            </w:pPr>
            <w:r w:rsidRPr="00C92BD2">
              <w:rPr>
                <w:rFonts w:ascii="Times New Roman" w:hAnsi="Times New Roman" w:cs="Times New Roman"/>
                <w:b/>
                <w:bCs/>
                <w:sz w:val="24"/>
                <w:szCs w:val="24"/>
              </w:rPr>
              <w:t xml:space="preserve">Уповноважена депозитарна установа, якій Центральний депозитарій надав запит про надання згоди на переведення обслуговування рахунку учасника товариства, за формою та у порядку, передбаченому внутрішніми документами Центрального депозитарію та/або укладеним з Центральним депозитарієм договором, не пізніше трьох </w:t>
            </w:r>
            <w:r w:rsidRPr="00C92BD2">
              <w:rPr>
                <w:rFonts w:ascii="Times New Roman" w:hAnsi="Times New Roman" w:cs="Times New Roman"/>
                <w:b/>
                <w:bCs/>
                <w:sz w:val="24"/>
                <w:szCs w:val="24"/>
              </w:rPr>
              <w:lastRenderedPageBreak/>
              <w:t>робочих днів з дня його надання надає Центральному депозитарію повідомлення про згоду / відмову на переведення обслуговування рахунку учасника товариства.</w:t>
            </w:r>
          </w:p>
          <w:p w:rsidR="00E42482" w:rsidRPr="00C92BD2" w:rsidRDefault="00E42482" w:rsidP="00E42482">
            <w:pPr>
              <w:ind w:firstLine="567"/>
              <w:jc w:val="both"/>
              <w:rPr>
                <w:rFonts w:ascii="Times New Roman" w:hAnsi="Times New Roman" w:cs="Times New Roman"/>
                <w:b/>
                <w:bCs/>
                <w:sz w:val="24"/>
                <w:szCs w:val="24"/>
              </w:rPr>
            </w:pPr>
            <w:r w:rsidRPr="00C92BD2">
              <w:rPr>
                <w:rFonts w:ascii="Times New Roman" w:hAnsi="Times New Roman" w:cs="Times New Roman"/>
                <w:b/>
                <w:bCs/>
                <w:sz w:val="24"/>
                <w:szCs w:val="24"/>
              </w:rPr>
              <w:t>Повідомлення про відмову на переведення обслуговування рахунку учасника товариства надається Центральному депозитарію та учаснику товариства із зазначенням підстав такої відмови, передбачених укладеним з учасником товариства договором щодо обслуговування рахунку (рахунків) учасника товариства.</w:t>
            </w:r>
          </w:p>
          <w:p w:rsidR="00E42482" w:rsidRPr="00C92BD2" w:rsidRDefault="005D37FB" w:rsidP="00E42482">
            <w:pPr>
              <w:ind w:firstLine="720"/>
              <w:jc w:val="both"/>
              <w:rPr>
                <w:rFonts w:ascii="Times New Roman" w:hAnsi="Times New Roman" w:cs="Times New Roman"/>
                <w:b/>
                <w:bCs/>
                <w:sz w:val="24"/>
                <w:szCs w:val="24"/>
              </w:rPr>
            </w:pPr>
            <w:r w:rsidRPr="00C92BD2">
              <w:rPr>
                <w:rFonts w:ascii="Times New Roman" w:hAnsi="Times New Roman" w:cs="Times New Roman"/>
                <w:b/>
                <w:bCs/>
                <w:sz w:val="24"/>
                <w:szCs w:val="24"/>
              </w:rPr>
              <w:t xml:space="preserve">У разі якщо протягом трьох робочих днів з дня надання Центральним депозитарієм </w:t>
            </w:r>
            <w:r w:rsidR="00417EB0" w:rsidRPr="00C92BD2">
              <w:rPr>
                <w:rFonts w:ascii="Times New Roman" w:hAnsi="Times New Roman" w:cs="Times New Roman"/>
                <w:b/>
                <w:bCs/>
                <w:sz w:val="24"/>
                <w:szCs w:val="24"/>
              </w:rPr>
              <w:t>відповідній</w:t>
            </w:r>
            <w:r w:rsidRPr="00C92BD2">
              <w:rPr>
                <w:rFonts w:ascii="Times New Roman" w:hAnsi="Times New Roman" w:cs="Times New Roman"/>
                <w:b/>
                <w:bCs/>
                <w:sz w:val="24"/>
                <w:szCs w:val="24"/>
              </w:rPr>
              <w:t xml:space="preserve"> уповноваженій депозитарній установі запиту про надання згоди на переведення обслуговування рахунку учасника товариства така уповноважена депозитарна установа не надала Центральному депозитарію повідомлення про згоду / відмову на переведення обслуговування рахунку учасника товариства, то вважається, що за мовчазною згодою </w:t>
            </w:r>
            <w:r w:rsidR="00417EB0" w:rsidRPr="00C92BD2">
              <w:rPr>
                <w:rFonts w:ascii="Times New Roman" w:hAnsi="Times New Roman" w:cs="Times New Roman"/>
                <w:b/>
                <w:bCs/>
                <w:sz w:val="24"/>
                <w:szCs w:val="24"/>
              </w:rPr>
              <w:t>цією</w:t>
            </w:r>
            <w:r w:rsidRPr="00C92BD2">
              <w:rPr>
                <w:rFonts w:ascii="Times New Roman" w:hAnsi="Times New Roman" w:cs="Times New Roman"/>
                <w:b/>
                <w:bCs/>
                <w:sz w:val="24"/>
                <w:szCs w:val="24"/>
              </w:rPr>
              <w:t xml:space="preserve"> уповноваженою депозитарною установою надана згода на переведення обслуговування рахунку учасника товариства, яка є підставою для внесення змін до облікової системи часток </w:t>
            </w:r>
            <w:r w:rsidRPr="00C92BD2">
              <w:rPr>
                <w:rFonts w:ascii="Times New Roman" w:hAnsi="Times New Roman" w:cs="Times New Roman"/>
                <w:b/>
                <w:bCs/>
                <w:sz w:val="24"/>
                <w:szCs w:val="24"/>
              </w:rPr>
              <w:lastRenderedPageBreak/>
              <w:t>у випадках, передбачених підпунктами 1</w:t>
            </w:r>
            <w:r w:rsidR="00417EB0" w:rsidRPr="00C92BD2">
              <w:rPr>
                <w:rFonts w:ascii="Times New Roman" w:hAnsi="Times New Roman" w:cs="Times New Roman"/>
                <w:b/>
                <w:bCs/>
                <w:sz w:val="24"/>
                <w:szCs w:val="24"/>
              </w:rPr>
              <w:t>,</w:t>
            </w:r>
            <w:r w:rsidRPr="00C92BD2">
              <w:rPr>
                <w:rFonts w:ascii="Times New Roman" w:hAnsi="Times New Roman" w:cs="Times New Roman"/>
                <w:b/>
                <w:bCs/>
                <w:sz w:val="24"/>
                <w:szCs w:val="24"/>
              </w:rPr>
              <w:t xml:space="preserve"> 3 цього пункту.</w:t>
            </w:r>
          </w:p>
          <w:p w:rsidR="00E42482" w:rsidRPr="00C92BD2" w:rsidRDefault="00E42482" w:rsidP="00E42482">
            <w:pPr>
              <w:ind w:firstLine="720"/>
              <w:jc w:val="both"/>
              <w:rPr>
                <w:rFonts w:ascii="Times New Roman" w:hAnsi="Times New Roman" w:cs="Times New Roman"/>
                <w:b/>
                <w:bCs/>
                <w:sz w:val="24"/>
                <w:szCs w:val="24"/>
              </w:rPr>
            </w:pPr>
            <w:r w:rsidRPr="00C92BD2">
              <w:rPr>
                <w:rFonts w:ascii="Times New Roman" w:hAnsi="Times New Roman" w:cs="Times New Roman"/>
                <w:b/>
                <w:bCs/>
                <w:sz w:val="24"/>
                <w:szCs w:val="24"/>
              </w:rPr>
              <w:t>Повідомлення про згоду на переведення не вимагається та не надається уповноваженою депозитарною установою у випадках, визначених пунктами 24 та 33 цього Порядку.</w:t>
            </w:r>
          </w:p>
          <w:p w:rsidR="00E42482" w:rsidRPr="00C92BD2" w:rsidRDefault="00E42482" w:rsidP="00E42482">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p w:rsidR="00E42482" w:rsidRPr="00C92BD2" w:rsidRDefault="00E42482" w:rsidP="00DA2D50">
            <w:pPr>
              <w:pStyle w:val="rvps2"/>
              <w:shd w:val="clear" w:color="auto" w:fill="FFFFFF"/>
              <w:spacing w:before="0" w:beforeAutospacing="0" w:after="0" w:afterAutospacing="0" w:line="240" w:lineRule="atLeast"/>
              <w:jc w:val="both"/>
              <w:rPr>
                <w:lang w:val="uk-UA"/>
              </w:rPr>
            </w:pPr>
          </w:p>
        </w:tc>
      </w:tr>
      <w:tr w:rsidR="00C92BD2" w:rsidRPr="00C92BD2" w:rsidTr="001422E3">
        <w:tc>
          <w:tcPr>
            <w:tcW w:w="1758" w:type="pct"/>
          </w:tcPr>
          <w:p w:rsidR="00B810EC" w:rsidRPr="00C92BD2" w:rsidRDefault="00B810EC" w:rsidP="00B810EC">
            <w:pPr>
              <w:ind w:firstLine="567"/>
              <w:jc w:val="both"/>
              <w:rPr>
                <w:rFonts w:ascii="Times New Roman" w:hAnsi="Times New Roman" w:cs="Times New Roman"/>
                <w:sz w:val="24"/>
                <w:szCs w:val="24"/>
              </w:rPr>
            </w:pPr>
            <w:r w:rsidRPr="00C92BD2">
              <w:rPr>
                <w:rFonts w:ascii="Times New Roman" w:hAnsi="Times New Roman" w:cs="Times New Roman"/>
                <w:sz w:val="24"/>
                <w:szCs w:val="24"/>
              </w:rPr>
              <w:lastRenderedPageBreak/>
              <w:t xml:space="preserve">24. Для обліку часток, які є об'єктами державної власності та управління якими здійснюється органами державної влади або іншими органами, визначеними Законом України "Про управління об'єктами державної власності", які не є суб'єктами господарювання, рахунки учасника товариства у обліковій системі часток відкриваються на ім'я держави в розрізі кожного із суб'єктів управління об'єктами державної власності, які відповідно до законодавства та в межах повноважень, визначених законом, рішенням Кабінету Міністрів України, виконують функції з управління відповідними частками товариств (далі - суб'єкт управління) окремо для кожної частки, якою володіє держава, та управління якою здійснює цей суб'єкт управління. Керуючим рахунком учасника товариства - держави є суб'єкт управління. Рахунок учасника </w:t>
            </w:r>
            <w:r w:rsidRPr="00C92BD2">
              <w:rPr>
                <w:rFonts w:ascii="Times New Roman" w:hAnsi="Times New Roman" w:cs="Times New Roman"/>
                <w:sz w:val="24"/>
                <w:szCs w:val="24"/>
              </w:rPr>
              <w:lastRenderedPageBreak/>
              <w:t>товариства - держави відкривається в обліковій системі часток із зазначенням відомостей про суб'єкта управління в порядку, передбаченому внутрішніми документами Центрального депозитарію.</w:t>
            </w:r>
          </w:p>
          <w:p w:rsidR="004A6F9F" w:rsidRPr="00C92BD2" w:rsidRDefault="00B810EC" w:rsidP="00B810EC">
            <w:pPr>
              <w:pStyle w:val="rvps2"/>
              <w:shd w:val="clear" w:color="auto" w:fill="FFFFFF"/>
              <w:spacing w:before="0" w:beforeAutospacing="0" w:after="0" w:afterAutospacing="0" w:line="240" w:lineRule="atLeast"/>
              <w:jc w:val="both"/>
              <w:rPr>
                <w:lang w:val="uk-UA"/>
              </w:rPr>
            </w:pPr>
            <w:r w:rsidRPr="00C92BD2">
              <w:rPr>
                <w:lang w:val="uk-UA"/>
              </w:rPr>
              <w:t>Договір щодо обслуговування рахунку (рахунків) учасника товариства в обліковій системі часток на ім'я держави укладається між суб'єктом управління та Центральним депозитарієм або уповноваженою депозитарною установою.</w:t>
            </w:r>
          </w:p>
          <w:p w:rsidR="00B810EC" w:rsidRPr="00C92BD2" w:rsidRDefault="00B810EC" w:rsidP="00B810EC">
            <w:pPr>
              <w:pStyle w:val="a8"/>
              <w:spacing w:before="0" w:beforeAutospacing="0" w:after="0" w:afterAutospacing="0"/>
              <w:ind w:firstLine="567"/>
              <w:jc w:val="both"/>
              <w:rPr>
                <w:bCs/>
              </w:rPr>
            </w:pPr>
            <w:r w:rsidRPr="00C92BD2">
              <w:rPr>
                <w:bCs/>
              </w:rPr>
              <w:t>Внесення змін до облікової системи часток щодо переведення обслуговування рахунку учасника товариства – держави з уповноваженої депозитарної установи / Центрального депозитарію</w:t>
            </w:r>
            <w:r w:rsidRPr="00C92BD2">
              <w:rPr>
                <w:lang w:eastAsia="uk"/>
              </w:rPr>
              <w:t xml:space="preserve"> </w:t>
            </w:r>
            <w:r w:rsidRPr="00C92BD2">
              <w:rPr>
                <w:bCs/>
                <w:lang w:eastAsia="en-US"/>
              </w:rPr>
              <w:t>до іншої уповноваженої депозитарної установи</w:t>
            </w:r>
            <w:r w:rsidRPr="00C92BD2">
              <w:rPr>
                <w:bCs/>
              </w:rPr>
              <w:t xml:space="preserve"> / Центрального депозитарію, здійснюється в порядку передбаченому абзацами дев’ятим-дванадцятим пункту 18 цього розділу.</w:t>
            </w:r>
          </w:p>
          <w:p w:rsidR="00B810EC" w:rsidRPr="00C92BD2" w:rsidRDefault="00B810EC" w:rsidP="00B810EC">
            <w:pPr>
              <w:pStyle w:val="rvps2"/>
              <w:shd w:val="clear" w:color="auto" w:fill="FFFFFF"/>
              <w:spacing w:before="0" w:beforeAutospacing="0" w:after="0" w:afterAutospacing="0" w:line="240" w:lineRule="atLeast"/>
              <w:jc w:val="both"/>
              <w:rPr>
                <w:b/>
                <w:lang w:val="uk-UA" w:eastAsia="zh-CN"/>
              </w:rPr>
            </w:pPr>
          </w:p>
        </w:tc>
        <w:tc>
          <w:tcPr>
            <w:tcW w:w="1652" w:type="pct"/>
          </w:tcPr>
          <w:p w:rsidR="004A6F9F" w:rsidRPr="00C92BD2" w:rsidRDefault="00A73548" w:rsidP="00002B0F">
            <w:pPr>
              <w:pStyle w:val="rvps2"/>
              <w:shd w:val="clear" w:color="auto" w:fill="FFFFFF"/>
              <w:spacing w:before="0" w:beforeAutospacing="0" w:after="0" w:afterAutospacing="0" w:line="240" w:lineRule="atLeast"/>
              <w:ind w:firstLine="284"/>
              <w:jc w:val="both"/>
              <w:rPr>
                <w:b/>
                <w:i/>
                <w:lang w:val="uk-UA"/>
              </w:rPr>
            </w:pPr>
            <w:r w:rsidRPr="00C92BD2">
              <w:rPr>
                <w:b/>
                <w:lang w:val="uk-UA"/>
              </w:rPr>
              <w:lastRenderedPageBreak/>
              <w:t>За результатами проведеної спільної наради НКЦПФР та НДУ</w:t>
            </w: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B810EC" w:rsidRPr="00C92BD2" w:rsidRDefault="00B810EC" w:rsidP="00002B0F">
            <w:pPr>
              <w:pStyle w:val="rvps2"/>
              <w:shd w:val="clear" w:color="auto" w:fill="FFFFFF"/>
              <w:spacing w:before="0" w:beforeAutospacing="0" w:after="0" w:afterAutospacing="0" w:line="240" w:lineRule="atLeast"/>
              <w:ind w:firstLine="284"/>
              <w:jc w:val="both"/>
              <w:rPr>
                <w:b/>
                <w:i/>
                <w:lang w:val="uk-UA"/>
              </w:rPr>
            </w:pPr>
          </w:p>
          <w:p w:rsidR="004D61AE" w:rsidRDefault="004D61AE" w:rsidP="00002B0F">
            <w:pPr>
              <w:pStyle w:val="rvps2"/>
              <w:shd w:val="clear" w:color="auto" w:fill="FFFFFF"/>
              <w:spacing w:before="0" w:beforeAutospacing="0" w:after="0" w:afterAutospacing="0" w:line="240" w:lineRule="atLeast"/>
              <w:ind w:firstLine="284"/>
              <w:jc w:val="both"/>
              <w:rPr>
                <w:b/>
                <w:bCs/>
                <w:lang w:val="uk-UA"/>
              </w:rPr>
            </w:pPr>
            <w:r w:rsidRPr="00C92BD2">
              <w:rPr>
                <w:b/>
                <w:bCs/>
                <w:lang w:val="uk-UA"/>
              </w:rPr>
              <w:t>Внесення змін до облікової системи часток щодо переведення обслуговування рахунку учасника товариства – держави з уповноваженої депозитарної установи / Центрального депозитарію</w:t>
            </w:r>
            <w:r w:rsidRPr="00C92BD2">
              <w:rPr>
                <w:b/>
                <w:lang w:val="uk-UA" w:eastAsia="uk"/>
              </w:rPr>
              <w:t xml:space="preserve"> </w:t>
            </w:r>
            <w:r w:rsidRPr="00C92BD2">
              <w:rPr>
                <w:b/>
                <w:bCs/>
                <w:lang w:val="uk-UA" w:eastAsia="en-US"/>
              </w:rPr>
              <w:t>до іншої уповноваженої депозитарної установи</w:t>
            </w:r>
            <w:r w:rsidRPr="00C92BD2">
              <w:rPr>
                <w:b/>
                <w:bCs/>
                <w:lang w:val="uk-UA"/>
              </w:rPr>
              <w:t xml:space="preserve"> / Центрального депозитарію, здійснюється в порядку передбаченому абзацами дев’ятим-дванадцятим пункту 18 цього розділу (крім необхідності надання попередньою уповноваженою депозитарною установою згоди на переведення обслуговування рахунку учасника товариства - держави).</w:t>
            </w:r>
          </w:p>
          <w:p w:rsidR="00BA78B5" w:rsidRPr="00C92BD2" w:rsidRDefault="00BA78B5" w:rsidP="00002B0F">
            <w:pPr>
              <w:pStyle w:val="rvps2"/>
              <w:shd w:val="clear" w:color="auto" w:fill="FFFFFF"/>
              <w:spacing w:before="0" w:beforeAutospacing="0" w:after="0" w:afterAutospacing="0" w:line="240" w:lineRule="atLeast"/>
              <w:ind w:firstLine="284"/>
              <w:jc w:val="both"/>
              <w:rPr>
                <w:b/>
                <w:i/>
                <w:lang w:val="uk-UA"/>
              </w:rPr>
            </w:pPr>
          </w:p>
          <w:p w:rsidR="00C84D6C" w:rsidRPr="00C92BD2" w:rsidRDefault="00C84D6C" w:rsidP="00002B0F">
            <w:pPr>
              <w:pStyle w:val="rvps2"/>
              <w:shd w:val="clear" w:color="auto" w:fill="FFFFFF"/>
              <w:spacing w:before="0" w:beforeAutospacing="0" w:after="0" w:afterAutospacing="0" w:line="240" w:lineRule="atLeast"/>
              <w:ind w:firstLine="284"/>
              <w:jc w:val="both"/>
              <w:rPr>
                <w:b/>
                <w:i/>
                <w:lang w:val="uk-UA"/>
              </w:rPr>
            </w:pPr>
          </w:p>
        </w:tc>
        <w:tc>
          <w:tcPr>
            <w:tcW w:w="1590" w:type="pct"/>
          </w:tcPr>
          <w:p w:rsidR="00C27BF8" w:rsidRPr="00C92BD2" w:rsidRDefault="00C27BF8"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680042" w:rsidP="005B4F5A">
            <w:pPr>
              <w:pStyle w:val="rvps2"/>
              <w:shd w:val="clear" w:color="auto" w:fill="FFFFFF"/>
              <w:spacing w:before="0" w:beforeAutospacing="0" w:after="0" w:afterAutospacing="0" w:line="240" w:lineRule="atLeast"/>
              <w:ind w:firstLine="284"/>
              <w:jc w:val="both"/>
              <w:rPr>
                <w:b/>
                <w:lang w:val="uk-UA"/>
              </w:rPr>
            </w:pPr>
          </w:p>
          <w:p w:rsidR="00680042" w:rsidRPr="00C92BD2" w:rsidRDefault="004D61AE" w:rsidP="00680042">
            <w:pPr>
              <w:pStyle w:val="rvps2"/>
              <w:shd w:val="clear" w:color="auto" w:fill="FFFFFF"/>
              <w:spacing w:before="0" w:beforeAutospacing="0" w:after="0" w:afterAutospacing="0" w:line="240" w:lineRule="atLeast"/>
              <w:ind w:firstLine="284"/>
              <w:jc w:val="both"/>
              <w:rPr>
                <w:b/>
                <w:bCs/>
                <w:lang w:val="uk-UA"/>
              </w:rPr>
            </w:pPr>
            <w:r w:rsidRPr="00C92BD2">
              <w:rPr>
                <w:b/>
                <w:bCs/>
                <w:lang w:val="uk-UA"/>
              </w:rPr>
              <w:t>Враховано</w:t>
            </w:r>
            <w:r w:rsidR="00AB4851" w:rsidRPr="00C92BD2">
              <w:rPr>
                <w:b/>
                <w:bCs/>
                <w:lang w:val="uk-UA"/>
              </w:rPr>
              <w:t>.</w:t>
            </w:r>
          </w:p>
          <w:p w:rsidR="00680042" w:rsidRPr="00C92BD2" w:rsidRDefault="00680042" w:rsidP="00680042">
            <w:pPr>
              <w:pStyle w:val="rvps2"/>
              <w:shd w:val="clear" w:color="auto" w:fill="FFFFFF"/>
              <w:spacing w:before="0" w:beforeAutospacing="0" w:after="0" w:afterAutospacing="0" w:line="240" w:lineRule="atLeast"/>
              <w:ind w:firstLine="284"/>
              <w:jc w:val="both"/>
              <w:rPr>
                <w:b/>
                <w:lang w:val="uk-UA"/>
              </w:rPr>
            </w:pPr>
          </w:p>
        </w:tc>
      </w:tr>
      <w:tr w:rsidR="00C92BD2" w:rsidRPr="00C92BD2" w:rsidTr="001422E3">
        <w:tc>
          <w:tcPr>
            <w:tcW w:w="1758" w:type="pct"/>
          </w:tcPr>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5B2057" w:rsidRPr="00C92BD2" w:rsidRDefault="005B2057" w:rsidP="000D1E04">
            <w:pPr>
              <w:pStyle w:val="rvps2"/>
              <w:shd w:val="clear" w:color="auto" w:fill="FFFFFF"/>
              <w:spacing w:before="0" w:beforeAutospacing="0" w:after="0" w:afterAutospacing="0" w:line="240" w:lineRule="atLeast"/>
              <w:jc w:val="both"/>
              <w:rPr>
                <w:lang w:val="uk-UA" w:eastAsia="uk"/>
              </w:rPr>
            </w:pPr>
          </w:p>
          <w:p w:rsidR="005B2057" w:rsidRPr="00C92BD2" w:rsidRDefault="005B2057" w:rsidP="000D1E04">
            <w:pPr>
              <w:pStyle w:val="rvps2"/>
              <w:shd w:val="clear" w:color="auto" w:fill="FFFFFF"/>
              <w:spacing w:before="0" w:beforeAutospacing="0" w:after="0" w:afterAutospacing="0" w:line="240" w:lineRule="atLeast"/>
              <w:jc w:val="both"/>
              <w:rPr>
                <w:lang w:val="uk-UA" w:eastAsia="uk"/>
              </w:rPr>
            </w:pPr>
          </w:p>
          <w:p w:rsidR="005B2057" w:rsidRPr="00C92BD2" w:rsidRDefault="005B205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135EDE" w:rsidRPr="00C92BD2" w:rsidRDefault="00135EDE" w:rsidP="000D1E04">
            <w:pPr>
              <w:pStyle w:val="rvps2"/>
              <w:shd w:val="clear" w:color="auto" w:fill="FFFFFF"/>
              <w:spacing w:before="0" w:beforeAutospacing="0" w:after="0" w:afterAutospacing="0" w:line="240" w:lineRule="atLeast"/>
              <w:jc w:val="both"/>
              <w:rPr>
                <w:b/>
                <w:lang w:val="uk-UA"/>
              </w:rPr>
            </w:pPr>
            <w:r w:rsidRPr="00C92BD2">
              <w:rPr>
                <w:lang w:val="uk-UA" w:eastAsia="uk"/>
              </w:rPr>
              <w:t xml:space="preserve">32. Підставами для відмови у внесенні змін до облікової системи часток </w:t>
            </w:r>
            <w:r w:rsidRPr="00C92BD2">
              <w:rPr>
                <w:b/>
                <w:strike/>
                <w:lang w:val="uk-UA" w:eastAsia="uk"/>
              </w:rPr>
              <w:t>відповідно до поданих</w:t>
            </w:r>
            <w:r w:rsidRPr="00C92BD2">
              <w:rPr>
                <w:lang w:val="uk-UA" w:eastAsia="uk"/>
              </w:rPr>
              <w:t xml:space="preserve"> розпоряджень, вимог, документів є:</w:t>
            </w:r>
          </w:p>
        </w:tc>
        <w:tc>
          <w:tcPr>
            <w:tcW w:w="1652" w:type="pct"/>
          </w:tcPr>
          <w:p w:rsidR="00E81A07" w:rsidRPr="00C92BD2" w:rsidRDefault="00E81A07" w:rsidP="004D61AE">
            <w:pPr>
              <w:ind w:firstLine="323"/>
              <w:jc w:val="both"/>
              <w:rPr>
                <w:rFonts w:ascii="Times New Roman" w:hAnsi="Times New Roman" w:cs="Times New Roman"/>
                <w:b/>
                <w:sz w:val="24"/>
                <w:szCs w:val="24"/>
                <w:highlight w:val="yellow"/>
              </w:rPr>
            </w:pPr>
            <w:r w:rsidRPr="00C92BD2">
              <w:rPr>
                <w:rFonts w:ascii="Times New Roman" w:hAnsi="Times New Roman" w:cs="Times New Roman"/>
                <w:b/>
                <w:sz w:val="24"/>
                <w:szCs w:val="24"/>
              </w:rPr>
              <w:lastRenderedPageBreak/>
              <w:t>Пропозиції АТ «Райффайзен Банк»</w:t>
            </w:r>
          </w:p>
          <w:p w:rsidR="00E81A07" w:rsidRPr="00C92BD2" w:rsidRDefault="00E81A07" w:rsidP="004D61AE">
            <w:pPr>
              <w:ind w:firstLine="323"/>
              <w:jc w:val="both"/>
              <w:rPr>
                <w:rFonts w:ascii="Times New Roman" w:hAnsi="Times New Roman" w:cs="Times New Roman"/>
                <w:i/>
                <w:sz w:val="24"/>
                <w:szCs w:val="24"/>
              </w:rPr>
            </w:pPr>
            <w:r w:rsidRPr="00C92BD2">
              <w:rPr>
                <w:rFonts w:ascii="Times New Roman" w:hAnsi="Times New Roman" w:cs="Times New Roman"/>
                <w:i/>
                <w:sz w:val="24"/>
                <w:szCs w:val="24"/>
              </w:rPr>
              <w:t xml:space="preserve">Внесення змін до Облікової системи здійснює Центральний депозитарій (пункт 17 Порядку). Уповноважена депозитарна установа ініціює відкриття рахунків та здійснення операцій в Обліковій системі </w:t>
            </w:r>
            <w:r w:rsidRPr="00C92BD2">
              <w:rPr>
                <w:rFonts w:ascii="Times New Roman" w:hAnsi="Times New Roman" w:cs="Times New Roman"/>
                <w:i/>
                <w:sz w:val="24"/>
                <w:szCs w:val="24"/>
              </w:rPr>
              <w:lastRenderedPageBreak/>
              <w:t>(визначення терміну «уповноважена депозитарна установа» в Порядку). Тому, запропоновані зміни є необхідними для того, щоб підстави для відмови могли б застосовуватись й уповноваженою депозитарною установою.</w:t>
            </w:r>
          </w:p>
          <w:p w:rsidR="00E81A07" w:rsidRPr="00C92BD2" w:rsidRDefault="00E81A07" w:rsidP="004D61AE">
            <w:pPr>
              <w:ind w:firstLine="323"/>
              <w:jc w:val="both"/>
              <w:rPr>
                <w:rFonts w:ascii="Times New Roman" w:hAnsi="Times New Roman" w:cs="Times New Roman"/>
                <w:b/>
                <w:sz w:val="24"/>
                <w:szCs w:val="24"/>
                <w:highlight w:val="yellow"/>
              </w:rPr>
            </w:pPr>
          </w:p>
          <w:p w:rsidR="00135EDE" w:rsidRDefault="00655ED5" w:rsidP="004D61AE">
            <w:pPr>
              <w:ind w:firstLine="323"/>
              <w:jc w:val="both"/>
              <w:rPr>
                <w:rFonts w:ascii="Times New Roman" w:hAnsi="Times New Roman" w:cs="Times New Roman"/>
                <w:sz w:val="24"/>
                <w:szCs w:val="24"/>
              </w:rPr>
            </w:pPr>
            <w:r w:rsidRPr="00C92BD2">
              <w:rPr>
                <w:rFonts w:ascii="Times New Roman" w:hAnsi="Times New Roman" w:cs="Times New Roman"/>
                <w:sz w:val="24"/>
                <w:szCs w:val="24"/>
              </w:rPr>
              <w:t xml:space="preserve">32. Підставами для відмови у внесенні </w:t>
            </w:r>
            <w:r w:rsidRPr="00C92BD2">
              <w:rPr>
                <w:rFonts w:ascii="Times New Roman" w:hAnsi="Times New Roman" w:cs="Times New Roman"/>
                <w:b/>
                <w:bCs/>
                <w:sz w:val="24"/>
                <w:szCs w:val="24"/>
              </w:rPr>
              <w:t xml:space="preserve">Центральним депозитарієм </w:t>
            </w:r>
            <w:r w:rsidRPr="00C92BD2">
              <w:rPr>
                <w:rFonts w:ascii="Times New Roman" w:hAnsi="Times New Roman" w:cs="Times New Roman"/>
                <w:sz w:val="24"/>
                <w:szCs w:val="24"/>
              </w:rPr>
              <w:t xml:space="preserve">змін до облікової системи часток, </w:t>
            </w:r>
            <w:r w:rsidRPr="00C92BD2">
              <w:rPr>
                <w:rFonts w:ascii="Times New Roman" w:hAnsi="Times New Roman" w:cs="Times New Roman"/>
                <w:b/>
                <w:bCs/>
                <w:sz w:val="24"/>
                <w:szCs w:val="24"/>
              </w:rPr>
              <w:t xml:space="preserve">ініціюванні уповноваженою депозитарною установою здійснення операцій щодо відповідних рахунків учасників товариств </w:t>
            </w:r>
            <w:r w:rsidRPr="00C92BD2">
              <w:rPr>
                <w:rFonts w:ascii="Times New Roman" w:hAnsi="Times New Roman" w:cs="Times New Roman"/>
                <w:sz w:val="24"/>
                <w:szCs w:val="24"/>
              </w:rPr>
              <w:t>відповідно до поданих розпоряджень, вимог, документів є</w:t>
            </w:r>
          </w:p>
          <w:p w:rsidR="00BA78B5" w:rsidRPr="00C92BD2" w:rsidRDefault="00BA78B5" w:rsidP="004D61AE">
            <w:pPr>
              <w:ind w:firstLine="323"/>
              <w:jc w:val="both"/>
              <w:rPr>
                <w:rFonts w:ascii="Times New Roman" w:hAnsi="Times New Roman" w:cs="Times New Roman"/>
                <w:b/>
                <w:sz w:val="24"/>
                <w:szCs w:val="24"/>
              </w:rPr>
            </w:pPr>
          </w:p>
        </w:tc>
        <w:tc>
          <w:tcPr>
            <w:tcW w:w="1590" w:type="pct"/>
          </w:tcPr>
          <w:p w:rsidR="00135EDE" w:rsidRPr="00C92BD2" w:rsidRDefault="00135EDE" w:rsidP="005B4F5A">
            <w:pPr>
              <w:pStyle w:val="rvps2"/>
              <w:shd w:val="clear" w:color="auto" w:fill="FFFFFF"/>
              <w:spacing w:before="0" w:beforeAutospacing="0" w:after="0" w:afterAutospacing="0" w:line="240" w:lineRule="atLeast"/>
              <w:ind w:firstLine="284"/>
              <w:jc w:val="both"/>
              <w:rPr>
                <w:b/>
                <w:lang w:val="uk-UA"/>
              </w:rPr>
            </w:pPr>
            <w:r w:rsidRPr="00C92BD2">
              <w:rPr>
                <w:b/>
                <w:lang w:val="uk-UA"/>
              </w:rPr>
              <w:lastRenderedPageBreak/>
              <w:t>Враховано</w:t>
            </w:r>
            <w:r w:rsidR="00655ED5" w:rsidRPr="00C92BD2">
              <w:rPr>
                <w:b/>
                <w:lang w:val="uk-UA"/>
              </w:rPr>
              <w:t xml:space="preserve"> редакційно.</w:t>
            </w: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E81A07" w:rsidRPr="00C92BD2" w:rsidRDefault="00655ED5" w:rsidP="005B4F5A">
            <w:pPr>
              <w:pStyle w:val="rvps2"/>
              <w:shd w:val="clear" w:color="auto" w:fill="FFFFFF"/>
              <w:spacing w:before="0" w:beforeAutospacing="0" w:after="0" w:afterAutospacing="0" w:line="240" w:lineRule="atLeast"/>
              <w:ind w:firstLine="284"/>
              <w:jc w:val="both"/>
              <w:rPr>
                <w:b/>
                <w:lang w:val="uk-UA"/>
              </w:rPr>
            </w:pPr>
            <w:r w:rsidRPr="00C92BD2">
              <w:rPr>
                <w:lang w:val="uk-UA"/>
              </w:rPr>
              <w:t>32.</w:t>
            </w:r>
            <w:r w:rsidRPr="00C92BD2">
              <w:rPr>
                <w:b/>
                <w:lang w:val="uk-UA"/>
              </w:rPr>
              <w:t xml:space="preserve"> </w:t>
            </w:r>
            <w:r w:rsidRPr="00C92BD2">
              <w:rPr>
                <w:lang w:val="uk-UA"/>
              </w:rPr>
              <w:t>Підставами для відмови у внесенні</w:t>
            </w:r>
            <w:r w:rsidRPr="00C92BD2">
              <w:rPr>
                <w:b/>
                <w:lang w:val="uk-UA"/>
              </w:rPr>
              <w:t xml:space="preserve"> Центральним депозитарієм </w:t>
            </w:r>
            <w:r w:rsidRPr="00C92BD2">
              <w:rPr>
                <w:lang w:val="uk-UA"/>
              </w:rPr>
              <w:t>змін до облікової системи часток</w:t>
            </w:r>
            <w:r w:rsidRPr="00C92BD2">
              <w:rPr>
                <w:b/>
                <w:lang w:val="uk-UA"/>
              </w:rPr>
              <w:t xml:space="preserve">, в прийнятті Центральним депозитарієм / депозитарною установою до виконання </w:t>
            </w:r>
            <w:r w:rsidRPr="00C92BD2">
              <w:rPr>
                <w:lang w:val="uk-UA"/>
              </w:rPr>
              <w:t>розпоряджень, вимог, документів є:</w:t>
            </w:r>
          </w:p>
        </w:tc>
      </w:tr>
      <w:tr w:rsidR="00C92BD2" w:rsidRPr="00C92BD2" w:rsidTr="001422E3">
        <w:tc>
          <w:tcPr>
            <w:tcW w:w="1758" w:type="pct"/>
          </w:tcPr>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E81A07" w:rsidRPr="00C92BD2" w:rsidRDefault="00E81A07" w:rsidP="000D1E04">
            <w:pPr>
              <w:pStyle w:val="rvps2"/>
              <w:shd w:val="clear" w:color="auto" w:fill="FFFFFF"/>
              <w:spacing w:before="0" w:beforeAutospacing="0" w:after="0" w:afterAutospacing="0" w:line="240" w:lineRule="atLeast"/>
              <w:jc w:val="both"/>
              <w:rPr>
                <w:lang w:val="uk-UA" w:eastAsia="uk"/>
              </w:rPr>
            </w:pPr>
          </w:p>
          <w:p w:rsidR="00135EDE" w:rsidRPr="00C92BD2" w:rsidRDefault="00135EDE" w:rsidP="000D1E04">
            <w:pPr>
              <w:pStyle w:val="rvps2"/>
              <w:shd w:val="clear" w:color="auto" w:fill="FFFFFF"/>
              <w:spacing w:before="0" w:beforeAutospacing="0" w:after="0" w:afterAutospacing="0" w:line="240" w:lineRule="atLeast"/>
              <w:jc w:val="both"/>
              <w:rPr>
                <w:lang w:val="uk-UA" w:eastAsia="uk"/>
              </w:rPr>
            </w:pPr>
            <w:r w:rsidRPr="00C92BD2">
              <w:rPr>
                <w:lang w:val="uk-UA" w:eastAsia="uk"/>
              </w:rPr>
              <w:t xml:space="preserve">10) відсутність повідомлення про згоду заставодержателя на переведення обслуговування рахунку учасника товариства до нової уповноваженої депозитарної установи / Центрального депозитарію (у разі якщо на </w:t>
            </w:r>
            <w:r w:rsidRPr="00C92BD2">
              <w:rPr>
                <w:lang w:val="uk-UA" w:eastAsia="uk"/>
              </w:rPr>
              <w:lastRenderedPageBreak/>
              <w:t>рахунку учасника товариства обліковується частка, що передана в заставу);</w:t>
            </w:r>
          </w:p>
        </w:tc>
        <w:tc>
          <w:tcPr>
            <w:tcW w:w="1652" w:type="pct"/>
          </w:tcPr>
          <w:p w:rsidR="00E81A07" w:rsidRPr="00C92BD2" w:rsidRDefault="00E81A07" w:rsidP="00E81A07">
            <w:pPr>
              <w:ind w:firstLine="323"/>
              <w:jc w:val="both"/>
              <w:rPr>
                <w:rFonts w:ascii="Times New Roman" w:hAnsi="Times New Roman" w:cs="Times New Roman"/>
                <w:b/>
                <w:sz w:val="24"/>
                <w:szCs w:val="24"/>
                <w:highlight w:val="yellow"/>
              </w:rPr>
            </w:pPr>
            <w:r w:rsidRPr="00C92BD2">
              <w:rPr>
                <w:rFonts w:ascii="Times New Roman" w:hAnsi="Times New Roman" w:cs="Times New Roman"/>
                <w:b/>
                <w:sz w:val="24"/>
                <w:szCs w:val="24"/>
              </w:rPr>
              <w:lastRenderedPageBreak/>
              <w:t>Пропозиції АТ «Райффайзен Банк»</w:t>
            </w:r>
          </w:p>
          <w:p w:rsidR="00E81A07" w:rsidRPr="00C92BD2" w:rsidRDefault="005F5524" w:rsidP="00E81A07">
            <w:pPr>
              <w:ind w:firstLine="323"/>
              <w:jc w:val="both"/>
              <w:rPr>
                <w:rFonts w:ascii="Times New Roman" w:hAnsi="Times New Roman" w:cs="Times New Roman"/>
                <w:sz w:val="24"/>
                <w:szCs w:val="24"/>
              </w:rPr>
            </w:pPr>
            <w:r>
              <w:rPr>
                <w:rFonts w:ascii="Times New Roman" w:hAnsi="Times New Roman" w:cs="Times New Roman"/>
                <w:i/>
                <w:sz w:val="24"/>
                <w:szCs w:val="24"/>
              </w:rPr>
              <w:t>Текстом запропоновані</w:t>
            </w:r>
            <w:r w:rsidR="00E81A07" w:rsidRPr="00C92BD2">
              <w:rPr>
                <w:rFonts w:ascii="Times New Roman" w:hAnsi="Times New Roman" w:cs="Times New Roman"/>
                <w:i/>
                <w:sz w:val="24"/>
                <w:szCs w:val="24"/>
              </w:rPr>
              <w:t xml:space="preserve"> підстави для відмов</w:t>
            </w:r>
            <w:r>
              <w:rPr>
                <w:rFonts w:ascii="Times New Roman" w:hAnsi="Times New Roman" w:cs="Times New Roman"/>
                <w:i/>
                <w:sz w:val="24"/>
                <w:szCs w:val="24"/>
              </w:rPr>
              <w:t>и покриваються лише випадком</w:t>
            </w:r>
            <w:r w:rsidR="00E81A07" w:rsidRPr="00C92BD2">
              <w:rPr>
                <w:rFonts w:ascii="Times New Roman" w:hAnsi="Times New Roman" w:cs="Times New Roman"/>
                <w:i/>
                <w:sz w:val="24"/>
                <w:szCs w:val="24"/>
              </w:rPr>
              <w:t xml:space="preserve"> переведення на інший рахунок учасника товариства. Пропонуємо поширити підставу для відмови й на випадки, коли учасник має намір переказати заставлену частку на рахунок </w:t>
            </w:r>
            <w:proofErr w:type="spellStart"/>
            <w:r w:rsidR="00E81A07" w:rsidRPr="00C92BD2">
              <w:rPr>
                <w:rFonts w:ascii="Times New Roman" w:hAnsi="Times New Roman" w:cs="Times New Roman"/>
                <w:i/>
                <w:sz w:val="24"/>
                <w:szCs w:val="24"/>
              </w:rPr>
              <w:t>ескроу</w:t>
            </w:r>
            <w:proofErr w:type="spellEnd"/>
            <w:r w:rsidR="00E81A07" w:rsidRPr="00C92BD2">
              <w:rPr>
                <w:rFonts w:ascii="Times New Roman" w:hAnsi="Times New Roman" w:cs="Times New Roman"/>
                <w:i/>
                <w:sz w:val="24"/>
                <w:szCs w:val="24"/>
              </w:rPr>
              <w:t xml:space="preserve"> (для уникнення зловживань з боку </w:t>
            </w:r>
            <w:proofErr w:type="spellStart"/>
            <w:r w:rsidR="00E81A07" w:rsidRPr="00C92BD2">
              <w:rPr>
                <w:rFonts w:ascii="Times New Roman" w:hAnsi="Times New Roman" w:cs="Times New Roman"/>
                <w:i/>
                <w:sz w:val="24"/>
                <w:szCs w:val="24"/>
              </w:rPr>
              <w:t>заставодавців</w:t>
            </w:r>
            <w:proofErr w:type="spellEnd"/>
            <w:r w:rsidR="00E81A07" w:rsidRPr="00C92BD2">
              <w:rPr>
                <w:rFonts w:ascii="Times New Roman" w:hAnsi="Times New Roman" w:cs="Times New Roman"/>
                <w:i/>
                <w:sz w:val="24"/>
                <w:szCs w:val="24"/>
              </w:rPr>
              <w:t>).</w:t>
            </w:r>
          </w:p>
          <w:p w:rsidR="00E81A07" w:rsidRPr="00C92BD2" w:rsidRDefault="00E81A07" w:rsidP="00E81A07">
            <w:pPr>
              <w:ind w:firstLine="323"/>
              <w:jc w:val="both"/>
              <w:rPr>
                <w:rFonts w:ascii="Times New Roman" w:hAnsi="Times New Roman" w:cs="Times New Roman"/>
                <w:sz w:val="24"/>
                <w:szCs w:val="24"/>
              </w:rPr>
            </w:pPr>
          </w:p>
          <w:p w:rsidR="00135EDE" w:rsidRPr="00C92BD2" w:rsidRDefault="00135EDE" w:rsidP="00E81A07">
            <w:pPr>
              <w:ind w:firstLine="323"/>
              <w:jc w:val="both"/>
              <w:rPr>
                <w:rFonts w:ascii="Times New Roman" w:hAnsi="Times New Roman" w:cs="Times New Roman"/>
                <w:b/>
                <w:sz w:val="24"/>
                <w:szCs w:val="24"/>
                <w:highlight w:val="yellow"/>
              </w:rPr>
            </w:pPr>
            <w:r w:rsidRPr="00C92BD2">
              <w:rPr>
                <w:rFonts w:ascii="Times New Roman" w:hAnsi="Times New Roman" w:cs="Times New Roman"/>
                <w:sz w:val="24"/>
                <w:szCs w:val="24"/>
              </w:rPr>
              <w:t>10) відсутність повідомлення про згоду заставодержателя на переведення обслуговування рахунку учасника товариства до нової уповноваженої депозитарної установи / Центрального депозитарію,</w:t>
            </w:r>
            <w:r w:rsidRPr="00C92BD2">
              <w:rPr>
                <w:rFonts w:ascii="Times New Roman" w:hAnsi="Times New Roman" w:cs="Times New Roman"/>
                <w:b/>
                <w:sz w:val="24"/>
                <w:szCs w:val="24"/>
              </w:rPr>
              <w:t xml:space="preserve"> відсутність повідомлення про згоду заставодержателя </w:t>
            </w:r>
            <w:r w:rsidRPr="00C92BD2">
              <w:rPr>
                <w:rFonts w:ascii="Times New Roman" w:hAnsi="Times New Roman" w:cs="Times New Roman"/>
                <w:b/>
                <w:sz w:val="24"/>
                <w:szCs w:val="24"/>
              </w:rPr>
              <w:lastRenderedPageBreak/>
              <w:t>на переведення частки товариства на рахунок умовного зберігання (</w:t>
            </w:r>
            <w:proofErr w:type="spellStart"/>
            <w:r w:rsidRPr="00C92BD2">
              <w:rPr>
                <w:rFonts w:ascii="Times New Roman" w:hAnsi="Times New Roman" w:cs="Times New Roman"/>
                <w:b/>
                <w:sz w:val="24"/>
                <w:szCs w:val="24"/>
              </w:rPr>
              <w:t>ескроу</w:t>
            </w:r>
            <w:proofErr w:type="spellEnd"/>
            <w:r w:rsidRPr="00C92BD2">
              <w:rPr>
                <w:rFonts w:ascii="Times New Roman" w:hAnsi="Times New Roman" w:cs="Times New Roman"/>
                <w:b/>
                <w:sz w:val="24"/>
                <w:szCs w:val="24"/>
              </w:rPr>
              <w:t xml:space="preserve">) часток товариства </w:t>
            </w:r>
            <w:r w:rsidRPr="00C92BD2">
              <w:rPr>
                <w:rFonts w:ascii="Times New Roman" w:hAnsi="Times New Roman" w:cs="Times New Roman"/>
                <w:sz w:val="24"/>
                <w:szCs w:val="24"/>
              </w:rPr>
              <w:t>(у разі якщо на рахунку учасника товариства обліковується частка, що передана в заставу);</w:t>
            </w:r>
          </w:p>
        </w:tc>
        <w:tc>
          <w:tcPr>
            <w:tcW w:w="1590" w:type="pct"/>
          </w:tcPr>
          <w:p w:rsidR="00135EDE" w:rsidRPr="00C92BD2" w:rsidRDefault="00E81A07" w:rsidP="005B4F5A">
            <w:pPr>
              <w:pStyle w:val="rvps2"/>
              <w:shd w:val="clear" w:color="auto" w:fill="FFFFFF"/>
              <w:spacing w:before="0" w:beforeAutospacing="0" w:after="0" w:afterAutospacing="0" w:line="240" w:lineRule="atLeast"/>
              <w:ind w:firstLine="284"/>
              <w:jc w:val="both"/>
              <w:rPr>
                <w:b/>
                <w:lang w:val="uk-UA"/>
              </w:rPr>
            </w:pPr>
            <w:r w:rsidRPr="00C92BD2">
              <w:rPr>
                <w:b/>
                <w:lang w:val="uk-UA"/>
              </w:rPr>
              <w:lastRenderedPageBreak/>
              <w:t>Не враховано</w:t>
            </w:r>
            <w:r w:rsidR="00AB4851" w:rsidRPr="00C92BD2">
              <w:rPr>
                <w:b/>
                <w:lang w:val="uk-UA"/>
              </w:rPr>
              <w:t>.</w:t>
            </w:r>
          </w:p>
          <w:p w:rsidR="00E81A07" w:rsidRPr="00C92BD2" w:rsidRDefault="00E81A07" w:rsidP="00E81A07">
            <w:pPr>
              <w:pStyle w:val="rvps2"/>
              <w:shd w:val="clear" w:color="auto" w:fill="FFFFFF"/>
              <w:spacing w:before="0" w:beforeAutospacing="0" w:after="0" w:afterAutospacing="0" w:line="240" w:lineRule="atLeast"/>
              <w:ind w:firstLine="284"/>
              <w:jc w:val="both"/>
              <w:rPr>
                <w:lang w:val="uk-UA"/>
              </w:rPr>
            </w:pPr>
            <w:r w:rsidRPr="00C92BD2">
              <w:rPr>
                <w:lang w:val="uk-UA"/>
              </w:rPr>
              <w:t>Це вже редакційно враховано в підпункті 3) цього пункту: «3) частка, щодо якої ініційовано внесення змін до облікової системи часток, заблокована у зв’язку з обтяженнями її зобов'язаннями або іншим обмеженням в обігу та/або на підставі судових рішень / постанов або рішень уповноваженого законом органу чи його посадової особи, які передбачають заборону внесення змін до облікової системи часток, та інформація про які наявна в обліковій системі часток»</w:t>
            </w:r>
            <w:r w:rsidR="00AB4851" w:rsidRPr="00C92BD2">
              <w:rPr>
                <w:lang w:val="uk-UA"/>
              </w:rPr>
              <w:t>.</w:t>
            </w:r>
          </w:p>
          <w:p w:rsidR="00D879A8" w:rsidRPr="00C92BD2" w:rsidRDefault="00E81A07" w:rsidP="00E81A07">
            <w:pPr>
              <w:pStyle w:val="rvps2"/>
              <w:shd w:val="clear" w:color="auto" w:fill="FFFFFF"/>
              <w:spacing w:before="0" w:beforeAutospacing="0" w:after="0" w:afterAutospacing="0" w:line="240" w:lineRule="atLeast"/>
              <w:ind w:firstLine="284"/>
              <w:jc w:val="both"/>
              <w:rPr>
                <w:lang w:val="uk-UA"/>
              </w:rPr>
            </w:pPr>
            <w:r w:rsidRPr="00C92BD2">
              <w:rPr>
                <w:lang w:val="uk-UA"/>
              </w:rPr>
              <w:t xml:space="preserve">Переведення обліку частки з рахунку учасника на рахунок </w:t>
            </w:r>
            <w:proofErr w:type="spellStart"/>
            <w:r w:rsidRPr="00C92BD2">
              <w:rPr>
                <w:lang w:val="uk-UA"/>
              </w:rPr>
              <w:t>ескроу</w:t>
            </w:r>
            <w:proofErr w:type="spellEnd"/>
            <w:r w:rsidRPr="00C92BD2">
              <w:rPr>
                <w:lang w:val="uk-UA"/>
              </w:rPr>
              <w:t xml:space="preserve"> потребує внесення змін до облікової системи часток. </w:t>
            </w:r>
            <w:r w:rsidRPr="00C92BD2">
              <w:rPr>
                <w:lang w:val="uk-UA"/>
              </w:rPr>
              <w:lastRenderedPageBreak/>
              <w:t xml:space="preserve">При наявності блокування частки в зв'язку з її обмеженнями зобов'язаннями (заставою) переведення частки на рахунок </w:t>
            </w:r>
            <w:proofErr w:type="spellStart"/>
            <w:r w:rsidRPr="00C92BD2">
              <w:rPr>
                <w:lang w:val="uk-UA"/>
              </w:rPr>
              <w:t>ескроу</w:t>
            </w:r>
            <w:proofErr w:type="spellEnd"/>
            <w:r w:rsidRPr="00C92BD2">
              <w:rPr>
                <w:lang w:val="uk-UA"/>
              </w:rPr>
              <w:t xml:space="preserve"> не відбудеться, поки заставодержатель не </w:t>
            </w:r>
            <w:proofErr w:type="spellStart"/>
            <w:r w:rsidRPr="00C92BD2">
              <w:rPr>
                <w:lang w:val="uk-UA"/>
              </w:rPr>
              <w:t>надасть</w:t>
            </w:r>
            <w:proofErr w:type="spellEnd"/>
            <w:r w:rsidRPr="00C92BD2">
              <w:rPr>
                <w:lang w:val="uk-UA"/>
              </w:rPr>
              <w:t xml:space="preserve"> розпорядження на розблокування.</w:t>
            </w:r>
          </w:p>
          <w:p w:rsidR="00E81A07" w:rsidRPr="00C92BD2" w:rsidRDefault="00D879A8" w:rsidP="00D879A8">
            <w:pPr>
              <w:pStyle w:val="rvps2"/>
              <w:shd w:val="clear" w:color="auto" w:fill="FFFFFF"/>
              <w:spacing w:before="0" w:beforeAutospacing="0" w:after="0" w:afterAutospacing="0" w:line="240" w:lineRule="atLeast"/>
              <w:ind w:firstLine="284"/>
              <w:jc w:val="both"/>
              <w:rPr>
                <w:b/>
                <w:lang w:val="uk-UA"/>
              </w:rPr>
            </w:pPr>
            <w:r w:rsidRPr="00C92BD2">
              <w:rPr>
                <w:lang w:val="uk-UA"/>
              </w:rPr>
              <w:t>Інтереси заставодержателя захищено.</w:t>
            </w:r>
          </w:p>
        </w:tc>
      </w:tr>
      <w:tr w:rsidR="00C92BD2" w:rsidRPr="00C92BD2" w:rsidTr="001422E3">
        <w:tc>
          <w:tcPr>
            <w:tcW w:w="1758" w:type="pct"/>
          </w:tcPr>
          <w:p w:rsidR="00A73548" w:rsidRPr="00C92BD2" w:rsidRDefault="00A73548" w:rsidP="000D1E04">
            <w:pPr>
              <w:pStyle w:val="rvps2"/>
              <w:shd w:val="clear" w:color="auto" w:fill="FFFFFF"/>
              <w:spacing w:before="0" w:beforeAutospacing="0" w:after="0" w:afterAutospacing="0" w:line="240" w:lineRule="atLeast"/>
              <w:jc w:val="both"/>
              <w:rPr>
                <w:b/>
                <w:lang w:val="uk-UA"/>
              </w:rPr>
            </w:pPr>
          </w:p>
          <w:p w:rsidR="00A73548" w:rsidRPr="00C92BD2" w:rsidRDefault="00A73548" w:rsidP="000D1E04">
            <w:pPr>
              <w:pStyle w:val="rvps2"/>
              <w:shd w:val="clear" w:color="auto" w:fill="FFFFFF"/>
              <w:spacing w:before="0" w:beforeAutospacing="0" w:after="0" w:afterAutospacing="0" w:line="240" w:lineRule="atLeast"/>
              <w:jc w:val="both"/>
              <w:rPr>
                <w:b/>
                <w:lang w:val="uk-UA"/>
              </w:rPr>
            </w:pPr>
          </w:p>
          <w:p w:rsidR="0038780F" w:rsidRDefault="0038780F" w:rsidP="000D1E04">
            <w:pPr>
              <w:pStyle w:val="rvps2"/>
              <w:shd w:val="clear" w:color="auto" w:fill="FFFFFF"/>
              <w:spacing w:before="0" w:beforeAutospacing="0" w:after="0" w:afterAutospacing="0" w:line="240" w:lineRule="atLeast"/>
              <w:jc w:val="both"/>
              <w:rPr>
                <w:b/>
                <w:lang w:val="uk-UA"/>
              </w:rPr>
            </w:pPr>
          </w:p>
          <w:p w:rsidR="0038780F" w:rsidRPr="00D43226" w:rsidRDefault="00D43226" w:rsidP="000D1E04">
            <w:pPr>
              <w:pStyle w:val="rvps2"/>
              <w:shd w:val="clear" w:color="auto" w:fill="FFFFFF"/>
              <w:spacing w:before="0" w:beforeAutospacing="0" w:after="0" w:afterAutospacing="0" w:line="240" w:lineRule="atLeast"/>
              <w:jc w:val="both"/>
              <w:rPr>
                <w:b/>
                <w:lang w:val="uk-UA"/>
              </w:rPr>
            </w:pPr>
            <w:r w:rsidRPr="00D43226">
              <w:rPr>
                <w:lang w:val="uk-UA"/>
              </w:rPr>
              <w:t>11) внесення змін до облікової системи часток порушуватиме встановлені щодо учасника товариства спеціальні економічні та інші обмежувальні заходи (санкції), встановлені у відповідності до Закону України «Про санкції»;</w:t>
            </w:r>
          </w:p>
          <w:p w:rsidR="0038780F" w:rsidRDefault="0038780F" w:rsidP="000D1E04">
            <w:pPr>
              <w:pStyle w:val="rvps2"/>
              <w:shd w:val="clear" w:color="auto" w:fill="FFFFFF"/>
              <w:spacing w:before="0" w:beforeAutospacing="0" w:after="0" w:afterAutospacing="0" w:line="240" w:lineRule="atLeast"/>
              <w:jc w:val="both"/>
              <w:rPr>
                <w:b/>
                <w:lang w:val="uk-UA"/>
              </w:rPr>
            </w:pPr>
          </w:p>
          <w:p w:rsidR="00A033C7" w:rsidRDefault="00A033C7" w:rsidP="000D1E04">
            <w:pPr>
              <w:pStyle w:val="rvps2"/>
              <w:shd w:val="clear" w:color="auto" w:fill="FFFFFF"/>
              <w:spacing w:before="0" w:beforeAutospacing="0" w:after="0" w:afterAutospacing="0" w:line="240" w:lineRule="atLeast"/>
              <w:jc w:val="both"/>
              <w:rPr>
                <w:b/>
                <w:lang w:val="uk-UA"/>
              </w:rPr>
            </w:pPr>
          </w:p>
          <w:p w:rsidR="00AB11E3" w:rsidRPr="00C92BD2" w:rsidRDefault="00AB11E3" w:rsidP="000D1E04">
            <w:pPr>
              <w:pStyle w:val="rvps2"/>
              <w:shd w:val="clear" w:color="auto" w:fill="FFFFFF"/>
              <w:spacing w:before="0" w:beforeAutospacing="0" w:after="0" w:afterAutospacing="0" w:line="240" w:lineRule="atLeast"/>
              <w:jc w:val="both"/>
              <w:rPr>
                <w:b/>
                <w:lang w:val="uk-UA"/>
              </w:rPr>
            </w:pPr>
          </w:p>
          <w:p w:rsidR="00C84D6C" w:rsidRPr="00C92BD2" w:rsidRDefault="00C84D6C" w:rsidP="000D1E04">
            <w:pPr>
              <w:pStyle w:val="rvps2"/>
              <w:shd w:val="clear" w:color="auto" w:fill="FFFFFF"/>
              <w:spacing w:before="0" w:beforeAutospacing="0" w:after="0" w:afterAutospacing="0" w:line="240" w:lineRule="atLeast"/>
              <w:jc w:val="both"/>
              <w:rPr>
                <w:b/>
                <w:lang w:val="uk-UA"/>
              </w:rPr>
            </w:pPr>
            <w:r w:rsidRPr="00C92BD2">
              <w:rPr>
                <w:b/>
                <w:lang w:val="uk-UA"/>
              </w:rPr>
              <w:t>Відсутній</w:t>
            </w:r>
            <w:r w:rsidR="005B2057" w:rsidRPr="00C92BD2">
              <w:rPr>
                <w:b/>
                <w:lang w:val="uk-UA"/>
              </w:rPr>
              <w:t xml:space="preserve"> в </w:t>
            </w:r>
            <w:proofErr w:type="spellStart"/>
            <w:r w:rsidR="005B2057" w:rsidRPr="00C92BD2">
              <w:rPr>
                <w:b/>
                <w:lang w:val="uk-UA"/>
              </w:rPr>
              <w:t>проєкті</w:t>
            </w:r>
            <w:proofErr w:type="spellEnd"/>
            <w:r w:rsidR="005B2057" w:rsidRPr="00C92BD2">
              <w:rPr>
                <w:b/>
                <w:lang w:val="uk-UA"/>
              </w:rPr>
              <w:t xml:space="preserve"> змін</w:t>
            </w:r>
            <w:r w:rsidR="005B017F">
              <w:rPr>
                <w:b/>
                <w:lang w:val="uk-UA"/>
              </w:rPr>
              <w:t>.</w:t>
            </w:r>
          </w:p>
          <w:p w:rsidR="00C84D6C" w:rsidRPr="00C92BD2" w:rsidRDefault="00C84D6C" w:rsidP="000D1E04">
            <w:pPr>
              <w:pStyle w:val="rvps2"/>
              <w:shd w:val="clear" w:color="auto" w:fill="FFFFFF"/>
              <w:spacing w:before="0" w:beforeAutospacing="0" w:after="0" w:afterAutospacing="0" w:line="240" w:lineRule="atLeast"/>
              <w:jc w:val="both"/>
              <w:rPr>
                <w:b/>
                <w:lang w:val="uk-UA"/>
              </w:rPr>
            </w:pPr>
          </w:p>
          <w:p w:rsidR="00C84D6C" w:rsidRPr="00C92BD2" w:rsidRDefault="00C84D6C" w:rsidP="000D1E04">
            <w:pPr>
              <w:pStyle w:val="rvps2"/>
              <w:shd w:val="clear" w:color="auto" w:fill="FFFFFF"/>
              <w:spacing w:before="0" w:beforeAutospacing="0" w:after="0" w:afterAutospacing="0" w:line="240" w:lineRule="atLeast"/>
              <w:jc w:val="both"/>
              <w:rPr>
                <w:b/>
                <w:lang w:val="uk-UA"/>
              </w:rPr>
            </w:pPr>
          </w:p>
          <w:p w:rsidR="0038780F" w:rsidRDefault="0038780F" w:rsidP="000D1E04">
            <w:pPr>
              <w:pStyle w:val="rvps2"/>
              <w:shd w:val="clear" w:color="auto" w:fill="FFFFFF"/>
              <w:spacing w:before="0" w:beforeAutospacing="0" w:after="0" w:afterAutospacing="0" w:line="240" w:lineRule="atLeast"/>
              <w:jc w:val="both"/>
              <w:rPr>
                <w:b/>
                <w:lang w:val="uk-UA"/>
              </w:rPr>
            </w:pPr>
          </w:p>
          <w:p w:rsidR="0038780F" w:rsidRDefault="0038780F" w:rsidP="000D1E04">
            <w:pPr>
              <w:pStyle w:val="rvps2"/>
              <w:shd w:val="clear" w:color="auto" w:fill="FFFFFF"/>
              <w:spacing w:before="0" w:beforeAutospacing="0" w:after="0" w:afterAutospacing="0" w:line="240" w:lineRule="atLeast"/>
              <w:jc w:val="both"/>
              <w:rPr>
                <w:b/>
                <w:lang w:val="uk-UA"/>
              </w:rPr>
            </w:pPr>
          </w:p>
          <w:p w:rsidR="00D43226" w:rsidRPr="00C92BD2" w:rsidRDefault="00D43226" w:rsidP="000D1E04">
            <w:pPr>
              <w:pStyle w:val="rvps2"/>
              <w:shd w:val="clear" w:color="auto" w:fill="FFFFFF"/>
              <w:spacing w:before="0" w:beforeAutospacing="0" w:after="0" w:afterAutospacing="0" w:line="240" w:lineRule="atLeast"/>
              <w:jc w:val="both"/>
              <w:rPr>
                <w:b/>
                <w:lang w:val="uk-UA"/>
              </w:rPr>
            </w:pPr>
          </w:p>
          <w:p w:rsidR="00B810EC" w:rsidRPr="00C92BD2" w:rsidRDefault="00C84D6C" w:rsidP="000D1E04">
            <w:pPr>
              <w:pStyle w:val="rvps2"/>
              <w:shd w:val="clear" w:color="auto" w:fill="FFFFFF"/>
              <w:spacing w:before="0" w:beforeAutospacing="0" w:after="0" w:afterAutospacing="0" w:line="240" w:lineRule="atLeast"/>
              <w:jc w:val="both"/>
              <w:rPr>
                <w:b/>
                <w:lang w:val="uk-UA" w:eastAsia="zh-CN"/>
              </w:rPr>
            </w:pPr>
            <w:r w:rsidRPr="00C92BD2">
              <w:rPr>
                <w:b/>
                <w:lang w:val="uk-UA"/>
              </w:rPr>
              <w:t xml:space="preserve">12) </w:t>
            </w:r>
            <w:r w:rsidRPr="00C92BD2">
              <w:rPr>
                <w:lang w:val="uk-UA"/>
              </w:rPr>
              <w:t xml:space="preserve">інші підстави, які згідно із законодавством встановлюють вимоги до діяльності товариств та/або впливають на проведення операцій в обліковій системі часток, та/або визначені </w:t>
            </w:r>
            <w:r w:rsidRPr="00C92BD2">
              <w:rPr>
                <w:bCs/>
                <w:lang w:val="uk-UA"/>
              </w:rPr>
              <w:t>договором щодо обліку часток товариства в обліковій системі часток, договором щодо обслуговування рахунку(</w:t>
            </w:r>
            <w:proofErr w:type="spellStart"/>
            <w:r w:rsidRPr="00C92BD2">
              <w:rPr>
                <w:bCs/>
                <w:lang w:val="uk-UA"/>
              </w:rPr>
              <w:t>ів</w:t>
            </w:r>
            <w:proofErr w:type="spellEnd"/>
            <w:r w:rsidRPr="00C92BD2">
              <w:rPr>
                <w:bCs/>
                <w:lang w:val="uk-UA"/>
              </w:rPr>
              <w:t xml:space="preserve">) учасника товариства, договором щодо взаємодії з уповноваженою </w:t>
            </w:r>
            <w:r w:rsidRPr="00C92BD2">
              <w:rPr>
                <w:bCs/>
                <w:lang w:val="uk-UA"/>
              </w:rPr>
              <w:lastRenderedPageBreak/>
              <w:t>депозитарною установою, договором рахунка умовного зберігання (</w:t>
            </w:r>
            <w:proofErr w:type="spellStart"/>
            <w:r w:rsidRPr="00C92BD2">
              <w:rPr>
                <w:bCs/>
                <w:lang w:val="uk-UA"/>
              </w:rPr>
              <w:t>ескроу</w:t>
            </w:r>
            <w:proofErr w:type="spellEnd"/>
            <w:r w:rsidRPr="00C92BD2">
              <w:rPr>
                <w:bCs/>
                <w:lang w:val="uk-UA"/>
              </w:rPr>
              <w:t>) часток товариства.</w:t>
            </w:r>
          </w:p>
        </w:tc>
        <w:tc>
          <w:tcPr>
            <w:tcW w:w="1652" w:type="pct"/>
          </w:tcPr>
          <w:p w:rsidR="00A73548" w:rsidRPr="00C92BD2" w:rsidRDefault="00A73548" w:rsidP="004D61AE">
            <w:pPr>
              <w:ind w:firstLine="323"/>
              <w:jc w:val="both"/>
              <w:rPr>
                <w:rFonts w:ascii="Times New Roman" w:hAnsi="Times New Roman" w:cs="Times New Roman"/>
                <w:b/>
                <w:sz w:val="24"/>
                <w:szCs w:val="24"/>
              </w:rPr>
            </w:pPr>
            <w:r w:rsidRPr="00C92BD2">
              <w:rPr>
                <w:rFonts w:ascii="Times New Roman" w:hAnsi="Times New Roman" w:cs="Times New Roman"/>
                <w:b/>
                <w:sz w:val="24"/>
                <w:szCs w:val="24"/>
              </w:rPr>
              <w:lastRenderedPageBreak/>
              <w:t>За результатами проведеної спільної наради НКЦПФР та НДУ</w:t>
            </w:r>
          </w:p>
          <w:p w:rsidR="00A73548" w:rsidRDefault="00A73548" w:rsidP="004D61AE">
            <w:pPr>
              <w:ind w:firstLine="323"/>
              <w:jc w:val="both"/>
              <w:rPr>
                <w:rFonts w:ascii="Times New Roman" w:hAnsi="Times New Roman" w:cs="Times New Roman"/>
                <w:b/>
                <w:sz w:val="24"/>
                <w:szCs w:val="24"/>
              </w:rPr>
            </w:pPr>
          </w:p>
          <w:p w:rsidR="0038780F" w:rsidRPr="0038780F" w:rsidRDefault="0038780F" w:rsidP="004D61AE">
            <w:pPr>
              <w:ind w:firstLine="323"/>
              <w:jc w:val="both"/>
              <w:rPr>
                <w:rFonts w:ascii="Times New Roman" w:hAnsi="Times New Roman" w:cs="Times New Roman"/>
                <w:b/>
                <w:sz w:val="24"/>
                <w:szCs w:val="24"/>
              </w:rPr>
            </w:pPr>
            <w:r w:rsidRPr="0038780F">
              <w:rPr>
                <w:rFonts w:ascii="Times New Roman" w:hAnsi="Times New Roman" w:cs="Times New Roman"/>
                <w:b/>
                <w:sz w:val="24"/>
                <w:szCs w:val="24"/>
                <w:lang w:eastAsia="uk"/>
              </w:rPr>
              <w:t xml:space="preserve">11) </w:t>
            </w:r>
            <w:r w:rsidRPr="0038780F">
              <w:rPr>
                <w:rFonts w:ascii="Times New Roman" w:hAnsi="Times New Roman" w:cs="Times New Roman"/>
                <w:b/>
                <w:bCs/>
                <w:sz w:val="24"/>
                <w:szCs w:val="24"/>
              </w:rPr>
              <w:t>внесення змін до облікової системи часток порушуватиме спеціальні економічні та інші обмежувальні заходи (санкції), застосовані до учасника товариства відповідно до Закону України «Про санкції</w:t>
            </w:r>
            <w:r w:rsidR="00AB11E3">
              <w:rPr>
                <w:rFonts w:ascii="Times New Roman" w:hAnsi="Times New Roman" w:cs="Times New Roman"/>
                <w:b/>
                <w:bCs/>
                <w:sz w:val="24"/>
                <w:szCs w:val="24"/>
              </w:rPr>
              <w:t>;</w:t>
            </w:r>
          </w:p>
          <w:p w:rsidR="0038780F" w:rsidRDefault="0038780F" w:rsidP="004D61AE">
            <w:pPr>
              <w:ind w:firstLine="323"/>
              <w:jc w:val="both"/>
              <w:rPr>
                <w:rFonts w:ascii="Times New Roman" w:hAnsi="Times New Roman" w:cs="Times New Roman"/>
                <w:b/>
                <w:sz w:val="24"/>
                <w:szCs w:val="24"/>
              </w:rPr>
            </w:pPr>
          </w:p>
          <w:p w:rsidR="00AB11E3" w:rsidRPr="00C92BD2" w:rsidRDefault="00AB11E3" w:rsidP="004D61AE">
            <w:pPr>
              <w:ind w:firstLine="323"/>
              <w:jc w:val="both"/>
              <w:rPr>
                <w:rFonts w:ascii="Times New Roman" w:hAnsi="Times New Roman" w:cs="Times New Roman"/>
                <w:b/>
                <w:sz w:val="24"/>
                <w:szCs w:val="24"/>
              </w:rPr>
            </w:pPr>
          </w:p>
          <w:p w:rsidR="00C84D6C" w:rsidRDefault="00C84D6C" w:rsidP="004D61AE">
            <w:pPr>
              <w:ind w:firstLine="323"/>
              <w:jc w:val="both"/>
              <w:rPr>
                <w:rFonts w:ascii="Times New Roman" w:hAnsi="Times New Roman" w:cs="Times New Roman"/>
                <w:b/>
                <w:bCs/>
                <w:sz w:val="24"/>
                <w:szCs w:val="24"/>
              </w:rPr>
            </w:pPr>
            <w:r w:rsidRPr="00C92BD2">
              <w:rPr>
                <w:rFonts w:ascii="Times New Roman" w:hAnsi="Times New Roman" w:cs="Times New Roman"/>
                <w:b/>
                <w:sz w:val="24"/>
                <w:szCs w:val="24"/>
              </w:rPr>
              <w:t xml:space="preserve">12) надання </w:t>
            </w:r>
            <w:r w:rsidRPr="00C92BD2">
              <w:rPr>
                <w:rFonts w:ascii="Times New Roman" w:hAnsi="Times New Roman" w:cs="Times New Roman"/>
                <w:b/>
                <w:strike/>
                <w:sz w:val="24"/>
                <w:szCs w:val="24"/>
              </w:rPr>
              <w:t>попередньою</w:t>
            </w:r>
            <w:r w:rsidRPr="00C92BD2">
              <w:rPr>
                <w:rFonts w:ascii="Times New Roman" w:hAnsi="Times New Roman" w:cs="Times New Roman"/>
                <w:b/>
                <w:sz w:val="24"/>
                <w:szCs w:val="24"/>
              </w:rPr>
              <w:t xml:space="preserve"> уповноваженою депозитарною установою </w:t>
            </w:r>
            <w:r w:rsidRPr="00C92BD2">
              <w:rPr>
                <w:rFonts w:ascii="Times New Roman" w:hAnsi="Times New Roman" w:cs="Times New Roman"/>
                <w:b/>
                <w:bCs/>
                <w:sz w:val="24"/>
                <w:szCs w:val="24"/>
              </w:rPr>
              <w:t>повідомлення про відмову на переведення обслуговування рахунку учасника товариства;</w:t>
            </w:r>
          </w:p>
          <w:p w:rsidR="0038780F" w:rsidRDefault="0038780F" w:rsidP="004D61AE">
            <w:pPr>
              <w:ind w:firstLine="323"/>
              <w:jc w:val="both"/>
              <w:rPr>
                <w:rFonts w:ascii="Times New Roman" w:hAnsi="Times New Roman" w:cs="Times New Roman"/>
                <w:b/>
                <w:sz w:val="24"/>
                <w:szCs w:val="24"/>
              </w:rPr>
            </w:pPr>
          </w:p>
          <w:p w:rsidR="0038780F" w:rsidRPr="00C92BD2" w:rsidRDefault="0038780F" w:rsidP="0038780F">
            <w:pPr>
              <w:jc w:val="both"/>
              <w:rPr>
                <w:rFonts w:ascii="Times New Roman" w:hAnsi="Times New Roman" w:cs="Times New Roman"/>
                <w:b/>
                <w:sz w:val="24"/>
                <w:szCs w:val="24"/>
              </w:rPr>
            </w:pPr>
          </w:p>
          <w:p w:rsidR="00B810EC" w:rsidRPr="00C92BD2" w:rsidRDefault="00C84D6C" w:rsidP="00C84D6C">
            <w:pPr>
              <w:pStyle w:val="rvps2"/>
              <w:shd w:val="clear" w:color="auto" w:fill="FFFFFF"/>
              <w:spacing w:before="0" w:beforeAutospacing="0" w:after="0" w:afterAutospacing="0" w:line="240" w:lineRule="atLeast"/>
              <w:ind w:firstLine="284"/>
              <w:jc w:val="both"/>
              <w:rPr>
                <w:b/>
                <w:i/>
                <w:lang w:val="uk-UA"/>
              </w:rPr>
            </w:pPr>
            <w:r w:rsidRPr="00C92BD2">
              <w:rPr>
                <w:b/>
                <w:lang w:val="uk-UA"/>
              </w:rPr>
              <w:t xml:space="preserve">13) </w:t>
            </w:r>
            <w:r w:rsidRPr="00C92BD2">
              <w:rPr>
                <w:lang w:val="uk-UA"/>
              </w:rPr>
              <w:t xml:space="preserve">інші підстави, які згідно із законодавством встановлюють вимоги до діяльності товариств та/або впливають на проведення операцій в обліковій системі часток, та/або визначені </w:t>
            </w:r>
            <w:r w:rsidRPr="00C92BD2">
              <w:rPr>
                <w:bCs/>
                <w:lang w:val="uk-UA"/>
              </w:rPr>
              <w:t>договором щодо обліку часток товариства в обліковій системі часток, договором щодо обслуговування рахунку(</w:t>
            </w:r>
            <w:proofErr w:type="spellStart"/>
            <w:r w:rsidRPr="00C92BD2">
              <w:rPr>
                <w:bCs/>
                <w:lang w:val="uk-UA"/>
              </w:rPr>
              <w:t>ів</w:t>
            </w:r>
            <w:proofErr w:type="spellEnd"/>
            <w:r w:rsidRPr="00C92BD2">
              <w:rPr>
                <w:bCs/>
                <w:lang w:val="uk-UA"/>
              </w:rPr>
              <w:t xml:space="preserve">) учасника товариства, договором </w:t>
            </w:r>
            <w:r w:rsidRPr="00C92BD2">
              <w:rPr>
                <w:bCs/>
                <w:lang w:val="uk-UA"/>
              </w:rPr>
              <w:lastRenderedPageBreak/>
              <w:t>щодо взаємодії з уповноваженою депозитарною установою, договором рахунка умовного зберігання (</w:t>
            </w:r>
            <w:proofErr w:type="spellStart"/>
            <w:r w:rsidRPr="00C92BD2">
              <w:rPr>
                <w:bCs/>
                <w:lang w:val="uk-UA"/>
              </w:rPr>
              <w:t>ескроу</w:t>
            </w:r>
            <w:proofErr w:type="spellEnd"/>
            <w:r w:rsidRPr="00C92BD2">
              <w:rPr>
                <w:bCs/>
                <w:lang w:val="uk-UA"/>
              </w:rPr>
              <w:t>) часток товариства.</w:t>
            </w:r>
          </w:p>
        </w:tc>
        <w:tc>
          <w:tcPr>
            <w:tcW w:w="1590" w:type="pct"/>
          </w:tcPr>
          <w:p w:rsidR="00655ED5" w:rsidRPr="00C92BD2" w:rsidRDefault="00655ED5" w:rsidP="005B4F5A">
            <w:pPr>
              <w:pStyle w:val="rvps2"/>
              <w:shd w:val="clear" w:color="auto" w:fill="FFFFFF"/>
              <w:spacing w:before="0" w:beforeAutospacing="0" w:after="0" w:afterAutospacing="0" w:line="240" w:lineRule="atLeast"/>
              <w:ind w:firstLine="284"/>
              <w:jc w:val="both"/>
              <w:rPr>
                <w:b/>
                <w:lang w:val="uk-UA"/>
              </w:rPr>
            </w:pPr>
          </w:p>
          <w:p w:rsidR="0038780F" w:rsidRDefault="0038780F" w:rsidP="00AB11E3">
            <w:pPr>
              <w:pStyle w:val="rvps2"/>
              <w:shd w:val="clear" w:color="auto" w:fill="FFFFFF"/>
              <w:spacing w:before="0" w:beforeAutospacing="0" w:after="0" w:afterAutospacing="0" w:line="240" w:lineRule="atLeast"/>
              <w:jc w:val="both"/>
              <w:rPr>
                <w:b/>
                <w:lang w:val="uk-UA"/>
              </w:rPr>
            </w:pPr>
          </w:p>
          <w:p w:rsidR="003A2AC5" w:rsidRPr="00C92BD2" w:rsidRDefault="003A2AC5" w:rsidP="003A2AC5">
            <w:pPr>
              <w:pStyle w:val="rvps2"/>
              <w:shd w:val="clear" w:color="auto" w:fill="FFFFFF"/>
              <w:spacing w:before="0" w:beforeAutospacing="0" w:after="0" w:afterAutospacing="0" w:line="240" w:lineRule="atLeast"/>
              <w:ind w:firstLine="284"/>
              <w:jc w:val="both"/>
              <w:rPr>
                <w:b/>
                <w:lang w:val="uk-UA"/>
              </w:rPr>
            </w:pPr>
            <w:r w:rsidRPr="00C92BD2">
              <w:rPr>
                <w:b/>
                <w:lang w:val="uk-UA"/>
              </w:rPr>
              <w:t>Враховано редакційно.</w:t>
            </w:r>
          </w:p>
          <w:p w:rsidR="0038780F" w:rsidRPr="003A2AC5" w:rsidRDefault="003A2AC5" w:rsidP="005B4F5A">
            <w:pPr>
              <w:pStyle w:val="rvps2"/>
              <w:shd w:val="clear" w:color="auto" w:fill="FFFFFF"/>
              <w:spacing w:before="0" w:beforeAutospacing="0" w:after="0" w:afterAutospacing="0" w:line="240" w:lineRule="atLeast"/>
              <w:ind w:firstLine="284"/>
              <w:jc w:val="both"/>
              <w:rPr>
                <w:b/>
                <w:lang w:val="uk-UA"/>
              </w:rPr>
            </w:pPr>
            <w:r>
              <w:rPr>
                <w:rFonts w:eastAsiaTheme="minorHAnsi"/>
                <w:b/>
                <w:bCs/>
                <w:lang w:val="uk-UA" w:eastAsia="en-US"/>
              </w:rPr>
              <w:t xml:space="preserve">11) </w:t>
            </w:r>
            <w:r w:rsidRPr="003A2AC5">
              <w:rPr>
                <w:rFonts w:eastAsiaTheme="minorHAnsi"/>
                <w:b/>
                <w:bCs/>
                <w:lang w:val="uk-UA" w:eastAsia="en-US"/>
              </w:rPr>
              <w:t>внесення змін до облікової системи часток порушуватиме спеціальні економічні та інші обмежувальні заходи (санкції), застосовані до учасника товариства відповідно до Закону України «Про санкції»;</w:t>
            </w:r>
          </w:p>
          <w:p w:rsidR="0038780F" w:rsidRPr="00C92BD2" w:rsidRDefault="0038780F" w:rsidP="00AB11E3">
            <w:pPr>
              <w:pStyle w:val="rvps2"/>
              <w:shd w:val="clear" w:color="auto" w:fill="FFFFFF"/>
              <w:spacing w:before="0" w:beforeAutospacing="0" w:after="0" w:afterAutospacing="0" w:line="240" w:lineRule="atLeast"/>
              <w:jc w:val="both"/>
              <w:rPr>
                <w:b/>
                <w:lang w:val="uk-UA"/>
              </w:rPr>
            </w:pPr>
          </w:p>
          <w:p w:rsidR="00B810EC" w:rsidRPr="00C92BD2" w:rsidRDefault="004D61AE" w:rsidP="005B4F5A">
            <w:pPr>
              <w:pStyle w:val="rvps2"/>
              <w:shd w:val="clear" w:color="auto" w:fill="FFFFFF"/>
              <w:spacing w:before="0" w:beforeAutospacing="0" w:after="0" w:afterAutospacing="0" w:line="240" w:lineRule="atLeast"/>
              <w:ind w:firstLine="284"/>
              <w:jc w:val="both"/>
              <w:rPr>
                <w:b/>
                <w:lang w:val="uk-UA"/>
              </w:rPr>
            </w:pPr>
            <w:r w:rsidRPr="00C92BD2">
              <w:rPr>
                <w:b/>
                <w:lang w:val="uk-UA"/>
              </w:rPr>
              <w:t>Враховано</w:t>
            </w:r>
            <w:r w:rsidR="00417EB0" w:rsidRPr="00C92BD2">
              <w:rPr>
                <w:b/>
                <w:lang w:val="uk-UA"/>
              </w:rPr>
              <w:t xml:space="preserve"> редакційно</w:t>
            </w:r>
            <w:r w:rsidR="00AB4851" w:rsidRPr="00C92BD2">
              <w:rPr>
                <w:b/>
                <w:lang w:val="uk-UA"/>
              </w:rPr>
              <w:t>.</w:t>
            </w:r>
          </w:p>
          <w:p w:rsidR="00417EB0" w:rsidRPr="00C92BD2" w:rsidRDefault="00417EB0" w:rsidP="00417EB0">
            <w:pPr>
              <w:ind w:firstLine="323"/>
              <w:jc w:val="both"/>
              <w:rPr>
                <w:rFonts w:ascii="Times New Roman" w:hAnsi="Times New Roman" w:cs="Times New Roman"/>
                <w:b/>
                <w:sz w:val="24"/>
                <w:szCs w:val="24"/>
              </w:rPr>
            </w:pPr>
            <w:r w:rsidRPr="00C92BD2">
              <w:rPr>
                <w:rFonts w:ascii="Times New Roman" w:hAnsi="Times New Roman" w:cs="Times New Roman"/>
                <w:b/>
                <w:sz w:val="24"/>
                <w:szCs w:val="24"/>
              </w:rPr>
              <w:t xml:space="preserve">12) надання уповноваженою депозитарною установою </w:t>
            </w:r>
            <w:r w:rsidRPr="00C92BD2">
              <w:rPr>
                <w:rFonts w:ascii="Times New Roman" w:hAnsi="Times New Roman" w:cs="Times New Roman"/>
                <w:b/>
                <w:bCs/>
                <w:sz w:val="24"/>
                <w:szCs w:val="24"/>
              </w:rPr>
              <w:t>повідомлення про відмову на переведення обслуговування рахунку учасника товариства;</w:t>
            </w:r>
          </w:p>
          <w:p w:rsidR="00417EB0" w:rsidRPr="00C92BD2" w:rsidRDefault="00417EB0" w:rsidP="005B4F5A">
            <w:pPr>
              <w:pStyle w:val="rvps2"/>
              <w:shd w:val="clear" w:color="auto" w:fill="FFFFFF"/>
              <w:spacing w:before="0" w:beforeAutospacing="0" w:after="0" w:afterAutospacing="0" w:line="240" w:lineRule="atLeast"/>
              <w:ind w:firstLine="284"/>
              <w:jc w:val="both"/>
              <w:rPr>
                <w:b/>
                <w:lang w:val="uk-UA"/>
              </w:rPr>
            </w:pPr>
          </w:p>
        </w:tc>
      </w:tr>
      <w:tr w:rsidR="00C92BD2" w:rsidRPr="00C92BD2" w:rsidTr="00A73548">
        <w:tc>
          <w:tcPr>
            <w:tcW w:w="5000" w:type="pct"/>
            <w:gridSpan w:val="3"/>
          </w:tcPr>
          <w:p w:rsidR="00A73548" w:rsidRPr="00C92BD2" w:rsidRDefault="00A73548" w:rsidP="00A73548">
            <w:pPr>
              <w:pStyle w:val="rvps2"/>
              <w:shd w:val="clear" w:color="auto" w:fill="FFFFFF"/>
              <w:spacing w:before="0" w:beforeAutospacing="0" w:after="0" w:afterAutospacing="0" w:line="240" w:lineRule="atLeast"/>
              <w:ind w:firstLine="22"/>
              <w:jc w:val="center"/>
              <w:rPr>
                <w:b/>
                <w:lang w:val="uk-UA"/>
              </w:rPr>
            </w:pPr>
            <w:r w:rsidRPr="00C92BD2">
              <w:rPr>
                <w:b/>
                <w:lang w:val="uk-UA"/>
              </w:rPr>
              <w:t>IV. Порядок припинення обліку часток товариств в обліковій системі часток</w:t>
            </w:r>
          </w:p>
        </w:tc>
      </w:tr>
      <w:tr w:rsidR="00C92BD2" w:rsidRPr="00C92BD2" w:rsidTr="001422E3">
        <w:tc>
          <w:tcPr>
            <w:tcW w:w="1758" w:type="pct"/>
          </w:tcPr>
          <w:p w:rsidR="005B2057" w:rsidRPr="00C92BD2" w:rsidRDefault="005B2057" w:rsidP="005B2057">
            <w:pPr>
              <w:pStyle w:val="rvps2"/>
              <w:shd w:val="clear" w:color="auto" w:fill="FFFFFF"/>
              <w:spacing w:before="0" w:beforeAutospacing="0" w:after="0" w:afterAutospacing="0" w:line="240" w:lineRule="atLeast"/>
              <w:jc w:val="both"/>
              <w:rPr>
                <w:b/>
                <w:lang w:val="uk-UA"/>
              </w:rPr>
            </w:pPr>
            <w:r w:rsidRPr="00C92BD2">
              <w:rPr>
                <w:b/>
                <w:lang w:val="uk-UA"/>
              </w:rPr>
              <w:t xml:space="preserve">Відсутній в </w:t>
            </w:r>
            <w:proofErr w:type="spellStart"/>
            <w:r w:rsidRPr="00C92BD2">
              <w:rPr>
                <w:b/>
                <w:lang w:val="uk-UA"/>
              </w:rPr>
              <w:t>проєкті</w:t>
            </w:r>
            <w:proofErr w:type="spellEnd"/>
            <w:r w:rsidRPr="00C92BD2">
              <w:rPr>
                <w:b/>
                <w:lang w:val="uk-UA"/>
              </w:rPr>
              <w:t xml:space="preserve"> змін</w:t>
            </w:r>
            <w:r w:rsidR="005B017F">
              <w:rPr>
                <w:b/>
                <w:lang w:val="uk-UA"/>
              </w:rPr>
              <w:t>.</w:t>
            </w:r>
          </w:p>
          <w:p w:rsidR="005B2057" w:rsidRPr="00C92BD2" w:rsidRDefault="005B2057" w:rsidP="005B2057">
            <w:pPr>
              <w:pStyle w:val="rvps2"/>
              <w:shd w:val="clear" w:color="auto" w:fill="FFFFFF"/>
              <w:spacing w:before="0" w:beforeAutospacing="0" w:after="0" w:afterAutospacing="0" w:line="240" w:lineRule="atLeast"/>
              <w:jc w:val="both"/>
              <w:rPr>
                <w:b/>
                <w:lang w:val="uk-UA"/>
              </w:rPr>
            </w:pPr>
          </w:p>
          <w:p w:rsidR="005B2057" w:rsidRPr="00C92BD2" w:rsidRDefault="005B2057" w:rsidP="005B2057">
            <w:pPr>
              <w:pStyle w:val="rvps2"/>
              <w:shd w:val="clear" w:color="auto" w:fill="FFFFFF"/>
              <w:spacing w:before="0" w:beforeAutospacing="0" w:after="0" w:afterAutospacing="0" w:line="240" w:lineRule="atLeast"/>
              <w:jc w:val="both"/>
              <w:rPr>
                <w:lang w:val="uk-UA"/>
              </w:rPr>
            </w:pPr>
            <w:r w:rsidRPr="00C92BD2">
              <w:rPr>
                <w:lang w:val="uk-UA"/>
              </w:rPr>
              <w:t>34. Припинення обліку часток товариства в обліковій системі часток здійснюється:</w:t>
            </w:r>
          </w:p>
          <w:p w:rsidR="005B2057" w:rsidRPr="00C92BD2" w:rsidRDefault="005B2057" w:rsidP="005B2057">
            <w:pPr>
              <w:pStyle w:val="rvps2"/>
              <w:shd w:val="clear" w:color="auto" w:fill="FFFFFF"/>
              <w:spacing w:before="0" w:beforeAutospacing="0" w:after="0" w:afterAutospacing="0" w:line="240" w:lineRule="atLeast"/>
              <w:jc w:val="both"/>
              <w:rPr>
                <w:lang w:val="uk-UA"/>
              </w:rPr>
            </w:pPr>
          </w:p>
          <w:p w:rsidR="005B2057" w:rsidRPr="00C92BD2" w:rsidRDefault="005B2057" w:rsidP="005B2057">
            <w:pPr>
              <w:pStyle w:val="rvps2"/>
              <w:shd w:val="clear" w:color="auto" w:fill="FFFFFF"/>
              <w:spacing w:before="0" w:beforeAutospacing="0" w:after="0" w:afterAutospacing="0" w:line="240" w:lineRule="atLeast"/>
              <w:jc w:val="both"/>
              <w:rPr>
                <w:lang w:val="uk-UA"/>
              </w:rPr>
            </w:pPr>
            <w:r w:rsidRPr="00C92BD2">
              <w:rPr>
                <w:lang w:val="uk-UA"/>
              </w:rPr>
              <w:t>за власною ініціативою товариства. Учасники товариства у будь-який момент відповідно до Закону України "Про товариства з обмеженою та додатковою відповідальністю" та цього Порядку можуть прийняти рішення про припинення обліку часток товариства в обліковій системі часток;</w:t>
            </w:r>
          </w:p>
          <w:p w:rsidR="005B2057" w:rsidRPr="00C92BD2" w:rsidRDefault="005B2057" w:rsidP="005B2057">
            <w:pPr>
              <w:pStyle w:val="rvps2"/>
              <w:shd w:val="clear" w:color="auto" w:fill="FFFFFF"/>
              <w:spacing w:before="0" w:beforeAutospacing="0" w:after="0" w:afterAutospacing="0" w:line="240" w:lineRule="atLeast"/>
              <w:jc w:val="both"/>
              <w:rPr>
                <w:lang w:val="uk-UA"/>
              </w:rPr>
            </w:pPr>
          </w:p>
          <w:p w:rsidR="005B2057" w:rsidRDefault="005B2057" w:rsidP="005B2057">
            <w:pPr>
              <w:pStyle w:val="rvps2"/>
              <w:shd w:val="clear" w:color="auto" w:fill="FFFFFF"/>
              <w:spacing w:before="0" w:beforeAutospacing="0" w:after="0" w:afterAutospacing="0" w:line="240" w:lineRule="atLeast"/>
              <w:jc w:val="both"/>
              <w:rPr>
                <w:strike/>
                <w:lang w:val="uk-UA"/>
              </w:rPr>
            </w:pPr>
            <w:r w:rsidRPr="00C92BD2">
              <w:rPr>
                <w:lang w:val="uk-UA"/>
              </w:rPr>
              <w:t>у разі припинення дії договору щодо обліку часток товариства в обліковій системі часток. Договір щодо обліку часток товариства в обліковій системі часток не може бути припинено у разі наявності в обліковій системі часток рахунків умовного зберігання (</w:t>
            </w:r>
            <w:proofErr w:type="spellStart"/>
            <w:r w:rsidRPr="00C92BD2">
              <w:rPr>
                <w:lang w:val="uk-UA"/>
              </w:rPr>
              <w:t>ескроу</w:t>
            </w:r>
            <w:proofErr w:type="spellEnd"/>
            <w:r w:rsidRPr="00C92BD2">
              <w:rPr>
                <w:lang w:val="uk-UA"/>
              </w:rPr>
              <w:t xml:space="preserve">) часток товариства, на яких обліковуються частки товариства (крім випадку припинення дії договору щодо обліку часток товариства в обліковій системі часток внаслідок припинення товариства в результаті реорганізації та/або ліквідації). </w:t>
            </w:r>
            <w:r w:rsidRPr="00C92BD2">
              <w:rPr>
                <w:b/>
                <w:lang w:val="uk-UA"/>
              </w:rPr>
              <w:t xml:space="preserve">У разі наявності в обліковій системі часток обмежень щодо часток товариства внаслідок застави, дія договору щодо обліку часток товариства в обліковій </w:t>
            </w:r>
            <w:r w:rsidRPr="00C92BD2">
              <w:rPr>
                <w:b/>
                <w:lang w:val="uk-UA"/>
              </w:rPr>
              <w:lastRenderedPageBreak/>
              <w:t>системі часток може бути припинена лише у разі надання згоди заставодержателем щодо припинення обліку часток товариства в обліковій системі часток</w:t>
            </w:r>
            <w:r w:rsidRPr="00C92BD2">
              <w:rPr>
                <w:lang w:val="uk-UA"/>
              </w:rPr>
              <w:t xml:space="preserve"> </w:t>
            </w:r>
            <w:r w:rsidRPr="00C92BD2">
              <w:rPr>
                <w:strike/>
                <w:lang w:val="uk-UA"/>
              </w:rPr>
              <w:t>(крім випадку припинення дії договору щодо обліку часток товариства в обліковій системі часток внаслідок припинення товариства в результаті реорганізації та/або ліквідації).</w:t>
            </w:r>
          </w:p>
          <w:p w:rsidR="004A16EB" w:rsidRDefault="004A16EB" w:rsidP="005B2057">
            <w:pPr>
              <w:pStyle w:val="rvps2"/>
              <w:shd w:val="clear" w:color="auto" w:fill="FFFFFF"/>
              <w:spacing w:before="0" w:beforeAutospacing="0" w:after="0" w:afterAutospacing="0" w:line="240" w:lineRule="atLeast"/>
              <w:jc w:val="both"/>
              <w:rPr>
                <w:strike/>
                <w:lang w:val="uk-UA"/>
              </w:rPr>
            </w:pPr>
          </w:p>
          <w:p w:rsidR="004A16EB" w:rsidRDefault="004A16EB" w:rsidP="005B2057">
            <w:pPr>
              <w:pStyle w:val="rvps2"/>
              <w:shd w:val="clear" w:color="auto" w:fill="FFFFFF"/>
              <w:spacing w:before="0" w:beforeAutospacing="0" w:after="0" w:afterAutospacing="0" w:line="240" w:lineRule="atLeast"/>
              <w:jc w:val="both"/>
              <w:rPr>
                <w:strike/>
                <w:lang w:val="uk-UA"/>
              </w:rPr>
            </w:pPr>
          </w:p>
          <w:p w:rsidR="004A16EB" w:rsidRDefault="004A16EB" w:rsidP="005B2057">
            <w:pPr>
              <w:pStyle w:val="rvps2"/>
              <w:shd w:val="clear" w:color="auto" w:fill="FFFFFF"/>
              <w:spacing w:before="0" w:beforeAutospacing="0" w:after="0" w:afterAutospacing="0" w:line="240" w:lineRule="atLeast"/>
              <w:jc w:val="both"/>
              <w:rPr>
                <w:strike/>
                <w:lang w:val="uk-UA"/>
              </w:rPr>
            </w:pPr>
          </w:p>
          <w:p w:rsidR="004A16EB" w:rsidRPr="00C92BD2" w:rsidRDefault="004A16EB" w:rsidP="005B2057">
            <w:pPr>
              <w:pStyle w:val="rvps2"/>
              <w:shd w:val="clear" w:color="auto" w:fill="FFFFFF"/>
              <w:spacing w:before="0" w:beforeAutospacing="0" w:after="0" w:afterAutospacing="0" w:line="240" w:lineRule="atLeast"/>
              <w:jc w:val="both"/>
              <w:rPr>
                <w:b/>
                <w:lang w:val="uk-UA"/>
              </w:rPr>
            </w:pPr>
          </w:p>
        </w:tc>
        <w:tc>
          <w:tcPr>
            <w:tcW w:w="1652" w:type="pct"/>
          </w:tcPr>
          <w:p w:rsidR="003A5BD5" w:rsidRPr="00C92BD2" w:rsidRDefault="003A5BD5" w:rsidP="005B2057">
            <w:pPr>
              <w:ind w:firstLine="323"/>
              <w:jc w:val="both"/>
              <w:rPr>
                <w:rFonts w:ascii="Times New Roman" w:hAnsi="Times New Roman" w:cs="Times New Roman"/>
                <w:b/>
                <w:sz w:val="24"/>
                <w:szCs w:val="24"/>
              </w:rPr>
            </w:pPr>
            <w:r w:rsidRPr="00C92BD2">
              <w:rPr>
                <w:rFonts w:ascii="Times New Roman" w:hAnsi="Times New Roman" w:cs="Times New Roman"/>
                <w:b/>
                <w:sz w:val="24"/>
                <w:szCs w:val="24"/>
              </w:rPr>
              <w:lastRenderedPageBreak/>
              <w:t>Пропозиції АТ «Райффайзен Банк»</w:t>
            </w:r>
          </w:p>
          <w:p w:rsidR="003A5BD5" w:rsidRPr="00C92BD2" w:rsidRDefault="003A5BD5" w:rsidP="005B2057">
            <w:pPr>
              <w:ind w:firstLine="323"/>
              <w:jc w:val="both"/>
              <w:rPr>
                <w:rFonts w:ascii="Times New Roman" w:hAnsi="Times New Roman" w:cs="Times New Roman"/>
                <w:i/>
                <w:sz w:val="24"/>
                <w:szCs w:val="24"/>
              </w:rPr>
            </w:pPr>
            <w:r w:rsidRPr="00C92BD2">
              <w:rPr>
                <w:rFonts w:ascii="Times New Roman" w:hAnsi="Times New Roman" w:cs="Times New Roman"/>
                <w:i/>
                <w:sz w:val="24"/>
                <w:szCs w:val="24"/>
              </w:rPr>
              <w:t>Пропонуємо виключити обумовлене виключення, захистивши інтереси заставодержателя.</w:t>
            </w:r>
          </w:p>
          <w:p w:rsidR="003A5BD5" w:rsidRPr="00C92BD2" w:rsidRDefault="003A5BD5"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sz w:val="24"/>
                <w:szCs w:val="24"/>
              </w:rPr>
            </w:pPr>
            <w:r w:rsidRPr="00C92BD2">
              <w:rPr>
                <w:rFonts w:ascii="Times New Roman" w:hAnsi="Times New Roman" w:cs="Times New Roman"/>
                <w:sz w:val="24"/>
                <w:szCs w:val="24"/>
              </w:rPr>
              <w:t xml:space="preserve">Останнє речення останнього абзацу пункту 34 викласти в такій редакції: </w:t>
            </w:r>
          </w:p>
          <w:p w:rsidR="005B2057" w:rsidRPr="00C92BD2" w:rsidRDefault="005B2057" w:rsidP="005B2057">
            <w:pPr>
              <w:ind w:firstLine="323"/>
              <w:jc w:val="both"/>
              <w:rPr>
                <w:rFonts w:ascii="Times New Roman" w:hAnsi="Times New Roman" w:cs="Times New Roman"/>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3A5BD5" w:rsidRPr="00C92BD2" w:rsidRDefault="003A5BD5" w:rsidP="005B2057">
            <w:pPr>
              <w:ind w:firstLine="323"/>
              <w:jc w:val="both"/>
              <w:rPr>
                <w:rFonts w:ascii="Times New Roman" w:hAnsi="Times New Roman" w:cs="Times New Roman"/>
                <w:b/>
                <w:sz w:val="24"/>
                <w:szCs w:val="24"/>
              </w:rPr>
            </w:pPr>
          </w:p>
          <w:p w:rsidR="003A5BD5" w:rsidRPr="00C92BD2" w:rsidRDefault="003A5BD5" w:rsidP="005B2057">
            <w:pPr>
              <w:ind w:firstLine="323"/>
              <w:jc w:val="both"/>
              <w:rPr>
                <w:rFonts w:ascii="Times New Roman" w:hAnsi="Times New Roman" w:cs="Times New Roman"/>
                <w:b/>
                <w:sz w:val="24"/>
                <w:szCs w:val="24"/>
              </w:rPr>
            </w:pPr>
          </w:p>
          <w:p w:rsidR="003A5BD5" w:rsidRPr="00C92BD2" w:rsidRDefault="003A5BD5" w:rsidP="005B2057">
            <w:pPr>
              <w:ind w:firstLine="323"/>
              <w:jc w:val="both"/>
              <w:rPr>
                <w:rFonts w:ascii="Times New Roman" w:hAnsi="Times New Roman" w:cs="Times New Roman"/>
                <w:b/>
                <w:sz w:val="24"/>
                <w:szCs w:val="24"/>
              </w:rPr>
            </w:pPr>
          </w:p>
          <w:p w:rsidR="003A5BD5" w:rsidRPr="00C92BD2" w:rsidRDefault="003A5BD5"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5B2057">
            <w:pPr>
              <w:ind w:firstLine="323"/>
              <w:jc w:val="both"/>
              <w:rPr>
                <w:rFonts w:ascii="Times New Roman" w:hAnsi="Times New Roman" w:cs="Times New Roman"/>
                <w:b/>
                <w:sz w:val="24"/>
                <w:szCs w:val="24"/>
              </w:rPr>
            </w:pPr>
          </w:p>
          <w:p w:rsidR="005B2057" w:rsidRPr="00C92BD2" w:rsidRDefault="005B2057" w:rsidP="00787E6C">
            <w:pPr>
              <w:ind w:firstLine="323"/>
              <w:jc w:val="both"/>
              <w:rPr>
                <w:rFonts w:ascii="Times New Roman" w:hAnsi="Times New Roman" w:cs="Times New Roman"/>
                <w:b/>
                <w:sz w:val="24"/>
                <w:szCs w:val="24"/>
              </w:rPr>
            </w:pPr>
            <w:r w:rsidRPr="00C92BD2">
              <w:rPr>
                <w:rFonts w:ascii="Times New Roman" w:hAnsi="Times New Roman" w:cs="Times New Roman"/>
                <w:b/>
                <w:sz w:val="24"/>
                <w:szCs w:val="24"/>
              </w:rPr>
              <w:t xml:space="preserve">«У разі наявності в обліковій системі часток обмежень щодо часток товариства внаслідок застави, дія договору щодо обліку часток товариства в обліковій системі </w:t>
            </w:r>
            <w:r w:rsidRPr="00C92BD2">
              <w:rPr>
                <w:rFonts w:ascii="Times New Roman" w:hAnsi="Times New Roman" w:cs="Times New Roman"/>
                <w:b/>
                <w:sz w:val="24"/>
                <w:szCs w:val="24"/>
              </w:rPr>
              <w:lastRenderedPageBreak/>
              <w:t>часток може бути припинена лише у разі надання згоди заставодержателем щодо припинення обліку часток товариства в обліковій системі часток.»</w:t>
            </w:r>
          </w:p>
        </w:tc>
        <w:tc>
          <w:tcPr>
            <w:tcW w:w="1590" w:type="pct"/>
          </w:tcPr>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3B5A3E" w:rsidRDefault="003B5A3E" w:rsidP="005B4F5A">
            <w:pPr>
              <w:pStyle w:val="rvps2"/>
              <w:shd w:val="clear" w:color="auto" w:fill="FFFFFF"/>
              <w:spacing w:before="0" w:beforeAutospacing="0" w:after="0" w:afterAutospacing="0" w:line="240" w:lineRule="atLeast"/>
              <w:ind w:firstLine="284"/>
              <w:jc w:val="both"/>
              <w:rPr>
                <w:b/>
                <w:lang w:val="uk-UA"/>
              </w:rPr>
            </w:pPr>
          </w:p>
          <w:p w:rsidR="005B2057" w:rsidRPr="00C92BD2" w:rsidRDefault="003A5BD5" w:rsidP="005B4F5A">
            <w:pPr>
              <w:pStyle w:val="rvps2"/>
              <w:shd w:val="clear" w:color="auto" w:fill="FFFFFF"/>
              <w:spacing w:before="0" w:beforeAutospacing="0" w:after="0" w:afterAutospacing="0" w:line="240" w:lineRule="atLeast"/>
              <w:ind w:firstLine="284"/>
              <w:jc w:val="both"/>
              <w:rPr>
                <w:b/>
                <w:lang w:val="uk-UA"/>
              </w:rPr>
            </w:pPr>
            <w:r w:rsidRPr="00C92BD2">
              <w:rPr>
                <w:b/>
                <w:lang w:val="uk-UA"/>
              </w:rPr>
              <w:t>Не враховано</w:t>
            </w:r>
            <w:r w:rsidR="00AB4851" w:rsidRPr="00C92BD2">
              <w:rPr>
                <w:b/>
                <w:lang w:val="uk-UA"/>
              </w:rPr>
              <w:t>.</w:t>
            </w:r>
          </w:p>
          <w:p w:rsidR="003A5BD5" w:rsidRPr="00C92BD2" w:rsidRDefault="003A5BD5" w:rsidP="003A5BD5">
            <w:pPr>
              <w:pStyle w:val="rvps2"/>
              <w:shd w:val="clear" w:color="auto" w:fill="FFFFFF"/>
              <w:spacing w:before="0" w:beforeAutospacing="0" w:after="0" w:afterAutospacing="0" w:line="240" w:lineRule="atLeast"/>
              <w:ind w:firstLine="284"/>
              <w:jc w:val="both"/>
              <w:rPr>
                <w:lang w:val="uk-UA"/>
              </w:rPr>
            </w:pPr>
            <w:r w:rsidRPr="00C92BD2">
              <w:rPr>
                <w:lang w:val="uk-UA"/>
              </w:rPr>
              <w:t xml:space="preserve">Припинення ТОВ в результаті реорганізації або ліквідації відбувається поза обліковою системою часток і фіксується шляхом внесення інформації в </w:t>
            </w:r>
            <w:r w:rsidR="0025551D" w:rsidRPr="00C92BD2">
              <w:rPr>
                <w:lang w:val="uk-UA"/>
              </w:rPr>
              <w:t>Єдиний державний реєстр юридичних осіб, фізичних осіб - підприємців та громадських формувань (далі – ЄДР)</w:t>
            </w:r>
            <w:r w:rsidRPr="00C92BD2">
              <w:rPr>
                <w:lang w:val="uk-UA"/>
              </w:rPr>
              <w:t xml:space="preserve"> без участі Центрального депозитарію. </w:t>
            </w:r>
          </w:p>
          <w:p w:rsidR="003A5BD5" w:rsidRPr="00C92BD2" w:rsidRDefault="003A5BD5" w:rsidP="003A5BD5">
            <w:pPr>
              <w:pStyle w:val="rvps2"/>
              <w:shd w:val="clear" w:color="auto" w:fill="FFFFFF"/>
              <w:spacing w:before="0" w:beforeAutospacing="0" w:after="0" w:afterAutospacing="0" w:line="240" w:lineRule="atLeast"/>
              <w:ind w:firstLine="284"/>
              <w:jc w:val="both"/>
              <w:rPr>
                <w:lang w:val="uk-UA"/>
              </w:rPr>
            </w:pPr>
            <w:r w:rsidRPr="00C92BD2">
              <w:rPr>
                <w:lang w:val="uk-UA"/>
              </w:rPr>
              <w:lastRenderedPageBreak/>
              <w:t>Тобто, завжди при припиненні ТОВ внаслідок ліквідації чи організації первинною буде реєстрація в ЄДР, на яку Центральний депозитарій не впливає. Вже потім, на підставі інформації в ЄДР, здійснюються операції в обліковій системі часток щодо припинення обліку таких часток.</w:t>
            </w:r>
          </w:p>
          <w:p w:rsidR="003A5BD5" w:rsidRPr="00C92BD2" w:rsidRDefault="003A5BD5" w:rsidP="003A5BD5">
            <w:pPr>
              <w:pStyle w:val="rvps2"/>
              <w:shd w:val="clear" w:color="auto" w:fill="FFFFFF"/>
              <w:spacing w:before="0" w:beforeAutospacing="0" w:after="0" w:afterAutospacing="0" w:line="240" w:lineRule="atLeast"/>
              <w:ind w:firstLine="284"/>
              <w:jc w:val="both"/>
              <w:rPr>
                <w:lang w:val="uk-UA"/>
              </w:rPr>
            </w:pPr>
            <w:r w:rsidRPr="00C92BD2">
              <w:rPr>
                <w:lang w:val="uk-UA"/>
              </w:rPr>
              <w:t>Центральний депозитарій не може продовжувати обліковувати частки (навіть ті, щодо яких є застава) якщо в ЄДР буде інформація про припинення ТОВ.</w:t>
            </w:r>
          </w:p>
          <w:p w:rsidR="003A5BD5" w:rsidRDefault="003A5BD5" w:rsidP="003A5BD5">
            <w:pPr>
              <w:pStyle w:val="rvps2"/>
              <w:shd w:val="clear" w:color="auto" w:fill="FFFFFF"/>
              <w:spacing w:before="0" w:beforeAutospacing="0" w:after="0" w:afterAutospacing="0" w:line="240" w:lineRule="atLeast"/>
              <w:ind w:firstLine="284"/>
              <w:jc w:val="both"/>
              <w:rPr>
                <w:lang w:val="uk-UA"/>
              </w:rPr>
            </w:pPr>
          </w:p>
          <w:p w:rsidR="00BA78B5" w:rsidRPr="00C92BD2" w:rsidRDefault="00BA78B5" w:rsidP="003A5BD5">
            <w:pPr>
              <w:pStyle w:val="rvps2"/>
              <w:shd w:val="clear" w:color="auto" w:fill="FFFFFF"/>
              <w:spacing w:before="0" w:beforeAutospacing="0" w:after="0" w:afterAutospacing="0" w:line="240" w:lineRule="atLeast"/>
              <w:ind w:firstLine="284"/>
              <w:jc w:val="both"/>
              <w:rPr>
                <w:lang w:val="uk-UA"/>
              </w:rPr>
            </w:pPr>
            <w:bookmarkStart w:id="0" w:name="_GoBack"/>
            <w:bookmarkEnd w:id="0"/>
          </w:p>
        </w:tc>
      </w:tr>
      <w:tr w:rsidR="003A5BD5" w:rsidRPr="00C92BD2" w:rsidTr="001422E3">
        <w:tc>
          <w:tcPr>
            <w:tcW w:w="1758" w:type="pct"/>
          </w:tcPr>
          <w:p w:rsidR="003A5BD5" w:rsidRPr="00C92BD2" w:rsidRDefault="003A5BD5" w:rsidP="003A5BD5">
            <w:pPr>
              <w:pStyle w:val="rvps2"/>
              <w:shd w:val="clear" w:color="auto" w:fill="FFFFFF"/>
              <w:spacing w:before="0" w:beforeAutospacing="0" w:after="0" w:afterAutospacing="0" w:line="240" w:lineRule="atLeast"/>
              <w:jc w:val="both"/>
              <w:rPr>
                <w:b/>
                <w:lang w:val="uk-UA"/>
              </w:rPr>
            </w:pPr>
            <w:r w:rsidRPr="00C92BD2">
              <w:rPr>
                <w:b/>
                <w:lang w:val="uk-UA"/>
              </w:rPr>
              <w:lastRenderedPageBreak/>
              <w:t xml:space="preserve">Відсутній в </w:t>
            </w:r>
            <w:proofErr w:type="spellStart"/>
            <w:r w:rsidRPr="00C92BD2">
              <w:rPr>
                <w:b/>
                <w:lang w:val="uk-UA"/>
              </w:rPr>
              <w:t>проєкті</w:t>
            </w:r>
            <w:proofErr w:type="spellEnd"/>
            <w:r w:rsidRPr="00C92BD2">
              <w:rPr>
                <w:b/>
                <w:lang w:val="uk-UA"/>
              </w:rPr>
              <w:t xml:space="preserve"> змін</w:t>
            </w:r>
            <w:r w:rsidR="005B017F">
              <w:rPr>
                <w:b/>
                <w:lang w:val="uk-UA"/>
              </w:rPr>
              <w:t>.</w:t>
            </w:r>
          </w:p>
          <w:p w:rsidR="003A5BD5" w:rsidRPr="00C92BD2" w:rsidRDefault="003A5BD5" w:rsidP="003A5BD5">
            <w:pPr>
              <w:pStyle w:val="rvps2"/>
              <w:shd w:val="clear" w:color="auto" w:fill="FFFFFF"/>
              <w:spacing w:before="0" w:beforeAutospacing="0" w:after="0" w:afterAutospacing="0" w:line="240" w:lineRule="atLeast"/>
              <w:jc w:val="both"/>
              <w:rPr>
                <w:b/>
                <w:lang w:val="uk-UA"/>
              </w:rPr>
            </w:pPr>
          </w:p>
          <w:p w:rsidR="000B3C94" w:rsidRPr="00C92BD2" w:rsidRDefault="000B3C94" w:rsidP="003A5BD5">
            <w:pPr>
              <w:pStyle w:val="rvps2"/>
              <w:shd w:val="clear" w:color="auto" w:fill="FFFFFF"/>
              <w:spacing w:before="0" w:beforeAutospacing="0" w:after="0" w:afterAutospacing="0" w:line="240" w:lineRule="atLeast"/>
              <w:jc w:val="both"/>
              <w:rPr>
                <w:b/>
                <w:lang w:val="uk-UA"/>
              </w:rPr>
            </w:pPr>
          </w:p>
          <w:p w:rsidR="000B3C94" w:rsidRDefault="000B3C94" w:rsidP="003A5BD5">
            <w:pPr>
              <w:pStyle w:val="rvps2"/>
              <w:shd w:val="clear" w:color="auto" w:fill="FFFFFF"/>
              <w:spacing w:before="0" w:beforeAutospacing="0" w:after="0" w:afterAutospacing="0" w:line="240" w:lineRule="atLeast"/>
              <w:jc w:val="both"/>
              <w:rPr>
                <w:b/>
                <w:lang w:val="uk-UA"/>
              </w:rPr>
            </w:pPr>
          </w:p>
          <w:p w:rsidR="007E6432" w:rsidRPr="00C92BD2" w:rsidRDefault="007E6432" w:rsidP="003A5BD5">
            <w:pPr>
              <w:pStyle w:val="rvps2"/>
              <w:shd w:val="clear" w:color="auto" w:fill="FFFFFF"/>
              <w:spacing w:before="0" w:beforeAutospacing="0" w:after="0" w:afterAutospacing="0" w:line="240" w:lineRule="atLeast"/>
              <w:jc w:val="both"/>
              <w:rPr>
                <w:b/>
                <w:lang w:val="uk-UA"/>
              </w:rPr>
            </w:pPr>
          </w:p>
          <w:p w:rsidR="003A5BD5" w:rsidRPr="00C92BD2" w:rsidRDefault="003A5BD5" w:rsidP="003A5BD5">
            <w:pPr>
              <w:pStyle w:val="rvps2"/>
              <w:shd w:val="clear" w:color="auto" w:fill="FFFFFF"/>
              <w:spacing w:before="0" w:beforeAutospacing="0" w:after="0" w:afterAutospacing="0" w:line="240" w:lineRule="atLeast"/>
              <w:jc w:val="both"/>
              <w:rPr>
                <w:lang w:val="uk-UA"/>
              </w:rPr>
            </w:pPr>
            <w:r w:rsidRPr="00C92BD2">
              <w:rPr>
                <w:lang w:val="uk-UA"/>
              </w:rPr>
              <w:t>36. Рішення про припинення обліку часток товариства в обліковій системі часток може бути прийнято загальними зборами учасників виключно щодо всіх часток товариства та за умови відсутності в обліковій системі часток рахунків умовного зберігання (</w:t>
            </w:r>
            <w:proofErr w:type="spellStart"/>
            <w:r w:rsidRPr="00C92BD2">
              <w:rPr>
                <w:lang w:val="uk-UA"/>
              </w:rPr>
              <w:t>ескроу</w:t>
            </w:r>
            <w:proofErr w:type="spellEnd"/>
            <w:r w:rsidRPr="00C92BD2">
              <w:rPr>
                <w:lang w:val="uk-UA"/>
              </w:rPr>
              <w:t>) часток товариства, на яких обліковуються частки товариства.</w:t>
            </w:r>
          </w:p>
        </w:tc>
        <w:tc>
          <w:tcPr>
            <w:tcW w:w="1652" w:type="pct"/>
          </w:tcPr>
          <w:p w:rsidR="000B3C94" w:rsidRPr="00C92BD2" w:rsidRDefault="000B3C94" w:rsidP="000B3C94">
            <w:pPr>
              <w:pStyle w:val="rvps2"/>
              <w:shd w:val="clear" w:color="auto" w:fill="FFFFFF"/>
              <w:spacing w:before="0" w:beforeAutospacing="0" w:after="0" w:afterAutospacing="0" w:line="240" w:lineRule="atLeast"/>
              <w:jc w:val="both"/>
              <w:rPr>
                <w:b/>
                <w:lang w:val="uk-UA"/>
              </w:rPr>
            </w:pPr>
            <w:r w:rsidRPr="00C92BD2">
              <w:rPr>
                <w:b/>
                <w:lang w:val="uk-UA"/>
              </w:rPr>
              <w:t>Пропозиції АТ «Райффайзен Банк»</w:t>
            </w:r>
          </w:p>
          <w:p w:rsidR="000B3C94" w:rsidRDefault="000B3C94" w:rsidP="000B3C94">
            <w:pPr>
              <w:pStyle w:val="rvps2"/>
              <w:shd w:val="clear" w:color="auto" w:fill="FFFFFF"/>
              <w:spacing w:before="0" w:beforeAutospacing="0" w:after="0" w:afterAutospacing="0" w:line="240" w:lineRule="atLeast"/>
              <w:jc w:val="both"/>
              <w:rPr>
                <w:i/>
                <w:lang w:val="uk-UA"/>
              </w:rPr>
            </w:pPr>
            <w:r w:rsidRPr="00C92BD2">
              <w:rPr>
                <w:i/>
                <w:lang w:val="uk-UA"/>
              </w:rPr>
              <w:t xml:space="preserve">Пропонуємо </w:t>
            </w:r>
            <w:proofErr w:type="spellStart"/>
            <w:r w:rsidRPr="00C92BD2">
              <w:rPr>
                <w:i/>
                <w:lang w:val="uk-UA"/>
              </w:rPr>
              <w:t>внести</w:t>
            </w:r>
            <w:proofErr w:type="spellEnd"/>
            <w:r w:rsidRPr="00C92BD2">
              <w:rPr>
                <w:i/>
                <w:lang w:val="uk-UA"/>
              </w:rPr>
              <w:t xml:space="preserve"> доповнення, захистивши інтереси заставодержателя.</w:t>
            </w:r>
          </w:p>
          <w:p w:rsidR="007E6432" w:rsidRPr="00C92BD2" w:rsidRDefault="007E6432" w:rsidP="000B3C94">
            <w:pPr>
              <w:pStyle w:val="rvps2"/>
              <w:shd w:val="clear" w:color="auto" w:fill="FFFFFF"/>
              <w:spacing w:before="0" w:beforeAutospacing="0" w:after="0" w:afterAutospacing="0" w:line="240" w:lineRule="atLeast"/>
              <w:jc w:val="both"/>
              <w:rPr>
                <w:i/>
                <w:lang w:val="uk-UA"/>
              </w:rPr>
            </w:pPr>
          </w:p>
          <w:p w:rsidR="003A5BD5" w:rsidRPr="00C92BD2" w:rsidRDefault="003A5BD5" w:rsidP="000B3C94">
            <w:pPr>
              <w:pStyle w:val="rvps2"/>
              <w:shd w:val="clear" w:color="auto" w:fill="FFFFFF"/>
              <w:spacing w:before="0" w:beforeAutospacing="0" w:after="0" w:afterAutospacing="0" w:line="240" w:lineRule="atLeast"/>
              <w:jc w:val="both"/>
              <w:rPr>
                <w:b/>
                <w:lang w:val="uk-UA"/>
              </w:rPr>
            </w:pPr>
            <w:r w:rsidRPr="00C92BD2">
              <w:rPr>
                <w:b/>
                <w:lang w:val="uk-UA"/>
              </w:rPr>
              <w:t xml:space="preserve">Пункт 36 викласти в такій редакції: </w:t>
            </w:r>
          </w:p>
          <w:p w:rsidR="003A5BD5" w:rsidRPr="00C92BD2" w:rsidRDefault="003A5BD5" w:rsidP="000B3C94">
            <w:pPr>
              <w:pStyle w:val="rvps2"/>
              <w:shd w:val="clear" w:color="auto" w:fill="FFFFFF"/>
              <w:spacing w:before="0" w:beforeAutospacing="0" w:after="0" w:afterAutospacing="0" w:line="240" w:lineRule="atLeast"/>
              <w:jc w:val="both"/>
              <w:rPr>
                <w:lang w:val="uk-UA"/>
              </w:rPr>
            </w:pPr>
            <w:r w:rsidRPr="00C92BD2">
              <w:rPr>
                <w:lang w:val="uk-UA"/>
              </w:rPr>
              <w:t xml:space="preserve">«36. Рішення про припинення обліку часток товариства в обліковій системі часток може бути прийнято загальними зборами учасників виключно щодо всіх часток товариства та за умови відсутності в обліковій системі часток: </w:t>
            </w:r>
          </w:p>
          <w:p w:rsidR="0025551D" w:rsidRPr="00C92BD2" w:rsidRDefault="0025551D" w:rsidP="000B3C94">
            <w:pPr>
              <w:pStyle w:val="rvps2"/>
              <w:shd w:val="clear" w:color="auto" w:fill="FFFFFF"/>
              <w:spacing w:before="0" w:beforeAutospacing="0" w:after="0" w:afterAutospacing="0" w:line="240" w:lineRule="atLeast"/>
              <w:jc w:val="both"/>
              <w:rPr>
                <w:lang w:val="uk-UA"/>
              </w:rPr>
            </w:pPr>
          </w:p>
          <w:p w:rsidR="003A5BD5" w:rsidRPr="00C92BD2" w:rsidRDefault="003A5BD5" w:rsidP="000B3C94">
            <w:pPr>
              <w:pStyle w:val="rvps2"/>
              <w:shd w:val="clear" w:color="auto" w:fill="FFFFFF"/>
              <w:spacing w:before="0" w:beforeAutospacing="0" w:after="0" w:afterAutospacing="0" w:line="240" w:lineRule="atLeast"/>
              <w:jc w:val="both"/>
              <w:rPr>
                <w:lang w:val="uk-UA"/>
              </w:rPr>
            </w:pPr>
            <w:r w:rsidRPr="00C92BD2">
              <w:rPr>
                <w:lang w:val="uk-UA"/>
              </w:rPr>
              <w:t>рахунків умовного зберігання (</w:t>
            </w:r>
            <w:proofErr w:type="spellStart"/>
            <w:r w:rsidRPr="00C92BD2">
              <w:rPr>
                <w:lang w:val="uk-UA"/>
              </w:rPr>
              <w:t>ескроу</w:t>
            </w:r>
            <w:proofErr w:type="spellEnd"/>
            <w:r w:rsidRPr="00C92BD2">
              <w:rPr>
                <w:lang w:val="uk-UA"/>
              </w:rPr>
              <w:t xml:space="preserve">) часток товариства, на яких обліковуються частки товариства; </w:t>
            </w:r>
          </w:p>
          <w:p w:rsidR="0025551D" w:rsidRPr="00C92BD2" w:rsidRDefault="0025551D" w:rsidP="000B3C94">
            <w:pPr>
              <w:pStyle w:val="rvps2"/>
              <w:shd w:val="clear" w:color="auto" w:fill="FFFFFF"/>
              <w:spacing w:before="0" w:beforeAutospacing="0" w:after="0" w:afterAutospacing="0" w:line="240" w:lineRule="atLeast"/>
              <w:jc w:val="both"/>
              <w:rPr>
                <w:b/>
                <w:lang w:val="uk-UA"/>
              </w:rPr>
            </w:pPr>
          </w:p>
          <w:p w:rsidR="003A5BD5" w:rsidRPr="00C92BD2" w:rsidRDefault="003A5BD5" w:rsidP="000B3C94">
            <w:pPr>
              <w:pStyle w:val="rvps2"/>
              <w:shd w:val="clear" w:color="auto" w:fill="FFFFFF"/>
              <w:spacing w:before="0" w:beforeAutospacing="0" w:after="0" w:afterAutospacing="0" w:line="240" w:lineRule="atLeast"/>
              <w:jc w:val="both"/>
              <w:rPr>
                <w:b/>
                <w:lang w:val="uk-UA"/>
              </w:rPr>
            </w:pPr>
            <w:r w:rsidRPr="00C92BD2">
              <w:rPr>
                <w:b/>
                <w:lang w:val="uk-UA"/>
              </w:rPr>
              <w:t xml:space="preserve">обмежень щодо часток товариства внаслідок застави (крім випадку надання </w:t>
            </w:r>
            <w:r w:rsidRPr="00C92BD2">
              <w:rPr>
                <w:b/>
                <w:lang w:val="uk-UA"/>
              </w:rPr>
              <w:lastRenderedPageBreak/>
              <w:t xml:space="preserve">згоди заставодержателем щодо припинення обліку часток товариства в обліковій системі часток).»  </w:t>
            </w:r>
          </w:p>
        </w:tc>
        <w:tc>
          <w:tcPr>
            <w:tcW w:w="1590" w:type="pct"/>
          </w:tcPr>
          <w:p w:rsidR="000B3C94" w:rsidRPr="00C92BD2" w:rsidRDefault="00C92BD2" w:rsidP="000B3C94">
            <w:pPr>
              <w:pStyle w:val="rvps2"/>
              <w:shd w:val="clear" w:color="auto" w:fill="FFFFFF"/>
              <w:spacing w:before="0" w:beforeAutospacing="0" w:after="0" w:afterAutospacing="0" w:line="240" w:lineRule="atLeast"/>
              <w:ind w:firstLine="284"/>
              <w:jc w:val="both"/>
              <w:rPr>
                <w:b/>
                <w:lang w:val="uk-UA"/>
              </w:rPr>
            </w:pPr>
            <w:r w:rsidRPr="00C92BD2">
              <w:rPr>
                <w:b/>
                <w:lang w:val="uk-UA"/>
              </w:rPr>
              <w:lastRenderedPageBreak/>
              <w:t>В</w:t>
            </w:r>
            <w:r w:rsidR="000B3C94" w:rsidRPr="00C92BD2">
              <w:rPr>
                <w:b/>
                <w:lang w:val="uk-UA"/>
              </w:rPr>
              <w:t>раховано</w:t>
            </w:r>
            <w:r w:rsidRPr="00C92BD2">
              <w:rPr>
                <w:b/>
                <w:lang w:val="uk-UA"/>
              </w:rPr>
              <w:t xml:space="preserve"> редакційно</w:t>
            </w:r>
            <w:r w:rsidR="00AB4851" w:rsidRPr="00C92BD2">
              <w:rPr>
                <w:b/>
                <w:lang w:val="uk-UA"/>
              </w:rPr>
              <w:t>.</w:t>
            </w:r>
          </w:p>
          <w:p w:rsidR="004A16EB" w:rsidRDefault="004A16EB" w:rsidP="00C92BD2">
            <w:pPr>
              <w:pStyle w:val="rvps2"/>
              <w:shd w:val="clear" w:color="auto" w:fill="FFFFFF"/>
              <w:spacing w:before="0" w:beforeAutospacing="0" w:after="0" w:afterAutospacing="0" w:line="240" w:lineRule="atLeast"/>
              <w:ind w:firstLine="229"/>
              <w:jc w:val="both"/>
              <w:rPr>
                <w:b/>
                <w:lang w:val="uk-UA"/>
              </w:rPr>
            </w:pPr>
          </w:p>
          <w:p w:rsidR="004A16EB" w:rsidRDefault="004A16EB" w:rsidP="00C92BD2">
            <w:pPr>
              <w:pStyle w:val="rvps2"/>
              <w:shd w:val="clear" w:color="auto" w:fill="FFFFFF"/>
              <w:spacing w:before="0" w:beforeAutospacing="0" w:after="0" w:afterAutospacing="0" w:line="240" w:lineRule="atLeast"/>
              <w:ind w:firstLine="229"/>
              <w:jc w:val="both"/>
              <w:rPr>
                <w:b/>
                <w:lang w:val="uk-UA"/>
              </w:rPr>
            </w:pPr>
          </w:p>
          <w:p w:rsidR="007E6432" w:rsidRDefault="007E6432" w:rsidP="00C92BD2">
            <w:pPr>
              <w:pStyle w:val="rvps2"/>
              <w:shd w:val="clear" w:color="auto" w:fill="FFFFFF"/>
              <w:spacing w:before="0" w:beforeAutospacing="0" w:after="0" w:afterAutospacing="0" w:line="240" w:lineRule="atLeast"/>
              <w:ind w:firstLine="229"/>
              <w:jc w:val="both"/>
              <w:rPr>
                <w:b/>
                <w:lang w:val="uk-UA"/>
              </w:rPr>
            </w:pPr>
          </w:p>
          <w:p w:rsidR="00C92BD2" w:rsidRDefault="00C92BD2" w:rsidP="00C92BD2">
            <w:pPr>
              <w:pStyle w:val="rvps2"/>
              <w:shd w:val="clear" w:color="auto" w:fill="FFFFFF"/>
              <w:spacing w:before="0" w:beforeAutospacing="0" w:after="0" w:afterAutospacing="0" w:line="240" w:lineRule="atLeast"/>
              <w:ind w:firstLine="229"/>
              <w:jc w:val="both"/>
              <w:rPr>
                <w:b/>
                <w:lang w:val="uk-UA"/>
              </w:rPr>
            </w:pPr>
            <w:r w:rsidRPr="00C92BD2">
              <w:rPr>
                <w:b/>
                <w:lang w:val="uk-UA"/>
              </w:rPr>
              <w:t xml:space="preserve">36. </w:t>
            </w:r>
            <w:r w:rsidRPr="00C11F07">
              <w:rPr>
                <w:b/>
                <w:lang w:val="uk-UA"/>
              </w:rPr>
              <w:t>Рішення про припинення обліку часток товариства в обліковій системі часток може бути прийнято загальними зборами учасників виключно щодо всіх часток товариства та за умови відсутності в обліковій системі часток:</w:t>
            </w:r>
            <w:r w:rsidRPr="00C92BD2">
              <w:rPr>
                <w:b/>
                <w:lang w:val="uk-UA"/>
              </w:rPr>
              <w:t xml:space="preserve"> </w:t>
            </w:r>
          </w:p>
          <w:p w:rsidR="00D77337" w:rsidRPr="00C92BD2" w:rsidRDefault="00D77337" w:rsidP="00C92BD2">
            <w:pPr>
              <w:pStyle w:val="rvps2"/>
              <w:shd w:val="clear" w:color="auto" w:fill="FFFFFF"/>
              <w:spacing w:before="0" w:beforeAutospacing="0" w:after="0" w:afterAutospacing="0" w:line="240" w:lineRule="atLeast"/>
              <w:ind w:firstLine="229"/>
              <w:jc w:val="both"/>
              <w:rPr>
                <w:b/>
                <w:lang w:val="uk-UA"/>
              </w:rPr>
            </w:pPr>
          </w:p>
          <w:p w:rsidR="00C92BD2" w:rsidRPr="00C92BD2" w:rsidRDefault="00C92BD2" w:rsidP="00C92BD2">
            <w:pPr>
              <w:pStyle w:val="rvps2"/>
              <w:shd w:val="clear" w:color="auto" w:fill="FFFFFF"/>
              <w:spacing w:before="0" w:beforeAutospacing="0" w:after="0" w:afterAutospacing="0" w:line="240" w:lineRule="atLeast"/>
              <w:ind w:firstLine="229"/>
              <w:jc w:val="both"/>
              <w:rPr>
                <w:b/>
                <w:lang w:val="uk-UA"/>
              </w:rPr>
            </w:pPr>
            <w:r w:rsidRPr="00C92BD2">
              <w:rPr>
                <w:b/>
                <w:lang w:val="uk-UA"/>
              </w:rPr>
              <w:t>1) рахунків умовного зберігання (</w:t>
            </w:r>
            <w:proofErr w:type="spellStart"/>
            <w:r w:rsidRPr="00C92BD2">
              <w:rPr>
                <w:b/>
                <w:lang w:val="uk-UA"/>
              </w:rPr>
              <w:t>ескроу</w:t>
            </w:r>
            <w:proofErr w:type="spellEnd"/>
            <w:r w:rsidRPr="00C92BD2">
              <w:rPr>
                <w:b/>
                <w:lang w:val="uk-UA"/>
              </w:rPr>
              <w:t xml:space="preserve">) часток товариства, на яких обліковуються частки товариства; </w:t>
            </w:r>
          </w:p>
          <w:p w:rsidR="000B3C94" w:rsidRPr="00C92BD2" w:rsidRDefault="00C92BD2" w:rsidP="00C92BD2">
            <w:pPr>
              <w:pStyle w:val="rvps2"/>
              <w:shd w:val="clear" w:color="auto" w:fill="FFFFFF"/>
              <w:spacing w:before="0" w:beforeAutospacing="0" w:after="0" w:afterAutospacing="0" w:line="240" w:lineRule="atLeast"/>
              <w:ind w:firstLine="229"/>
              <w:jc w:val="both"/>
              <w:rPr>
                <w:lang w:val="uk-UA"/>
              </w:rPr>
            </w:pPr>
            <w:r w:rsidRPr="00C92BD2">
              <w:rPr>
                <w:b/>
                <w:bCs/>
                <w:lang w:val="uk-UA"/>
              </w:rPr>
              <w:t xml:space="preserve">2) рахунків учасників товариства, на яких обліковуються частки товариства, обмежені внаслідок застави (крім випадку </w:t>
            </w:r>
            <w:r w:rsidRPr="00C92BD2">
              <w:rPr>
                <w:b/>
                <w:bCs/>
                <w:lang w:val="uk-UA"/>
              </w:rPr>
              <w:lastRenderedPageBreak/>
              <w:t>надання згоди заставодержателем щодо припинення обліку часток товариства в обліковій системі часток).</w:t>
            </w:r>
          </w:p>
        </w:tc>
      </w:tr>
    </w:tbl>
    <w:p w:rsidR="009354D6" w:rsidRPr="00C92BD2" w:rsidRDefault="009354D6" w:rsidP="009354D6">
      <w:pPr>
        <w:spacing w:after="20" w:line="240" w:lineRule="auto"/>
        <w:jc w:val="both"/>
        <w:rPr>
          <w:rFonts w:ascii="Times New Roman" w:eastAsia="Times New Roman" w:hAnsi="Times New Roman"/>
          <w:b/>
          <w:sz w:val="24"/>
          <w:szCs w:val="24"/>
          <w:lang w:eastAsia="uk-UA"/>
        </w:rPr>
      </w:pPr>
    </w:p>
    <w:p w:rsidR="009354D6" w:rsidRPr="00C92BD2" w:rsidRDefault="009354D6" w:rsidP="009354D6">
      <w:pPr>
        <w:spacing w:after="20" w:line="240" w:lineRule="auto"/>
        <w:jc w:val="both"/>
        <w:rPr>
          <w:rFonts w:ascii="Times New Roman" w:eastAsia="Times New Roman" w:hAnsi="Times New Roman"/>
          <w:b/>
          <w:sz w:val="24"/>
          <w:szCs w:val="24"/>
          <w:lang w:eastAsia="uk-UA"/>
        </w:rPr>
      </w:pPr>
      <w:r w:rsidRPr="00C92BD2">
        <w:rPr>
          <w:rFonts w:ascii="Times New Roman" w:eastAsia="Times New Roman" w:hAnsi="Times New Roman"/>
          <w:b/>
          <w:sz w:val="24"/>
          <w:szCs w:val="24"/>
          <w:lang w:eastAsia="uk-UA"/>
        </w:rPr>
        <w:t>Директор департаменту</w:t>
      </w:r>
    </w:p>
    <w:p w:rsidR="009354D6" w:rsidRPr="00C92BD2" w:rsidRDefault="009354D6" w:rsidP="009354D6">
      <w:pPr>
        <w:spacing w:after="20" w:line="240" w:lineRule="auto"/>
        <w:jc w:val="both"/>
        <w:rPr>
          <w:rFonts w:ascii="Times New Roman" w:eastAsia="Times New Roman" w:hAnsi="Times New Roman"/>
          <w:b/>
          <w:sz w:val="24"/>
          <w:szCs w:val="24"/>
          <w:lang w:eastAsia="uk-UA"/>
        </w:rPr>
      </w:pPr>
      <w:r w:rsidRPr="00C92BD2">
        <w:rPr>
          <w:rFonts w:ascii="Times New Roman" w:eastAsia="Times New Roman" w:hAnsi="Times New Roman"/>
          <w:b/>
          <w:sz w:val="24"/>
          <w:szCs w:val="24"/>
          <w:lang w:eastAsia="uk-UA"/>
        </w:rPr>
        <w:t>методології регулювання</w:t>
      </w:r>
    </w:p>
    <w:p w:rsidR="009354D6" w:rsidRPr="00C92BD2" w:rsidRDefault="009354D6" w:rsidP="009354D6">
      <w:pPr>
        <w:spacing w:after="20" w:line="240" w:lineRule="auto"/>
        <w:jc w:val="both"/>
        <w:rPr>
          <w:rFonts w:ascii="Times New Roman" w:eastAsia="Times New Roman" w:hAnsi="Times New Roman"/>
          <w:b/>
          <w:sz w:val="24"/>
          <w:szCs w:val="24"/>
          <w:lang w:eastAsia="uk-UA"/>
        </w:rPr>
      </w:pPr>
      <w:r w:rsidRPr="00C92BD2">
        <w:rPr>
          <w:rFonts w:ascii="Times New Roman" w:eastAsia="Times New Roman" w:hAnsi="Times New Roman"/>
          <w:b/>
          <w:sz w:val="24"/>
          <w:szCs w:val="24"/>
          <w:lang w:eastAsia="uk-UA"/>
        </w:rPr>
        <w:t>професійних учасників</w:t>
      </w:r>
    </w:p>
    <w:p w:rsidR="009354D6" w:rsidRPr="00C92BD2" w:rsidRDefault="009354D6" w:rsidP="009354D6">
      <w:pPr>
        <w:spacing w:after="20" w:line="240" w:lineRule="auto"/>
        <w:ind w:right="141"/>
        <w:jc w:val="both"/>
        <w:rPr>
          <w:rFonts w:ascii="Times New Roman" w:eastAsia="Times New Roman" w:hAnsi="Times New Roman"/>
          <w:b/>
          <w:sz w:val="24"/>
          <w:szCs w:val="24"/>
          <w:lang w:eastAsia="uk-UA"/>
        </w:rPr>
      </w:pPr>
      <w:r w:rsidRPr="00C92BD2">
        <w:rPr>
          <w:rFonts w:ascii="Times New Roman" w:eastAsia="Times New Roman" w:hAnsi="Times New Roman"/>
          <w:b/>
          <w:sz w:val="24"/>
          <w:szCs w:val="24"/>
          <w:lang w:eastAsia="uk-UA"/>
        </w:rPr>
        <w:t>ринку цінних</w:t>
      </w:r>
      <w:r w:rsidRPr="00C92BD2">
        <w:rPr>
          <w:rFonts w:ascii="Times New Roman" w:eastAsia="Calibri" w:hAnsi="Times New Roman" w:cs="Times New Roman"/>
          <w:b/>
          <w:sz w:val="28"/>
          <w:szCs w:val="28"/>
        </w:rPr>
        <w:t xml:space="preserve"> </w:t>
      </w:r>
      <w:r w:rsidRPr="00C92BD2">
        <w:rPr>
          <w:rFonts w:ascii="Times New Roman" w:eastAsia="Times New Roman" w:hAnsi="Times New Roman"/>
          <w:b/>
          <w:sz w:val="24"/>
          <w:szCs w:val="24"/>
          <w:lang w:eastAsia="uk-UA"/>
        </w:rPr>
        <w:t>паперів                                                                                                                                                                        Максим ТИМОХІН</w:t>
      </w:r>
    </w:p>
    <w:p w:rsidR="005B6EDD" w:rsidRPr="00C92BD2" w:rsidRDefault="009354D6" w:rsidP="00002B0F">
      <w:pPr>
        <w:spacing w:after="20" w:line="240" w:lineRule="auto"/>
        <w:ind w:firstLine="284"/>
        <w:jc w:val="both"/>
      </w:pPr>
      <w:r w:rsidRPr="00C92BD2">
        <w:rPr>
          <w:rFonts w:ascii="Times New Roman" w:eastAsia="Times New Roman" w:hAnsi="Times New Roman"/>
          <w:b/>
          <w:sz w:val="24"/>
          <w:szCs w:val="24"/>
          <w:lang w:eastAsia="uk-UA"/>
        </w:rPr>
        <w:t xml:space="preserve">_________ </w:t>
      </w:r>
      <w:r w:rsidRPr="00C92BD2">
        <w:rPr>
          <w:rFonts w:ascii="Times New Roman" w:eastAsia="Times New Roman" w:hAnsi="Times New Roman"/>
          <w:sz w:val="24"/>
          <w:szCs w:val="24"/>
          <w:lang w:eastAsia="uk-UA"/>
        </w:rPr>
        <w:t>2025 р.</w:t>
      </w:r>
    </w:p>
    <w:sectPr w:rsidR="005B6EDD" w:rsidRPr="00C92BD2" w:rsidSect="001422E3">
      <w:headerReference w:type="default" r:id="rId7"/>
      <w:footerReference w:type="default" r:id="rId8"/>
      <w:pgSz w:w="16838" w:h="11906" w:orient="landscape"/>
      <w:pgMar w:top="567" w:right="678" w:bottom="1843" w:left="993" w:header="709" w:footer="1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4F6" w:rsidRDefault="00FD74F6">
      <w:pPr>
        <w:spacing w:after="0" w:line="240" w:lineRule="auto"/>
      </w:pPr>
      <w:r>
        <w:separator/>
      </w:r>
    </w:p>
  </w:endnote>
  <w:endnote w:type="continuationSeparator" w:id="0">
    <w:p w:rsidR="00FD74F6" w:rsidRDefault="00FD7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malia">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3EC" w:rsidRDefault="00BA78B5">
    <w:pPr>
      <w:pStyle w:val="a4"/>
      <w:jc w:val="right"/>
    </w:pPr>
  </w:p>
  <w:p w:rsidR="006403EC" w:rsidRDefault="00BA78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4F6" w:rsidRDefault="00FD74F6">
      <w:pPr>
        <w:spacing w:after="0" w:line="240" w:lineRule="auto"/>
      </w:pPr>
      <w:r>
        <w:separator/>
      </w:r>
    </w:p>
  </w:footnote>
  <w:footnote w:type="continuationSeparator" w:id="0">
    <w:p w:rsidR="00FD74F6" w:rsidRDefault="00FD7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7187399"/>
      <w:docPartObj>
        <w:docPartGallery w:val="Page Numbers (Top of Page)"/>
        <w:docPartUnique/>
      </w:docPartObj>
    </w:sdtPr>
    <w:sdtEndPr/>
    <w:sdtContent>
      <w:p w:rsidR="006403EC" w:rsidRDefault="00514AAE">
        <w:pPr>
          <w:pStyle w:val="a6"/>
          <w:jc w:val="center"/>
        </w:pPr>
        <w:r>
          <w:fldChar w:fldCharType="begin"/>
        </w:r>
        <w:r>
          <w:instrText>PAGE   \* MERGEFORMAT</w:instrText>
        </w:r>
        <w:r>
          <w:fldChar w:fldCharType="separate"/>
        </w:r>
        <w:r w:rsidR="00BA78B5">
          <w:rPr>
            <w:noProof/>
          </w:rPr>
          <w:t>11</w:t>
        </w:r>
        <w:r>
          <w:fldChar w:fldCharType="end"/>
        </w:r>
      </w:p>
    </w:sdtContent>
  </w:sdt>
  <w:p w:rsidR="006403EC" w:rsidRDefault="00BA78B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4D6"/>
    <w:rsid w:val="00002B0F"/>
    <w:rsid w:val="00015E47"/>
    <w:rsid w:val="00062737"/>
    <w:rsid w:val="00063656"/>
    <w:rsid w:val="00075C61"/>
    <w:rsid w:val="000A7ABC"/>
    <w:rsid w:val="000B3C94"/>
    <w:rsid w:val="000C0F10"/>
    <w:rsid w:val="000C1001"/>
    <w:rsid w:val="000D1E04"/>
    <w:rsid w:val="000F434F"/>
    <w:rsid w:val="00130184"/>
    <w:rsid w:val="001310CF"/>
    <w:rsid w:val="00135EDE"/>
    <w:rsid w:val="001422E3"/>
    <w:rsid w:val="00144136"/>
    <w:rsid w:val="00154A08"/>
    <w:rsid w:val="00157E69"/>
    <w:rsid w:val="00174658"/>
    <w:rsid w:val="001840B1"/>
    <w:rsid w:val="00184A8C"/>
    <w:rsid w:val="001853A6"/>
    <w:rsid w:val="00196C3C"/>
    <w:rsid w:val="001B34BD"/>
    <w:rsid w:val="001C5CD1"/>
    <w:rsid w:val="001F2ADF"/>
    <w:rsid w:val="001F2FEE"/>
    <w:rsid w:val="001F3DC1"/>
    <w:rsid w:val="002025D4"/>
    <w:rsid w:val="00247964"/>
    <w:rsid w:val="0025551D"/>
    <w:rsid w:val="0027416C"/>
    <w:rsid w:val="002764D1"/>
    <w:rsid w:val="002977D6"/>
    <w:rsid w:val="002C244A"/>
    <w:rsid w:val="00333B76"/>
    <w:rsid w:val="00356375"/>
    <w:rsid w:val="00370336"/>
    <w:rsid w:val="00386F55"/>
    <w:rsid w:val="0038780F"/>
    <w:rsid w:val="003A2AC5"/>
    <w:rsid w:val="003A5BD5"/>
    <w:rsid w:val="003B5A3E"/>
    <w:rsid w:val="003E1419"/>
    <w:rsid w:val="003E3FD4"/>
    <w:rsid w:val="00417EB0"/>
    <w:rsid w:val="0043259C"/>
    <w:rsid w:val="0043596F"/>
    <w:rsid w:val="00453C1D"/>
    <w:rsid w:val="004861C3"/>
    <w:rsid w:val="004868DF"/>
    <w:rsid w:val="00493E00"/>
    <w:rsid w:val="004A16EB"/>
    <w:rsid w:val="004A68E8"/>
    <w:rsid w:val="004A6F9F"/>
    <w:rsid w:val="004C55F4"/>
    <w:rsid w:val="004D61AE"/>
    <w:rsid w:val="00500D1C"/>
    <w:rsid w:val="00514AAE"/>
    <w:rsid w:val="00516862"/>
    <w:rsid w:val="00524810"/>
    <w:rsid w:val="005461D5"/>
    <w:rsid w:val="00586FE3"/>
    <w:rsid w:val="00597D5C"/>
    <w:rsid w:val="005A1DE2"/>
    <w:rsid w:val="005B017F"/>
    <w:rsid w:val="005B2057"/>
    <w:rsid w:val="005B4F5A"/>
    <w:rsid w:val="005B6EDD"/>
    <w:rsid w:val="005C5E3C"/>
    <w:rsid w:val="005D37FB"/>
    <w:rsid w:val="005E5294"/>
    <w:rsid w:val="005F5524"/>
    <w:rsid w:val="00622244"/>
    <w:rsid w:val="006311B6"/>
    <w:rsid w:val="00640397"/>
    <w:rsid w:val="006455B9"/>
    <w:rsid w:val="00645CCE"/>
    <w:rsid w:val="00655838"/>
    <w:rsid w:val="00655ED5"/>
    <w:rsid w:val="00656765"/>
    <w:rsid w:val="00680042"/>
    <w:rsid w:val="006A5509"/>
    <w:rsid w:val="006C46A3"/>
    <w:rsid w:val="006C5521"/>
    <w:rsid w:val="006E5169"/>
    <w:rsid w:val="006F499E"/>
    <w:rsid w:val="007304FC"/>
    <w:rsid w:val="00733265"/>
    <w:rsid w:val="00734EE0"/>
    <w:rsid w:val="00752D6B"/>
    <w:rsid w:val="00756658"/>
    <w:rsid w:val="0076656D"/>
    <w:rsid w:val="00783E22"/>
    <w:rsid w:val="007849A6"/>
    <w:rsid w:val="00785990"/>
    <w:rsid w:val="00787E6C"/>
    <w:rsid w:val="007C7C18"/>
    <w:rsid w:val="007E6432"/>
    <w:rsid w:val="007E719C"/>
    <w:rsid w:val="007F7940"/>
    <w:rsid w:val="00807453"/>
    <w:rsid w:val="0081031A"/>
    <w:rsid w:val="008150FB"/>
    <w:rsid w:val="0082236A"/>
    <w:rsid w:val="00854FD1"/>
    <w:rsid w:val="00857AED"/>
    <w:rsid w:val="00880E8F"/>
    <w:rsid w:val="008941C3"/>
    <w:rsid w:val="008D6AD6"/>
    <w:rsid w:val="008E5AC9"/>
    <w:rsid w:val="009354D6"/>
    <w:rsid w:val="00936737"/>
    <w:rsid w:val="00937BD1"/>
    <w:rsid w:val="00940EAF"/>
    <w:rsid w:val="009738BE"/>
    <w:rsid w:val="009B6B11"/>
    <w:rsid w:val="009F18CB"/>
    <w:rsid w:val="00A033C7"/>
    <w:rsid w:val="00A10C3B"/>
    <w:rsid w:val="00A47101"/>
    <w:rsid w:val="00A73548"/>
    <w:rsid w:val="00A74D40"/>
    <w:rsid w:val="00AB11E3"/>
    <w:rsid w:val="00AB4851"/>
    <w:rsid w:val="00AD0B31"/>
    <w:rsid w:val="00AF1C9B"/>
    <w:rsid w:val="00B03228"/>
    <w:rsid w:val="00B3308F"/>
    <w:rsid w:val="00B70B71"/>
    <w:rsid w:val="00B810EC"/>
    <w:rsid w:val="00B83B94"/>
    <w:rsid w:val="00B95C03"/>
    <w:rsid w:val="00BA31C1"/>
    <w:rsid w:val="00BA6F78"/>
    <w:rsid w:val="00BA78B5"/>
    <w:rsid w:val="00BD2F7A"/>
    <w:rsid w:val="00BE78D0"/>
    <w:rsid w:val="00BF529D"/>
    <w:rsid w:val="00C017C1"/>
    <w:rsid w:val="00C11F07"/>
    <w:rsid w:val="00C21055"/>
    <w:rsid w:val="00C27BF8"/>
    <w:rsid w:val="00C31FFB"/>
    <w:rsid w:val="00C451FD"/>
    <w:rsid w:val="00C84D6C"/>
    <w:rsid w:val="00C92BD2"/>
    <w:rsid w:val="00C93499"/>
    <w:rsid w:val="00CD47A7"/>
    <w:rsid w:val="00CE18C7"/>
    <w:rsid w:val="00CE5F0B"/>
    <w:rsid w:val="00CF468A"/>
    <w:rsid w:val="00CF4D65"/>
    <w:rsid w:val="00D0595F"/>
    <w:rsid w:val="00D0791B"/>
    <w:rsid w:val="00D135F5"/>
    <w:rsid w:val="00D17381"/>
    <w:rsid w:val="00D35B30"/>
    <w:rsid w:val="00D40C36"/>
    <w:rsid w:val="00D43226"/>
    <w:rsid w:val="00D44218"/>
    <w:rsid w:val="00D77337"/>
    <w:rsid w:val="00D825E0"/>
    <w:rsid w:val="00D879A8"/>
    <w:rsid w:val="00DA2D50"/>
    <w:rsid w:val="00DB73D6"/>
    <w:rsid w:val="00E032BB"/>
    <w:rsid w:val="00E11EA7"/>
    <w:rsid w:val="00E2662B"/>
    <w:rsid w:val="00E35C4A"/>
    <w:rsid w:val="00E40D23"/>
    <w:rsid w:val="00E42482"/>
    <w:rsid w:val="00E81A07"/>
    <w:rsid w:val="00E831C5"/>
    <w:rsid w:val="00E85CFE"/>
    <w:rsid w:val="00E91744"/>
    <w:rsid w:val="00E948DF"/>
    <w:rsid w:val="00EA49BA"/>
    <w:rsid w:val="00EB38B2"/>
    <w:rsid w:val="00EC02DA"/>
    <w:rsid w:val="00EF1FBC"/>
    <w:rsid w:val="00EF5285"/>
    <w:rsid w:val="00F23C28"/>
    <w:rsid w:val="00F2467A"/>
    <w:rsid w:val="00F26B78"/>
    <w:rsid w:val="00F45B4D"/>
    <w:rsid w:val="00F509D7"/>
    <w:rsid w:val="00F53EB8"/>
    <w:rsid w:val="00F559DE"/>
    <w:rsid w:val="00F66957"/>
    <w:rsid w:val="00F841D5"/>
    <w:rsid w:val="00FA1268"/>
    <w:rsid w:val="00FB0591"/>
    <w:rsid w:val="00FB1984"/>
    <w:rsid w:val="00FB6BF3"/>
    <w:rsid w:val="00FD74F6"/>
    <w:rsid w:val="00FE1C02"/>
    <w:rsid w:val="00FF11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5A8B28"/>
  <w15:chartTrackingRefBased/>
  <w15:docId w15:val="{6DA700FF-1007-4C69-A63D-27C3230AE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4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5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354D6"/>
    <w:pPr>
      <w:tabs>
        <w:tab w:val="center" w:pos="4819"/>
        <w:tab w:val="right" w:pos="9639"/>
      </w:tabs>
      <w:spacing w:after="0" w:line="240" w:lineRule="auto"/>
    </w:pPr>
  </w:style>
  <w:style w:type="character" w:customStyle="1" w:styleId="a5">
    <w:name w:val="Нижній колонтитул Знак"/>
    <w:basedOn w:val="a0"/>
    <w:link w:val="a4"/>
    <w:uiPriority w:val="99"/>
    <w:rsid w:val="009354D6"/>
  </w:style>
  <w:style w:type="paragraph" w:customStyle="1" w:styleId="rvps2">
    <w:name w:val="rvps2"/>
    <w:basedOn w:val="a"/>
    <w:qFormat/>
    <w:rsid w:val="009354D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6">
    <w:name w:val="header"/>
    <w:basedOn w:val="a"/>
    <w:link w:val="a7"/>
    <w:uiPriority w:val="99"/>
    <w:unhideWhenUsed/>
    <w:rsid w:val="009354D6"/>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9354D6"/>
  </w:style>
  <w:style w:type="paragraph" w:styleId="a8">
    <w:name w:val="Normal (Web)"/>
    <w:basedOn w:val="a"/>
    <w:uiPriority w:val="99"/>
    <w:unhideWhenUsed/>
    <w:rsid w:val="009354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List Paragraph"/>
    <w:basedOn w:val="a"/>
    <w:uiPriority w:val="34"/>
    <w:qFormat/>
    <w:rsid w:val="002025D4"/>
    <w:pPr>
      <w:ind w:left="720"/>
      <w:contextualSpacing/>
    </w:pPr>
  </w:style>
  <w:style w:type="paragraph" w:customStyle="1" w:styleId="Default">
    <w:name w:val="Default"/>
    <w:rsid w:val="00BF529D"/>
    <w:pPr>
      <w:autoSpaceDE w:val="0"/>
      <w:autoSpaceDN w:val="0"/>
      <w:adjustRightInd w:val="0"/>
      <w:spacing w:after="0" w:line="240" w:lineRule="auto"/>
    </w:pPr>
    <w:rPr>
      <w:rFonts w:ascii="Amalia" w:hAnsi="Amalia" w:cs="Amalia"/>
      <w:color w:val="000000"/>
      <w:sz w:val="24"/>
      <w:szCs w:val="24"/>
    </w:rPr>
  </w:style>
  <w:style w:type="character" w:customStyle="1" w:styleId="spanrvts15">
    <w:name w:val="span_rvts15"/>
    <w:basedOn w:val="a0"/>
    <w:rsid w:val="00B810EC"/>
    <w:rPr>
      <w:rFonts w:ascii="Times New Roman" w:eastAsia="Times New Roman" w:hAnsi="Times New Roman" w:cs="Times New Roman"/>
      <w:b/>
      <w:bCs/>
      <w:i w:val="0"/>
      <w:iCs w:val="0"/>
      <w:sz w:val="28"/>
      <w:szCs w:val="28"/>
    </w:rPr>
  </w:style>
  <w:style w:type="paragraph" w:styleId="aa">
    <w:name w:val="Balloon Text"/>
    <w:basedOn w:val="a"/>
    <w:link w:val="ab"/>
    <w:uiPriority w:val="99"/>
    <w:semiHidden/>
    <w:unhideWhenUsed/>
    <w:rsid w:val="00EF1FBC"/>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EF1FBC"/>
    <w:rPr>
      <w:rFonts w:ascii="Segoe UI" w:hAnsi="Segoe UI" w:cs="Segoe UI"/>
      <w:sz w:val="18"/>
      <w:szCs w:val="18"/>
    </w:rPr>
  </w:style>
  <w:style w:type="paragraph" w:styleId="ac">
    <w:name w:val="annotation text"/>
    <w:basedOn w:val="a"/>
    <w:link w:val="ad"/>
    <w:uiPriority w:val="99"/>
    <w:semiHidden/>
    <w:rsid w:val="00C92BD2"/>
    <w:rPr>
      <w:rFonts w:ascii="Calibri" w:eastAsia="Calibri" w:hAnsi="Calibri" w:cs="Times New Roman"/>
      <w:sz w:val="20"/>
      <w:szCs w:val="20"/>
    </w:rPr>
  </w:style>
  <w:style w:type="character" w:customStyle="1" w:styleId="ad">
    <w:name w:val="Текст примітки Знак"/>
    <w:basedOn w:val="a0"/>
    <w:link w:val="ac"/>
    <w:uiPriority w:val="99"/>
    <w:semiHidden/>
    <w:rsid w:val="00C92BD2"/>
    <w:rPr>
      <w:rFonts w:ascii="Calibri" w:eastAsia="Calibri" w:hAnsi="Calibri" w:cs="Times New Roman"/>
      <w:sz w:val="20"/>
      <w:szCs w:val="20"/>
    </w:rPr>
  </w:style>
  <w:style w:type="character" w:styleId="ae">
    <w:name w:val="annotation reference"/>
    <w:basedOn w:val="a0"/>
    <w:uiPriority w:val="99"/>
    <w:semiHidden/>
    <w:unhideWhenUsed/>
    <w:rsid w:val="00C92BD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64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74FCF-44B0-4148-8353-526452D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12701</Words>
  <Characters>7240</Characters>
  <Application>Microsoft Office Word</Application>
  <DocSecurity>0</DocSecurity>
  <Lines>60</Lines>
  <Paragraphs>39</Paragraphs>
  <ScaleCrop>false</ScaleCrop>
  <HeadingPairs>
    <vt:vector size="2" baseType="variant">
      <vt:variant>
        <vt:lpstr>Назва</vt:lpstr>
      </vt:variant>
      <vt:variant>
        <vt:i4>1</vt:i4>
      </vt:variant>
    </vt:vector>
  </HeadingPairs>
  <TitlesOfParts>
    <vt:vector size="1" baseType="lpstr">
      <vt:lpstr/>
    </vt:vector>
  </TitlesOfParts>
  <Company>NSSMC</Company>
  <LinksUpToDate>false</LinksUpToDate>
  <CharactersWithSpaces>19902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КАРІНА</dc:creator>
  <cp:keywords/>
  <dc:description/>
  <cp:lastModifiedBy>КАРІНА</cp:lastModifiedBy>
  <cp:revision>10</cp:revision>
  <cp:lastPrinted>2025-09-22T14:16:00Z</cp:lastPrinted>
  <dcterms:created xsi:type="dcterms:W3CDTF">2025-09-25T09:49:00Z</dcterms:created>
  <dcterms:modified xsi:type="dcterms:W3CDTF">2025-09-26T08:52:00Z</dcterms:modified>
</cp:coreProperties>
</file>