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FA9" w:rsidRPr="00C05250" w:rsidRDefault="00270FA9" w:rsidP="001A4987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ПОЯСНЮВАЛЬНА ЗАПИСКА </w:t>
      </w:r>
    </w:p>
    <w:p w:rsidR="00270FA9" w:rsidRPr="00C05250" w:rsidRDefault="00270FA9" w:rsidP="001A4987">
      <w:pPr>
        <w:spacing w:after="0" w:line="240" w:lineRule="auto"/>
        <w:ind w:right="1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 </w:t>
      </w:r>
      <w:proofErr w:type="spellStart"/>
      <w:r w:rsidRPr="00C0525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проєкту</w:t>
      </w:r>
      <w:proofErr w:type="spellEnd"/>
      <w:r w:rsidRPr="00C0525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 Національної комісії з цінних паперів та фондового</w:t>
      </w:r>
    </w:p>
    <w:p w:rsidR="00270FA9" w:rsidRPr="00C05250" w:rsidRDefault="00270FA9" w:rsidP="001A4987">
      <w:pPr>
        <w:spacing w:after="0" w:line="240" w:lineRule="auto"/>
        <w:ind w:right="1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ринку </w:t>
      </w:r>
      <w:r w:rsidRPr="00C052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«Про </w:t>
      </w:r>
      <w:r w:rsidR="0088732F" w:rsidRPr="00C052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внесення змін</w:t>
      </w:r>
      <w:r w:rsidRPr="00C052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до Порядку ведення облікової системи часток товариств з обмеженою відповідальністю та товариств з додатковою відповідальністю»</w:t>
      </w:r>
    </w:p>
    <w:p w:rsidR="00127BD5" w:rsidRDefault="00127BD5" w:rsidP="001A4987">
      <w:pPr>
        <w:keepNext/>
        <w:keepLines/>
        <w:tabs>
          <w:tab w:val="left" w:pos="9781"/>
        </w:tabs>
        <w:spacing w:after="0" w:line="240" w:lineRule="auto"/>
        <w:ind w:right="1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5250" w:rsidRPr="00C05250" w:rsidRDefault="00C05250" w:rsidP="001A4987">
      <w:pPr>
        <w:keepNext/>
        <w:keepLines/>
        <w:tabs>
          <w:tab w:val="left" w:pos="9781"/>
        </w:tabs>
        <w:spacing w:after="0" w:line="240" w:lineRule="auto"/>
        <w:ind w:right="1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70FA9" w:rsidRPr="00C05250" w:rsidRDefault="00270FA9" w:rsidP="001A4987">
      <w:pPr>
        <w:keepNext/>
        <w:keepLines/>
        <w:tabs>
          <w:tab w:val="left" w:pos="9781"/>
        </w:tabs>
        <w:spacing w:after="0" w:line="240" w:lineRule="auto"/>
        <w:ind w:right="1"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Мета </w:t>
      </w:r>
    </w:p>
    <w:p w:rsidR="002E508B" w:rsidRPr="00C05250" w:rsidRDefault="00270FA9" w:rsidP="001A4987">
      <w:pPr>
        <w:spacing w:after="0" w:line="240" w:lineRule="auto"/>
        <w:ind w:right="1"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spellStart"/>
      <w:r w:rsidRPr="00C0525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05250">
        <w:rPr>
          <w:rFonts w:ascii="Times New Roman" w:hAnsi="Times New Roman" w:cs="Times New Roman"/>
          <w:sz w:val="28"/>
          <w:szCs w:val="28"/>
        </w:rPr>
        <w:t xml:space="preserve"> рішення НКЦПФР «</w:t>
      </w:r>
      <w:r w:rsidR="001E54C4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 </w:t>
      </w:r>
      <w:r w:rsidR="0088732F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>внесення змін</w:t>
      </w:r>
      <w:r w:rsidR="001E54C4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до Порядку ведення облікової системи часток товариств з обмеженою відповідальністю та товариств з додатковою відповідальністю»</w:t>
      </w:r>
      <w:r w:rsidR="004471C9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(далі – Проєкт)</w:t>
      </w:r>
      <w:r w:rsidRPr="00C05250">
        <w:rPr>
          <w:rFonts w:ascii="Times New Roman" w:hAnsi="Times New Roman" w:cs="Times New Roman"/>
          <w:sz w:val="28"/>
          <w:szCs w:val="28"/>
        </w:rPr>
        <w:t xml:space="preserve"> розроблено </w:t>
      </w:r>
      <w:r w:rsidR="002E508B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відповідно </w:t>
      </w:r>
      <w:r w:rsidR="002E508B" w:rsidRPr="00C05250">
        <w:rPr>
          <w:rFonts w:ascii="Times New Roman" w:hAnsi="Times New Roman" w:cs="Times New Roman"/>
          <w:sz w:val="28"/>
          <w:szCs w:val="28"/>
        </w:rPr>
        <w:t xml:space="preserve">до пунктів 106, 107 частини першої статті 7, частин першої та четвертої статті 29 Закону України «Про державне регулювання ринків капіталу та організованих товарних ринків», </w:t>
      </w:r>
      <w:hyperlink r:id="rId6" w:anchor="n1081" w:tgtFrame="_blank" w:history="1">
        <w:r w:rsidR="002E508B" w:rsidRPr="00C05250">
          <w:rPr>
            <w:rFonts w:ascii="Times New Roman" w:hAnsi="Times New Roman" w:cs="Times New Roman"/>
            <w:sz w:val="28"/>
            <w:szCs w:val="28"/>
          </w:rPr>
          <w:t>статей 27</w:t>
        </w:r>
      </w:hyperlink>
      <w:hyperlink r:id="rId7" w:anchor="n1081" w:tgtFrame="_blank" w:history="1">
        <w:r w:rsidR="002E508B" w:rsidRPr="00C0525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hyperlink r:id="rId8" w:anchor="n1081" w:tgtFrame="_blank" w:history="1">
        <w:r w:rsidR="002E508B" w:rsidRPr="00C05250">
          <w:rPr>
            <w:rFonts w:ascii="Times New Roman" w:hAnsi="Times New Roman" w:cs="Times New Roman"/>
            <w:sz w:val="28"/>
            <w:szCs w:val="28"/>
          </w:rPr>
          <w:t>-27</w:t>
        </w:r>
      </w:hyperlink>
      <w:hyperlink r:id="rId9" w:anchor="n1081" w:tgtFrame="_blank" w:history="1">
        <w:r w:rsidR="002E508B" w:rsidRPr="00C05250">
          <w:rPr>
            <w:rFonts w:ascii="Times New Roman" w:hAnsi="Times New Roman" w:cs="Times New Roman"/>
            <w:sz w:val="28"/>
            <w:szCs w:val="28"/>
            <w:vertAlign w:val="superscript"/>
          </w:rPr>
          <w:t>4</w:t>
        </w:r>
      </w:hyperlink>
      <w:r w:rsidR="002E508B" w:rsidRPr="00C0525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E508B" w:rsidRPr="00C05250">
        <w:rPr>
          <w:rFonts w:ascii="Times New Roman" w:hAnsi="Times New Roman" w:cs="Times New Roman"/>
          <w:sz w:val="28"/>
          <w:szCs w:val="28"/>
        </w:rPr>
        <w:t xml:space="preserve">Закону України «Про депозитарну систему України», </w:t>
      </w:r>
      <w:hyperlink r:id="rId10" w:anchor="n2425" w:tgtFrame="_blank" w:history="1">
        <w:r w:rsidR="002E508B" w:rsidRPr="00C05250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пункту 12</w:t>
        </w:r>
      </w:hyperlink>
      <w:r w:rsidR="002E508B" w:rsidRPr="00C05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розділу XIX Прикінцевих та перехідних положень Закону України «Про акціонерні товариства» </w:t>
      </w:r>
      <w:r w:rsidR="002E508B" w:rsidRPr="00C05250">
        <w:rPr>
          <w:rFonts w:ascii="Times New Roman" w:hAnsi="Times New Roman" w:cs="Times New Roman"/>
          <w:sz w:val="28"/>
          <w:szCs w:val="28"/>
        </w:rPr>
        <w:t xml:space="preserve">з метою удосконалення </w:t>
      </w:r>
      <w:r w:rsidR="002E508B" w:rsidRPr="00C05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Порядку </w:t>
      </w:r>
      <w:r w:rsidR="002E508B" w:rsidRPr="00C05250">
        <w:rPr>
          <w:rFonts w:ascii="Times New Roman" w:hAnsi="Times New Roman" w:cs="Times New Roman"/>
          <w:noProof/>
          <w:sz w:val="28"/>
          <w:szCs w:val="28"/>
          <w:lang w:eastAsia="ru-RU"/>
        </w:rPr>
        <w:t>ведення облікової системи часток товариств з обмеженою відповідальністю та товариств з додатковою відповідальністю, затвердженого рішенням НКЦПФР від 17 травня 2023 року № 525.</w:t>
      </w:r>
    </w:p>
    <w:p w:rsidR="00127BD5" w:rsidRPr="00C05250" w:rsidRDefault="00127BD5" w:rsidP="001A4987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70FA9" w:rsidRPr="00C05250" w:rsidRDefault="00270FA9" w:rsidP="001A4987">
      <w:pPr>
        <w:keepNext/>
        <w:keepLines/>
        <w:tabs>
          <w:tab w:val="left" w:pos="9781"/>
        </w:tabs>
        <w:spacing w:after="0" w:line="240" w:lineRule="auto"/>
        <w:ind w:right="1" w:firstLine="567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Обґрунтування необхідності прийняття </w:t>
      </w:r>
      <w:proofErr w:type="spellStart"/>
      <w:r w:rsidRPr="00C0525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акта</w:t>
      </w:r>
      <w:proofErr w:type="spellEnd"/>
    </w:p>
    <w:p w:rsidR="008D07F6" w:rsidRPr="00C05250" w:rsidRDefault="00DA355F" w:rsidP="001A4987">
      <w:pPr>
        <w:spacing w:after="0" w:line="240" w:lineRule="auto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250">
        <w:rPr>
          <w:rFonts w:ascii="Times New Roman" w:hAnsi="Times New Roman" w:cs="Times New Roman"/>
          <w:sz w:val="28"/>
          <w:szCs w:val="28"/>
        </w:rPr>
        <w:t xml:space="preserve">За результатом узагальнення </w:t>
      </w:r>
      <w:r w:rsidR="008D07F6" w:rsidRPr="00C05250">
        <w:rPr>
          <w:rFonts w:ascii="Times New Roman" w:hAnsi="Times New Roman" w:cs="Times New Roman"/>
          <w:sz w:val="28"/>
          <w:szCs w:val="28"/>
        </w:rPr>
        <w:t>практики застосування профільного законодавства</w:t>
      </w:r>
      <w:r w:rsidRPr="00C05250">
        <w:rPr>
          <w:rFonts w:ascii="Times New Roman" w:hAnsi="Times New Roman" w:cs="Times New Roman"/>
          <w:sz w:val="28"/>
          <w:szCs w:val="28"/>
        </w:rPr>
        <w:t xml:space="preserve"> та опрацювання пропозицій</w:t>
      </w:r>
      <w:r w:rsidR="00F67052" w:rsidRPr="00C05250">
        <w:rPr>
          <w:rFonts w:ascii="Times New Roman" w:hAnsi="Times New Roman" w:cs="Times New Roman"/>
          <w:sz w:val="28"/>
          <w:szCs w:val="28"/>
        </w:rPr>
        <w:t>, які надійшли від Центрального депозитарію цінних паперів</w:t>
      </w:r>
      <w:r w:rsidRPr="00C052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5250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="00F67052" w:rsidRPr="00C05250">
        <w:rPr>
          <w:rFonts w:ascii="Times New Roman" w:hAnsi="Times New Roman" w:cs="Times New Roman"/>
          <w:sz w:val="28"/>
          <w:szCs w:val="28"/>
        </w:rPr>
        <w:t xml:space="preserve"> передбачено </w:t>
      </w:r>
      <w:r w:rsidRPr="00C05250">
        <w:rPr>
          <w:rFonts w:ascii="Times New Roman" w:hAnsi="Times New Roman" w:cs="Times New Roman"/>
          <w:sz w:val="28"/>
          <w:szCs w:val="28"/>
        </w:rPr>
        <w:t xml:space="preserve">вдосконалення </w:t>
      </w:r>
      <w:r w:rsidR="00F67052" w:rsidRPr="00C05250">
        <w:rPr>
          <w:rFonts w:ascii="Times New Roman" w:hAnsi="Times New Roman" w:cs="Times New Roman"/>
          <w:sz w:val="28"/>
          <w:szCs w:val="28"/>
        </w:rPr>
        <w:t>окремих питань ведення облікової системи часток товариств в частині</w:t>
      </w:r>
      <w:r w:rsidR="008867E2" w:rsidRPr="00C05250">
        <w:rPr>
          <w:rFonts w:ascii="Times New Roman" w:hAnsi="Times New Roman" w:cs="Times New Roman"/>
          <w:sz w:val="28"/>
          <w:szCs w:val="28"/>
        </w:rPr>
        <w:t>:</w:t>
      </w:r>
      <w:r w:rsidR="00F67052" w:rsidRPr="00C05250">
        <w:rPr>
          <w:rFonts w:ascii="Times New Roman" w:hAnsi="Times New Roman" w:cs="Times New Roman"/>
          <w:sz w:val="28"/>
          <w:szCs w:val="28"/>
        </w:rPr>
        <w:t xml:space="preserve"> переходу права власності на частку товариства від однієї особи до іншої, </w:t>
      </w:r>
      <w:r w:rsidR="008867E2" w:rsidRPr="00C05250">
        <w:rPr>
          <w:rFonts w:ascii="Times New Roman" w:hAnsi="Times New Roman" w:cs="Times New Roman"/>
          <w:sz w:val="28"/>
          <w:szCs w:val="28"/>
        </w:rPr>
        <w:t>переведення обслуговування рахунку учасника товариства (в тому числі з Центрального депозитарію</w:t>
      </w:r>
      <w:r w:rsidR="004C2E3C" w:rsidRPr="004C2E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2E3C">
        <w:rPr>
          <w:rFonts w:ascii="Times New Roman" w:hAnsi="Times New Roman" w:cs="Times New Roman"/>
          <w:sz w:val="28"/>
          <w:szCs w:val="28"/>
          <w:lang w:val="ru-RU"/>
        </w:rPr>
        <w:t>цін</w:t>
      </w:r>
      <w:bookmarkStart w:id="0" w:name="_GoBack"/>
      <w:bookmarkEnd w:id="0"/>
      <w:r w:rsidR="004C2E3C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4C2E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2E3C">
        <w:rPr>
          <w:rFonts w:ascii="Times New Roman" w:hAnsi="Times New Roman" w:cs="Times New Roman"/>
          <w:sz w:val="28"/>
          <w:szCs w:val="28"/>
          <w:lang w:val="ru-RU"/>
        </w:rPr>
        <w:t>паперів</w:t>
      </w:r>
      <w:proofErr w:type="spellEnd"/>
      <w:r w:rsidR="008867E2" w:rsidRPr="00C05250">
        <w:rPr>
          <w:rFonts w:ascii="Times New Roman" w:hAnsi="Times New Roman" w:cs="Times New Roman"/>
          <w:sz w:val="28"/>
          <w:szCs w:val="28"/>
        </w:rPr>
        <w:t>), спрощення процедури проведення окремих операцій щодо рахунків учасників товариств у випадку внесення змін до облікової системи часток, відмови у внесенні змін до облікової системи часток.</w:t>
      </w:r>
    </w:p>
    <w:p w:rsidR="00127BD5" w:rsidRPr="00C05250" w:rsidRDefault="00127BD5" w:rsidP="001A4987">
      <w:pPr>
        <w:spacing w:after="0" w:line="240" w:lineRule="auto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7BD5" w:rsidRPr="00C05250" w:rsidRDefault="00270FA9" w:rsidP="001A4987">
      <w:pPr>
        <w:pStyle w:val="rvps2"/>
        <w:spacing w:before="0" w:beforeAutospacing="0" w:after="0" w:afterAutospacing="0"/>
        <w:ind w:right="1" w:firstLine="567"/>
        <w:jc w:val="both"/>
        <w:rPr>
          <w:b/>
          <w:sz w:val="28"/>
          <w:szCs w:val="28"/>
        </w:rPr>
      </w:pPr>
      <w:r w:rsidRPr="00C05250">
        <w:rPr>
          <w:b/>
          <w:sz w:val="28"/>
          <w:szCs w:val="28"/>
        </w:rPr>
        <w:t xml:space="preserve">3. Основні положення </w:t>
      </w:r>
      <w:proofErr w:type="spellStart"/>
      <w:r w:rsidRPr="00C05250">
        <w:rPr>
          <w:b/>
          <w:sz w:val="28"/>
          <w:szCs w:val="28"/>
        </w:rPr>
        <w:t>акта</w:t>
      </w:r>
      <w:proofErr w:type="spellEnd"/>
      <w:r w:rsidRPr="00C05250">
        <w:rPr>
          <w:b/>
          <w:sz w:val="28"/>
          <w:szCs w:val="28"/>
        </w:rPr>
        <w:t xml:space="preserve"> </w:t>
      </w:r>
    </w:p>
    <w:p w:rsidR="00127BD5" w:rsidRPr="00C05250" w:rsidRDefault="001B48B6" w:rsidP="001A4987">
      <w:pPr>
        <w:pStyle w:val="rvps2"/>
        <w:spacing w:before="0" w:beforeAutospacing="0" w:after="0" w:afterAutospacing="0"/>
        <w:ind w:right="1" w:firstLine="567"/>
        <w:jc w:val="both"/>
        <w:rPr>
          <w:sz w:val="28"/>
          <w:szCs w:val="28"/>
        </w:rPr>
      </w:pPr>
      <w:r w:rsidRPr="00C05250">
        <w:rPr>
          <w:sz w:val="28"/>
          <w:szCs w:val="28"/>
        </w:rPr>
        <w:t xml:space="preserve">Змінами передбачається: </w:t>
      </w:r>
    </w:p>
    <w:p w:rsidR="0088732F" w:rsidRPr="00C05250" w:rsidRDefault="001B48B6" w:rsidP="001A4987">
      <w:pPr>
        <w:pStyle w:val="rvps2"/>
        <w:spacing w:before="0" w:beforeAutospacing="0" w:after="0" w:afterAutospacing="0"/>
        <w:ind w:right="1" w:firstLine="567"/>
        <w:jc w:val="both"/>
        <w:rPr>
          <w:sz w:val="28"/>
          <w:szCs w:val="28"/>
        </w:rPr>
      </w:pPr>
      <w:r w:rsidRPr="00C05250">
        <w:rPr>
          <w:sz w:val="28"/>
          <w:szCs w:val="28"/>
        </w:rPr>
        <w:t>чітке визначення моменту переходу права власності на частку товариства від однієї особи до іншої (за аналогією з цінними паперами в депозитарній системі як це передбачено абзацом п’ятдесятим пункту 1 глави 2 розділу V Положення про провадження депозитарної діяльності, затвердженого Рішення</w:t>
      </w:r>
      <w:r w:rsidR="007D5231" w:rsidRPr="00C05250">
        <w:rPr>
          <w:sz w:val="28"/>
          <w:szCs w:val="28"/>
        </w:rPr>
        <w:t>м НКЦПФР №</w:t>
      </w:r>
      <w:r w:rsidR="00A90356" w:rsidRPr="00C05250">
        <w:rPr>
          <w:sz w:val="28"/>
          <w:szCs w:val="28"/>
        </w:rPr>
        <w:t xml:space="preserve"> </w:t>
      </w:r>
      <w:r w:rsidR="007D5231" w:rsidRPr="00C05250">
        <w:rPr>
          <w:sz w:val="28"/>
          <w:szCs w:val="28"/>
        </w:rPr>
        <w:t>735 від 23.04.2013);</w:t>
      </w:r>
    </w:p>
    <w:p w:rsidR="0088732F" w:rsidRPr="00C05250" w:rsidRDefault="008D07F6" w:rsidP="001A4987">
      <w:pPr>
        <w:pStyle w:val="rvps2"/>
        <w:spacing w:before="0" w:beforeAutospacing="0" w:after="0" w:afterAutospacing="0"/>
        <w:ind w:right="1" w:firstLine="567"/>
        <w:jc w:val="both"/>
        <w:rPr>
          <w:sz w:val="28"/>
          <w:szCs w:val="28"/>
        </w:rPr>
      </w:pPr>
      <w:r w:rsidRPr="00C05250">
        <w:rPr>
          <w:sz w:val="28"/>
          <w:szCs w:val="28"/>
        </w:rPr>
        <w:t>уточнення</w:t>
      </w:r>
      <w:r w:rsidR="001B48B6" w:rsidRPr="00C05250">
        <w:rPr>
          <w:sz w:val="28"/>
          <w:szCs w:val="28"/>
        </w:rPr>
        <w:t xml:space="preserve"> порядку переведення обслуговування рахунку учасника товариства з однієї уповноваженої депозитарної установи</w:t>
      </w:r>
      <w:r w:rsidRPr="00C05250">
        <w:rPr>
          <w:sz w:val="28"/>
          <w:szCs w:val="28"/>
        </w:rPr>
        <w:t xml:space="preserve"> або Центрального депозитарію</w:t>
      </w:r>
      <w:r w:rsidR="001B48B6" w:rsidRPr="00C05250">
        <w:rPr>
          <w:sz w:val="28"/>
          <w:szCs w:val="28"/>
        </w:rPr>
        <w:t xml:space="preserve"> до іншої</w:t>
      </w:r>
      <w:r w:rsidRPr="00C05250">
        <w:rPr>
          <w:sz w:val="28"/>
          <w:szCs w:val="28"/>
        </w:rPr>
        <w:t xml:space="preserve"> уповноваженої депозитарної установи</w:t>
      </w:r>
      <w:r w:rsidR="001B48B6" w:rsidRPr="00C05250">
        <w:rPr>
          <w:sz w:val="28"/>
          <w:szCs w:val="28"/>
        </w:rPr>
        <w:t xml:space="preserve"> або Центрального депозитарію</w:t>
      </w:r>
      <w:r w:rsidR="007D5231" w:rsidRPr="00C05250">
        <w:rPr>
          <w:sz w:val="28"/>
          <w:szCs w:val="28"/>
        </w:rPr>
        <w:t xml:space="preserve">; </w:t>
      </w:r>
    </w:p>
    <w:p w:rsidR="007D5231" w:rsidRPr="00C05250" w:rsidRDefault="001B48B6" w:rsidP="001A4987">
      <w:pPr>
        <w:pStyle w:val="rvps2"/>
        <w:spacing w:before="0" w:beforeAutospacing="0" w:after="0" w:afterAutospacing="0"/>
        <w:ind w:right="1" w:firstLine="567"/>
        <w:jc w:val="both"/>
        <w:rPr>
          <w:b/>
          <w:sz w:val="28"/>
          <w:szCs w:val="28"/>
        </w:rPr>
      </w:pPr>
      <w:r w:rsidRPr="00C05250">
        <w:rPr>
          <w:sz w:val="28"/>
          <w:szCs w:val="28"/>
        </w:rPr>
        <w:t>врегул</w:t>
      </w:r>
      <w:r w:rsidR="003F16D0" w:rsidRPr="00C05250">
        <w:rPr>
          <w:sz w:val="28"/>
          <w:szCs w:val="28"/>
        </w:rPr>
        <w:t>ювання</w:t>
      </w:r>
      <w:r w:rsidRPr="00C05250">
        <w:rPr>
          <w:sz w:val="28"/>
          <w:szCs w:val="28"/>
        </w:rPr>
        <w:t xml:space="preserve"> порядк</w:t>
      </w:r>
      <w:r w:rsidR="003F16D0" w:rsidRPr="00C05250">
        <w:rPr>
          <w:sz w:val="28"/>
          <w:szCs w:val="28"/>
        </w:rPr>
        <w:t>у</w:t>
      </w:r>
      <w:r w:rsidRPr="00C05250">
        <w:rPr>
          <w:sz w:val="28"/>
          <w:szCs w:val="28"/>
        </w:rPr>
        <w:t xml:space="preserve"> проведення операцій щодо рахунків учасників товариств у випадку внесення змін до облікової системи часток щодо збільшення</w:t>
      </w:r>
      <w:r w:rsidR="008867E2" w:rsidRPr="00C05250">
        <w:rPr>
          <w:sz w:val="28"/>
          <w:szCs w:val="28"/>
        </w:rPr>
        <w:t xml:space="preserve"> </w:t>
      </w:r>
      <w:r w:rsidRPr="00C05250">
        <w:rPr>
          <w:sz w:val="28"/>
          <w:szCs w:val="28"/>
        </w:rPr>
        <w:lastRenderedPageBreak/>
        <w:t>/</w:t>
      </w:r>
      <w:r w:rsidR="008867E2" w:rsidRPr="00C05250">
        <w:rPr>
          <w:sz w:val="28"/>
          <w:szCs w:val="28"/>
        </w:rPr>
        <w:t xml:space="preserve"> </w:t>
      </w:r>
      <w:r w:rsidRPr="00C05250">
        <w:rPr>
          <w:sz w:val="28"/>
          <w:szCs w:val="28"/>
        </w:rPr>
        <w:t>зменшення статутного капіталу товариства за рішенням загальних зборів учасників товариства, що не пов’язане з включенням</w:t>
      </w:r>
      <w:r w:rsidR="008867E2" w:rsidRPr="00C05250">
        <w:rPr>
          <w:sz w:val="28"/>
          <w:szCs w:val="28"/>
        </w:rPr>
        <w:t xml:space="preserve"> </w:t>
      </w:r>
      <w:r w:rsidRPr="00C05250">
        <w:rPr>
          <w:sz w:val="28"/>
          <w:szCs w:val="28"/>
        </w:rPr>
        <w:t>/ виключенням учасників това</w:t>
      </w:r>
      <w:r w:rsidR="007D5231" w:rsidRPr="00C05250">
        <w:rPr>
          <w:sz w:val="28"/>
          <w:szCs w:val="28"/>
        </w:rPr>
        <w:t>риства до</w:t>
      </w:r>
      <w:r w:rsidR="008867E2" w:rsidRPr="00C05250">
        <w:rPr>
          <w:sz w:val="28"/>
          <w:szCs w:val="28"/>
        </w:rPr>
        <w:t xml:space="preserve"> </w:t>
      </w:r>
      <w:r w:rsidR="007D5231" w:rsidRPr="00C05250">
        <w:rPr>
          <w:sz w:val="28"/>
          <w:szCs w:val="28"/>
        </w:rPr>
        <w:t>/</w:t>
      </w:r>
      <w:r w:rsidR="008867E2" w:rsidRPr="00C05250">
        <w:rPr>
          <w:sz w:val="28"/>
          <w:szCs w:val="28"/>
        </w:rPr>
        <w:t xml:space="preserve"> </w:t>
      </w:r>
      <w:r w:rsidR="00BE1E34" w:rsidRPr="00C05250">
        <w:rPr>
          <w:sz w:val="28"/>
          <w:szCs w:val="28"/>
        </w:rPr>
        <w:t>зі складу учасників;</w:t>
      </w:r>
    </w:p>
    <w:p w:rsidR="00270FA9" w:rsidRPr="00C05250" w:rsidRDefault="001B48B6" w:rsidP="001A4987">
      <w:pPr>
        <w:keepNext/>
        <w:keepLines/>
        <w:tabs>
          <w:tab w:val="left" w:pos="9781"/>
        </w:tabs>
        <w:spacing w:after="0" w:line="240" w:lineRule="auto"/>
        <w:ind w:right="1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5250">
        <w:rPr>
          <w:rFonts w:ascii="Times New Roman" w:hAnsi="Times New Roman" w:cs="Times New Roman"/>
          <w:sz w:val="28"/>
          <w:szCs w:val="28"/>
        </w:rPr>
        <w:t>розширення</w:t>
      </w:r>
      <w:r w:rsidR="00BE5695" w:rsidRPr="00C05250">
        <w:rPr>
          <w:rFonts w:ascii="Times New Roman" w:hAnsi="Times New Roman" w:cs="Times New Roman"/>
          <w:sz w:val="28"/>
          <w:szCs w:val="28"/>
        </w:rPr>
        <w:t xml:space="preserve"> та уточнення</w:t>
      </w:r>
      <w:r w:rsidRPr="00C05250">
        <w:rPr>
          <w:rFonts w:ascii="Times New Roman" w:hAnsi="Times New Roman" w:cs="Times New Roman"/>
          <w:sz w:val="28"/>
          <w:szCs w:val="28"/>
        </w:rPr>
        <w:t xml:space="preserve"> підстав для відмови у внесенні з</w:t>
      </w:r>
      <w:r w:rsidR="00BE5695" w:rsidRPr="00C05250">
        <w:rPr>
          <w:rFonts w:ascii="Times New Roman" w:hAnsi="Times New Roman" w:cs="Times New Roman"/>
          <w:sz w:val="28"/>
          <w:szCs w:val="28"/>
        </w:rPr>
        <w:t xml:space="preserve">мін до облікової системи часток, зокрема при відсутності згоди заставодержателя на переведення обслуговування рахунку учасника товариства до іншої уповноваженої депозитарної установи та при встановлених щодо учасника товариства </w:t>
      </w:r>
      <w:r w:rsidR="00633E92" w:rsidRPr="00C05250">
        <w:rPr>
          <w:rFonts w:ascii="Times New Roman" w:hAnsi="Times New Roman" w:cs="Times New Roman"/>
          <w:sz w:val="28"/>
          <w:szCs w:val="28"/>
        </w:rPr>
        <w:t>спеціальних економічних та інших обмежувальних заходів (санкцій), відповідно до Закону України «Про санкції»</w:t>
      </w:r>
      <w:r w:rsidRPr="00C05250">
        <w:rPr>
          <w:rFonts w:ascii="Times New Roman" w:hAnsi="Times New Roman" w:cs="Times New Roman"/>
          <w:sz w:val="28"/>
          <w:szCs w:val="28"/>
        </w:rPr>
        <w:t>.</w:t>
      </w:r>
    </w:p>
    <w:p w:rsidR="001B48B6" w:rsidRPr="00C05250" w:rsidRDefault="001B48B6" w:rsidP="001A4987">
      <w:pPr>
        <w:keepNext/>
        <w:keepLines/>
        <w:tabs>
          <w:tab w:val="left" w:pos="9781"/>
        </w:tabs>
        <w:spacing w:after="0" w:line="240" w:lineRule="auto"/>
        <w:ind w:right="1" w:firstLine="851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</w:p>
    <w:p w:rsidR="00270FA9" w:rsidRPr="00C05250" w:rsidRDefault="00270FA9" w:rsidP="001A4987">
      <w:pPr>
        <w:spacing w:after="0" w:line="240" w:lineRule="auto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250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методології </w:t>
      </w:r>
    </w:p>
    <w:p w:rsidR="00270FA9" w:rsidRPr="00C05250" w:rsidRDefault="00270FA9" w:rsidP="001A4987">
      <w:pPr>
        <w:spacing w:after="0" w:line="240" w:lineRule="auto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250">
        <w:rPr>
          <w:rFonts w:ascii="Times New Roman" w:hAnsi="Times New Roman" w:cs="Times New Roman"/>
          <w:b/>
          <w:sz w:val="28"/>
          <w:szCs w:val="28"/>
        </w:rPr>
        <w:t xml:space="preserve">регулювання професійних учасників </w:t>
      </w:r>
    </w:p>
    <w:p w:rsidR="005B6EDD" w:rsidRPr="00C05250" w:rsidRDefault="00270FA9" w:rsidP="001A4987">
      <w:pPr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 w:rsidRPr="00C05250">
        <w:rPr>
          <w:rFonts w:ascii="Times New Roman" w:hAnsi="Times New Roman" w:cs="Times New Roman"/>
          <w:b/>
          <w:sz w:val="28"/>
          <w:szCs w:val="28"/>
        </w:rPr>
        <w:t xml:space="preserve">ринку цінних паперів </w:t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Pr="00C05250">
        <w:rPr>
          <w:rFonts w:ascii="Times New Roman" w:hAnsi="Times New Roman" w:cs="Times New Roman"/>
          <w:b/>
          <w:sz w:val="28"/>
          <w:szCs w:val="28"/>
        </w:rPr>
        <w:tab/>
      </w:r>
      <w:r w:rsidR="00633E92" w:rsidRPr="00C0525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05250">
        <w:rPr>
          <w:rFonts w:ascii="Times New Roman" w:hAnsi="Times New Roman" w:cs="Times New Roman"/>
          <w:b/>
          <w:sz w:val="28"/>
          <w:szCs w:val="28"/>
        </w:rPr>
        <w:t>Максим ТИМОХІН</w:t>
      </w:r>
    </w:p>
    <w:sectPr w:rsidR="005B6EDD" w:rsidRPr="00C05250" w:rsidSect="00C05250">
      <w:footerReference w:type="default" r:id="rId11"/>
      <w:pgSz w:w="11906" w:h="16838"/>
      <w:pgMar w:top="568" w:right="707" w:bottom="1985" w:left="1417" w:header="567" w:footer="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B4" w:rsidRDefault="007A15B4" w:rsidP="00127BD5">
      <w:pPr>
        <w:spacing w:after="0" w:line="240" w:lineRule="auto"/>
      </w:pPr>
      <w:r>
        <w:separator/>
      </w:r>
    </w:p>
  </w:endnote>
  <w:endnote w:type="continuationSeparator" w:id="0">
    <w:p w:rsidR="007A15B4" w:rsidRDefault="007A15B4" w:rsidP="0012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194022"/>
      <w:docPartObj>
        <w:docPartGallery w:val="Page Numbers (Bottom of Page)"/>
        <w:docPartUnique/>
      </w:docPartObj>
    </w:sdtPr>
    <w:sdtEndPr/>
    <w:sdtContent>
      <w:p w:rsidR="00E418E6" w:rsidRDefault="00E418E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78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B4" w:rsidRDefault="007A15B4" w:rsidP="00127BD5">
      <w:pPr>
        <w:spacing w:after="0" w:line="240" w:lineRule="auto"/>
      </w:pPr>
      <w:r>
        <w:separator/>
      </w:r>
    </w:p>
  </w:footnote>
  <w:footnote w:type="continuationSeparator" w:id="0">
    <w:p w:rsidR="007A15B4" w:rsidRDefault="007A15B4" w:rsidP="00127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A9"/>
    <w:rsid w:val="000C2305"/>
    <w:rsid w:val="000C7FC1"/>
    <w:rsid w:val="001101EC"/>
    <w:rsid w:val="00127BD5"/>
    <w:rsid w:val="001A0587"/>
    <w:rsid w:val="001A4987"/>
    <w:rsid w:val="001B48B6"/>
    <w:rsid w:val="001E54C4"/>
    <w:rsid w:val="00270FA9"/>
    <w:rsid w:val="00295165"/>
    <w:rsid w:val="002A1920"/>
    <w:rsid w:val="002E508B"/>
    <w:rsid w:val="00324A2D"/>
    <w:rsid w:val="00372244"/>
    <w:rsid w:val="0039612B"/>
    <w:rsid w:val="003F16D0"/>
    <w:rsid w:val="003F2FFC"/>
    <w:rsid w:val="00433B1C"/>
    <w:rsid w:val="00440C45"/>
    <w:rsid w:val="004471C9"/>
    <w:rsid w:val="004C2E3C"/>
    <w:rsid w:val="004E7C3B"/>
    <w:rsid w:val="00586508"/>
    <w:rsid w:val="00595027"/>
    <w:rsid w:val="005B6EDD"/>
    <w:rsid w:val="00633E92"/>
    <w:rsid w:val="00684943"/>
    <w:rsid w:val="006F4860"/>
    <w:rsid w:val="007106F2"/>
    <w:rsid w:val="0071093E"/>
    <w:rsid w:val="007702E1"/>
    <w:rsid w:val="007A15B4"/>
    <w:rsid w:val="007D5231"/>
    <w:rsid w:val="0087478C"/>
    <w:rsid w:val="008867E2"/>
    <w:rsid w:val="0088732F"/>
    <w:rsid w:val="008D07F6"/>
    <w:rsid w:val="008D5338"/>
    <w:rsid w:val="0093798E"/>
    <w:rsid w:val="00A10CA1"/>
    <w:rsid w:val="00A21CF8"/>
    <w:rsid w:val="00A90356"/>
    <w:rsid w:val="00AA1753"/>
    <w:rsid w:val="00AD383F"/>
    <w:rsid w:val="00B37342"/>
    <w:rsid w:val="00B373D9"/>
    <w:rsid w:val="00B50BB5"/>
    <w:rsid w:val="00BA0437"/>
    <w:rsid w:val="00BA0725"/>
    <w:rsid w:val="00BE1E34"/>
    <w:rsid w:val="00BE5695"/>
    <w:rsid w:val="00C05250"/>
    <w:rsid w:val="00C4209D"/>
    <w:rsid w:val="00CA0502"/>
    <w:rsid w:val="00D25B2E"/>
    <w:rsid w:val="00DA355F"/>
    <w:rsid w:val="00DF3B74"/>
    <w:rsid w:val="00E418E6"/>
    <w:rsid w:val="00EB0453"/>
    <w:rsid w:val="00EF0019"/>
    <w:rsid w:val="00F67052"/>
    <w:rsid w:val="00FB6F89"/>
    <w:rsid w:val="00FC15F4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A672E8"/>
  <w15:chartTrackingRefBased/>
  <w15:docId w15:val="{2D8DD473-54D1-4141-A21A-A746B2C4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ntmsonormal">
    <w:name w:val="mcntmsonormal"/>
    <w:basedOn w:val="a"/>
    <w:rsid w:val="0027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7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27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70FA9"/>
  </w:style>
  <w:style w:type="paragraph" w:styleId="a5">
    <w:name w:val="Normal (Web)"/>
    <w:basedOn w:val="a"/>
    <w:uiPriority w:val="99"/>
    <w:rsid w:val="0027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433B1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10CA1"/>
    <w:rPr>
      <w:color w:val="954F72" w:themeColor="followedHyperlink"/>
      <w:u w:val="single"/>
    </w:rPr>
  </w:style>
  <w:style w:type="paragraph" w:styleId="a8">
    <w:name w:val="footer"/>
    <w:basedOn w:val="a"/>
    <w:link w:val="a9"/>
    <w:uiPriority w:val="99"/>
    <w:unhideWhenUsed/>
    <w:rsid w:val="00127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27BD5"/>
  </w:style>
  <w:style w:type="paragraph" w:styleId="aa">
    <w:name w:val="Balloon Text"/>
    <w:basedOn w:val="a"/>
    <w:link w:val="ab"/>
    <w:uiPriority w:val="99"/>
    <w:semiHidden/>
    <w:unhideWhenUsed/>
    <w:rsid w:val="002E5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E50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5178-1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rada/show/5178-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rada/show/5178-1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rada/show/2465-2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rada/show/5178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2256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NSSMC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КАРІНА</dc:creator>
  <cp:keywords/>
  <dc:description/>
  <cp:lastModifiedBy>КАРІНА</cp:lastModifiedBy>
  <cp:revision>2</cp:revision>
  <cp:lastPrinted>2025-08-27T11:33:00Z</cp:lastPrinted>
  <dcterms:created xsi:type="dcterms:W3CDTF">2025-09-18T12:14:00Z</dcterms:created>
  <dcterms:modified xsi:type="dcterms:W3CDTF">2025-09-18T12:14:00Z</dcterms:modified>
</cp:coreProperties>
</file>