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2F5F" w:rsidRDefault="00212F5F" w:rsidP="00212F5F">
      <w:pPr>
        <w:pStyle w:val="1"/>
        <w:spacing w:before="70"/>
        <w:ind w:left="628" w:right="632"/>
        <w:jc w:val="center"/>
      </w:pPr>
      <w:r>
        <w:t>Національна комісія з цінних паперів та фондового ринку</w:t>
      </w:r>
    </w:p>
    <w:p w:rsidR="00212F5F" w:rsidRDefault="00212F5F" w:rsidP="00212F5F">
      <w:pPr>
        <w:pStyle w:val="1"/>
        <w:spacing w:before="70"/>
        <w:ind w:left="628" w:right="632"/>
        <w:jc w:val="center"/>
      </w:pPr>
    </w:p>
    <w:p w:rsidR="00212F5F" w:rsidRDefault="00212F5F" w:rsidP="00212F5F">
      <w:pPr>
        <w:pStyle w:val="1"/>
        <w:spacing w:before="70"/>
        <w:ind w:left="628" w:right="632"/>
        <w:jc w:val="center"/>
      </w:pPr>
      <w:r>
        <w:rPr>
          <w:spacing w:val="-2"/>
        </w:rPr>
        <w:t>ОБҐРУНТУВАННЯ</w:t>
      </w:r>
    </w:p>
    <w:p w:rsidR="004C041D" w:rsidRDefault="00212F5F" w:rsidP="00EE3D55">
      <w:pPr>
        <w:pStyle w:val="a3"/>
        <w:ind w:left="179" w:right="180"/>
        <w:jc w:val="center"/>
        <w:rPr>
          <w:spacing w:val="-4"/>
        </w:rPr>
      </w:pPr>
      <w:r>
        <w:t>технічних</w:t>
      </w:r>
      <w:r>
        <w:rPr>
          <w:spacing w:val="-2"/>
        </w:rPr>
        <w:t xml:space="preserve"> </w:t>
      </w:r>
      <w:r>
        <w:t>та</w:t>
      </w:r>
      <w:r>
        <w:rPr>
          <w:spacing w:val="-2"/>
        </w:rPr>
        <w:t xml:space="preserve"> </w:t>
      </w:r>
      <w:r>
        <w:t>якісних</w:t>
      </w:r>
      <w:r>
        <w:rPr>
          <w:spacing w:val="-5"/>
        </w:rPr>
        <w:t xml:space="preserve"> </w:t>
      </w:r>
      <w:r>
        <w:t>характеристик</w:t>
      </w:r>
      <w:r>
        <w:rPr>
          <w:spacing w:val="-4"/>
        </w:rPr>
        <w:t xml:space="preserve"> </w:t>
      </w:r>
      <w:r>
        <w:t>закупівлі товару</w:t>
      </w:r>
      <w:r>
        <w:rPr>
          <w:spacing w:val="-5"/>
        </w:rPr>
        <w:t xml:space="preserve"> </w:t>
      </w:r>
      <w:r>
        <w:t>за</w:t>
      </w:r>
      <w:r>
        <w:rPr>
          <w:spacing w:val="-2"/>
        </w:rPr>
        <w:t xml:space="preserve"> </w:t>
      </w:r>
      <w:r>
        <w:t>предметом</w:t>
      </w:r>
      <w:r>
        <w:rPr>
          <w:spacing w:val="-2"/>
        </w:rPr>
        <w:t xml:space="preserve"> </w:t>
      </w:r>
      <w:r>
        <w:t>закупівлі:</w:t>
      </w:r>
      <w:r>
        <w:rPr>
          <w:spacing w:val="-4"/>
        </w:rPr>
        <w:t xml:space="preserve"> </w:t>
      </w:r>
    </w:p>
    <w:p w:rsidR="00212F5F" w:rsidRDefault="004C041D" w:rsidP="00EE3D55">
      <w:pPr>
        <w:pStyle w:val="a3"/>
        <w:ind w:left="179" w:right="180"/>
        <w:jc w:val="center"/>
      </w:pPr>
      <w:r>
        <w:t>Послуги з ремонту вікон</w:t>
      </w:r>
    </w:p>
    <w:p w:rsidR="00212F5F" w:rsidRDefault="00212F5F" w:rsidP="00EE3D55">
      <w:pPr>
        <w:pStyle w:val="a3"/>
        <w:ind w:left="179" w:right="180"/>
        <w:jc w:val="center"/>
      </w:pPr>
      <w:r>
        <w:t xml:space="preserve">(код ДК 021:2015: </w:t>
      </w:r>
      <w:r w:rsidR="00EE3D55">
        <w:t>45420000-7 Столярні та теслярні роботи</w:t>
      </w:r>
      <w:r>
        <w:t>),</w:t>
      </w:r>
      <w:r>
        <w:rPr>
          <w:spacing w:val="-10"/>
        </w:rPr>
        <w:t xml:space="preserve"> </w:t>
      </w:r>
      <w:r>
        <w:t>розміру</w:t>
      </w:r>
      <w:r>
        <w:rPr>
          <w:spacing w:val="-7"/>
        </w:rPr>
        <w:t xml:space="preserve"> </w:t>
      </w:r>
      <w:r>
        <w:t>бюджетного</w:t>
      </w:r>
      <w:r>
        <w:rPr>
          <w:spacing w:val="-5"/>
        </w:rPr>
        <w:t xml:space="preserve"> </w:t>
      </w:r>
      <w:r>
        <w:t>призначення,</w:t>
      </w:r>
      <w:r w:rsidR="00EE3D55">
        <w:t xml:space="preserve"> </w:t>
      </w:r>
      <w:r>
        <w:t>очікуваної</w:t>
      </w:r>
      <w:r>
        <w:rPr>
          <w:spacing w:val="-5"/>
        </w:rPr>
        <w:t xml:space="preserve"> </w:t>
      </w:r>
      <w:r>
        <w:t>вартості</w:t>
      </w:r>
      <w:r>
        <w:rPr>
          <w:spacing w:val="-4"/>
        </w:rPr>
        <w:t xml:space="preserve"> </w:t>
      </w:r>
      <w:r>
        <w:t>предмета</w:t>
      </w:r>
      <w:r>
        <w:rPr>
          <w:spacing w:val="-5"/>
        </w:rPr>
        <w:t xml:space="preserve"> </w:t>
      </w:r>
      <w:r>
        <w:rPr>
          <w:spacing w:val="-2"/>
        </w:rPr>
        <w:t>закупівлі</w:t>
      </w:r>
    </w:p>
    <w:p w:rsidR="00212F5F" w:rsidRDefault="00212F5F" w:rsidP="00EE3D55">
      <w:pPr>
        <w:ind w:left="628" w:right="632"/>
        <w:jc w:val="center"/>
        <w:rPr>
          <w:i/>
        </w:rPr>
      </w:pPr>
      <w:r>
        <w:rPr>
          <w:i/>
        </w:rPr>
        <w:t>(оприлюднюється</w:t>
      </w:r>
      <w:r>
        <w:rPr>
          <w:i/>
          <w:spacing w:val="-3"/>
        </w:rPr>
        <w:t xml:space="preserve"> </w:t>
      </w:r>
      <w:r>
        <w:rPr>
          <w:i/>
        </w:rPr>
        <w:t>на</w:t>
      </w:r>
      <w:r>
        <w:rPr>
          <w:i/>
          <w:spacing w:val="-3"/>
        </w:rPr>
        <w:t xml:space="preserve"> </w:t>
      </w:r>
      <w:r>
        <w:rPr>
          <w:i/>
        </w:rPr>
        <w:t>виконання</w:t>
      </w:r>
      <w:r>
        <w:rPr>
          <w:i/>
          <w:spacing w:val="-3"/>
        </w:rPr>
        <w:t xml:space="preserve"> </w:t>
      </w:r>
      <w:r>
        <w:rPr>
          <w:i/>
        </w:rPr>
        <w:t>постанови</w:t>
      </w:r>
      <w:r>
        <w:rPr>
          <w:i/>
          <w:spacing w:val="-3"/>
        </w:rPr>
        <w:t xml:space="preserve"> </w:t>
      </w:r>
      <w:r>
        <w:rPr>
          <w:i/>
        </w:rPr>
        <w:t>Кабміну</w:t>
      </w:r>
      <w:r>
        <w:rPr>
          <w:i/>
          <w:spacing w:val="-5"/>
        </w:rPr>
        <w:t xml:space="preserve"> </w:t>
      </w:r>
      <w:r>
        <w:rPr>
          <w:i/>
        </w:rPr>
        <w:t>№</w:t>
      </w:r>
      <w:r>
        <w:rPr>
          <w:i/>
          <w:spacing w:val="-3"/>
        </w:rPr>
        <w:t xml:space="preserve"> </w:t>
      </w:r>
      <w:r>
        <w:rPr>
          <w:i/>
        </w:rPr>
        <w:t>710</w:t>
      </w:r>
      <w:r>
        <w:rPr>
          <w:i/>
          <w:spacing w:val="-5"/>
        </w:rPr>
        <w:t xml:space="preserve"> </w:t>
      </w:r>
      <w:r>
        <w:rPr>
          <w:i/>
        </w:rPr>
        <w:t>від</w:t>
      </w:r>
      <w:r>
        <w:rPr>
          <w:i/>
          <w:spacing w:val="-2"/>
        </w:rPr>
        <w:t xml:space="preserve"> </w:t>
      </w:r>
      <w:r>
        <w:rPr>
          <w:i/>
        </w:rPr>
        <w:t>11.10.2016</w:t>
      </w:r>
      <w:r>
        <w:rPr>
          <w:i/>
          <w:spacing w:val="-3"/>
        </w:rPr>
        <w:t xml:space="preserve"> </w:t>
      </w:r>
      <w:r>
        <w:rPr>
          <w:i/>
        </w:rPr>
        <w:t>«Про</w:t>
      </w:r>
      <w:r>
        <w:rPr>
          <w:i/>
          <w:spacing w:val="-3"/>
        </w:rPr>
        <w:t xml:space="preserve"> </w:t>
      </w:r>
      <w:r>
        <w:rPr>
          <w:i/>
        </w:rPr>
        <w:t>ефективне використання державних коштів» (зі змінами))</w:t>
      </w:r>
    </w:p>
    <w:p w:rsidR="00212F5F" w:rsidRDefault="00212F5F" w:rsidP="00212F5F">
      <w:pPr>
        <w:ind w:left="628" w:right="632"/>
        <w:jc w:val="center"/>
        <w:rPr>
          <w:i/>
        </w:rPr>
      </w:pPr>
    </w:p>
    <w:p w:rsidR="00212F5F" w:rsidRDefault="00212F5F" w:rsidP="00212F5F">
      <w:pPr>
        <w:pStyle w:val="1"/>
        <w:ind w:right="108"/>
        <w:jc w:val="left"/>
      </w:pPr>
      <w:r>
        <w:t>Найменування,</w:t>
      </w:r>
      <w:r>
        <w:rPr>
          <w:spacing w:val="-4"/>
        </w:rPr>
        <w:t xml:space="preserve"> </w:t>
      </w:r>
      <w:r>
        <w:t>місцезнаходження</w:t>
      </w:r>
      <w:r>
        <w:rPr>
          <w:spacing w:val="-4"/>
        </w:rPr>
        <w:t xml:space="preserve"> </w:t>
      </w:r>
      <w:r>
        <w:t>та</w:t>
      </w:r>
      <w:r>
        <w:rPr>
          <w:spacing w:val="-4"/>
        </w:rPr>
        <w:t xml:space="preserve"> </w:t>
      </w:r>
      <w:r>
        <w:t>ідентифікаційний</w:t>
      </w:r>
      <w:r>
        <w:rPr>
          <w:spacing w:val="-4"/>
        </w:rPr>
        <w:t xml:space="preserve"> </w:t>
      </w:r>
      <w:r>
        <w:t>код</w:t>
      </w:r>
      <w:r>
        <w:rPr>
          <w:spacing w:val="-3"/>
        </w:rPr>
        <w:t xml:space="preserve"> </w:t>
      </w:r>
      <w:r>
        <w:t>замовника</w:t>
      </w:r>
      <w:r>
        <w:rPr>
          <w:spacing w:val="-7"/>
        </w:rPr>
        <w:t xml:space="preserve"> </w:t>
      </w:r>
      <w:r>
        <w:t>в</w:t>
      </w:r>
      <w:r>
        <w:rPr>
          <w:spacing w:val="-4"/>
        </w:rPr>
        <w:t xml:space="preserve"> </w:t>
      </w:r>
      <w:r>
        <w:t>Єдиному</w:t>
      </w:r>
      <w:r>
        <w:rPr>
          <w:spacing w:val="-7"/>
        </w:rPr>
        <w:t xml:space="preserve"> </w:t>
      </w:r>
      <w:r>
        <w:t xml:space="preserve">державному реєстрі юридичних осіб, фізичних осіб — підприємців та громадських формувань, його </w:t>
      </w:r>
      <w:r>
        <w:rPr>
          <w:spacing w:val="-2"/>
        </w:rPr>
        <w:t>категорія:</w:t>
      </w:r>
    </w:p>
    <w:p w:rsidR="00212F5F" w:rsidRDefault="00212F5F" w:rsidP="00212F5F">
      <w:pPr>
        <w:pStyle w:val="a3"/>
        <w:ind w:right="2793"/>
      </w:pPr>
      <w:r>
        <w:t xml:space="preserve">Національна комісія з цінних паперів та фондового ринку;  </w:t>
      </w:r>
    </w:p>
    <w:p w:rsidR="00212F5F" w:rsidRDefault="00212F5F" w:rsidP="00212F5F">
      <w:pPr>
        <w:pStyle w:val="a3"/>
        <w:spacing w:line="252" w:lineRule="exact"/>
      </w:pPr>
      <w:r>
        <w:t>01010, Україна</w:t>
      </w:r>
      <w:r w:rsidRPr="00D129EC">
        <w:t>, м. Київ обл., м. Київ, вул. Князів Острозьких, будинок 8, корпус 30</w:t>
      </w:r>
      <w:r>
        <w:t>;</w:t>
      </w:r>
    </w:p>
    <w:p w:rsidR="00212F5F" w:rsidRDefault="00212F5F" w:rsidP="00212F5F">
      <w:pPr>
        <w:pStyle w:val="a3"/>
        <w:spacing w:line="252" w:lineRule="exact"/>
      </w:pPr>
      <w:r>
        <w:t>Код</w:t>
      </w:r>
      <w:r>
        <w:rPr>
          <w:spacing w:val="50"/>
        </w:rPr>
        <w:t xml:space="preserve"> </w:t>
      </w:r>
      <w:r>
        <w:t>ЄДРПОУ</w:t>
      </w:r>
      <w:r>
        <w:rPr>
          <w:spacing w:val="-2"/>
        </w:rPr>
        <w:t xml:space="preserve"> </w:t>
      </w:r>
      <w:r>
        <w:t>–</w:t>
      </w:r>
      <w:r>
        <w:rPr>
          <w:spacing w:val="-2"/>
        </w:rPr>
        <w:t xml:space="preserve"> </w:t>
      </w:r>
      <w:r w:rsidRPr="00D129EC">
        <w:rPr>
          <w:spacing w:val="-2"/>
        </w:rPr>
        <w:t>37956207</w:t>
      </w:r>
      <w:r>
        <w:rPr>
          <w:spacing w:val="-2"/>
        </w:rPr>
        <w:t>;</w:t>
      </w:r>
    </w:p>
    <w:p w:rsidR="00212F5F" w:rsidRDefault="00212F5F" w:rsidP="00212F5F">
      <w:pPr>
        <w:pStyle w:val="a3"/>
        <w:ind w:left="0"/>
      </w:pPr>
      <w:r>
        <w:t xml:space="preserve">   </w:t>
      </w:r>
      <w:r w:rsidRPr="00D129EC">
        <w:t>Орган державної влади, місцевого самоврядування або правоохоронний орган</w:t>
      </w:r>
    </w:p>
    <w:p w:rsidR="00212F5F" w:rsidRDefault="00212F5F" w:rsidP="00212F5F">
      <w:pPr>
        <w:pStyle w:val="a3"/>
        <w:ind w:left="0"/>
      </w:pPr>
    </w:p>
    <w:p w:rsidR="00212F5F" w:rsidRDefault="00212F5F" w:rsidP="00212F5F">
      <w:pPr>
        <w:pStyle w:val="1"/>
        <w:ind w:right="140"/>
      </w:pPr>
      <w: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rsidR="00212F5F" w:rsidRDefault="004C041D" w:rsidP="00EE3D55">
      <w:pPr>
        <w:pStyle w:val="a3"/>
        <w:spacing w:before="3"/>
        <w:ind w:right="137"/>
        <w:jc w:val="both"/>
      </w:pPr>
      <w:r>
        <w:t>Послуги з ремонту вікон</w:t>
      </w:r>
      <w:r w:rsidR="00212F5F">
        <w:t xml:space="preserve"> (код ДК 021:2015: </w:t>
      </w:r>
      <w:r w:rsidR="00EE3D55">
        <w:t>45420000-7 Столярні та теслярні роботи</w:t>
      </w:r>
      <w:r w:rsidR="00212F5F">
        <w:t>)</w:t>
      </w:r>
    </w:p>
    <w:p w:rsidR="00212F5F" w:rsidRDefault="00212F5F" w:rsidP="00212F5F">
      <w:pPr>
        <w:pStyle w:val="a3"/>
        <w:ind w:left="0"/>
      </w:pPr>
      <w:r>
        <w:t xml:space="preserve">   </w:t>
      </w:r>
    </w:p>
    <w:p w:rsidR="00212F5F" w:rsidRPr="002816C1" w:rsidRDefault="00212F5F" w:rsidP="00212F5F">
      <w:pPr>
        <w:pStyle w:val="a3"/>
        <w:ind w:left="0"/>
      </w:pPr>
      <w:r>
        <w:rPr>
          <w:b/>
        </w:rPr>
        <w:t xml:space="preserve">   </w:t>
      </w:r>
      <w:r w:rsidRPr="002816C1">
        <w:rPr>
          <w:b/>
        </w:rPr>
        <w:t>Вид та ідентифікатор процедури закупівлі:</w:t>
      </w:r>
      <w:r>
        <w:t xml:space="preserve"> Відкриті</w:t>
      </w:r>
      <w:r w:rsidRPr="002816C1">
        <w:t xml:space="preserve"> </w:t>
      </w:r>
      <w:r>
        <w:t>торги</w:t>
      </w:r>
      <w:r w:rsidRPr="002816C1">
        <w:t xml:space="preserve"> </w:t>
      </w:r>
      <w:r>
        <w:t>з</w:t>
      </w:r>
      <w:r w:rsidRPr="002816C1">
        <w:t xml:space="preserve"> </w:t>
      </w:r>
      <w:r>
        <w:t xml:space="preserve">особливостями </w:t>
      </w:r>
      <w:r w:rsidR="00EE3D55" w:rsidRPr="00EE3D55">
        <w:t>UA-2025-10-24-010792-a</w:t>
      </w:r>
    </w:p>
    <w:p w:rsidR="00212F5F" w:rsidRDefault="00212F5F" w:rsidP="00212F5F">
      <w:pPr>
        <w:pStyle w:val="a3"/>
        <w:jc w:val="both"/>
        <w:sectPr w:rsidR="00212F5F" w:rsidSect="00212F5F">
          <w:pgSz w:w="11910" w:h="16840"/>
          <w:pgMar w:top="760" w:right="708" w:bottom="280" w:left="1275" w:header="708" w:footer="708" w:gutter="0"/>
          <w:cols w:space="720"/>
        </w:sectPr>
      </w:pPr>
    </w:p>
    <w:p w:rsidR="00212F5F" w:rsidRDefault="00212F5F" w:rsidP="00212F5F">
      <w:pPr>
        <w:pStyle w:val="1"/>
        <w:spacing w:line="252" w:lineRule="exact"/>
      </w:pPr>
    </w:p>
    <w:p w:rsidR="00212F5F" w:rsidRDefault="00212F5F" w:rsidP="00212F5F">
      <w:pPr>
        <w:pStyle w:val="1"/>
        <w:spacing w:line="252" w:lineRule="exact"/>
      </w:pPr>
      <w:r>
        <w:t>Очікувана</w:t>
      </w:r>
      <w:r>
        <w:rPr>
          <w:spacing w:val="-8"/>
        </w:rPr>
        <w:t xml:space="preserve"> </w:t>
      </w:r>
      <w:r>
        <w:t>вартість</w:t>
      </w:r>
      <w:r>
        <w:rPr>
          <w:spacing w:val="-5"/>
        </w:rPr>
        <w:t xml:space="preserve"> </w:t>
      </w:r>
      <w:r>
        <w:t>та</w:t>
      </w:r>
      <w:r>
        <w:rPr>
          <w:spacing w:val="-6"/>
        </w:rPr>
        <w:t xml:space="preserve"> </w:t>
      </w:r>
      <w:r>
        <w:t>обґрунтування</w:t>
      </w:r>
      <w:r>
        <w:rPr>
          <w:spacing w:val="-7"/>
        </w:rPr>
        <w:t xml:space="preserve"> </w:t>
      </w:r>
      <w:r>
        <w:t>очікуваної</w:t>
      </w:r>
      <w:r>
        <w:rPr>
          <w:spacing w:val="-5"/>
        </w:rPr>
        <w:t xml:space="preserve"> </w:t>
      </w:r>
      <w:r>
        <w:t>вартості</w:t>
      </w:r>
      <w:r>
        <w:rPr>
          <w:spacing w:val="-5"/>
        </w:rPr>
        <w:t xml:space="preserve"> </w:t>
      </w:r>
      <w:r>
        <w:t>предмета</w:t>
      </w:r>
      <w:r>
        <w:rPr>
          <w:spacing w:val="-8"/>
        </w:rPr>
        <w:t xml:space="preserve"> </w:t>
      </w:r>
      <w:r>
        <w:rPr>
          <w:spacing w:val="-2"/>
        </w:rPr>
        <w:t>закупівлі:</w:t>
      </w:r>
    </w:p>
    <w:p w:rsidR="00212F5F" w:rsidRDefault="00EE3D55" w:rsidP="00212F5F">
      <w:pPr>
        <w:pStyle w:val="a3"/>
        <w:spacing w:before="1"/>
        <w:ind w:right="140"/>
        <w:jc w:val="both"/>
      </w:pPr>
      <w:r>
        <w:t>1 281 400,00</w:t>
      </w:r>
      <w:r w:rsidR="00212F5F">
        <w:t xml:space="preserve"> грн з ПДВ. Замовником здійснено розрахунок очікуваної вартості товарів / послуг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18.02.2020 № 275.</w:t>
      </w:r>
    </w:p>
    <w:p w:rsidR="00212F5F" w:rsidRDefault="00212F5F" w:rsidP="00212F5F">
      <w:pPr>
        <w:pStyle w:val="a3"/>
        <w:ind w:left="0"/>
      </w:pPr>
    </w:p>
    <w:p w:rsidR="00212F5F" w:rsidRDefault="00212F5F" w:rsidP="00212F5F">
      <w:pPr>
        <w:pStyle w:val="1"/>
        <w:spacing w:line="253" w:lineRule="exact"/>
        <w:rPr>
          <w:spacing w:val="-2"/>
        </w:rPr>
      </w:pPr>
      <w:r>
        <w:t>Обґрунтування</w:t>
      </w:r>
      <w:r>
        <w:rPr>
          <w:spacing w:val="-8"/>
        </w:rPr>
        <w:t xml:space="preserve"> </w:t>
      </w:r>
      <w:r>
        <w:t>технічних</w:t>
      </w:r>
      <w:r>
        <w:rPr>
          <w:spacing w:val="-9"/>
        </w:rPr>
        <w:t xml:space="preserve"> </w:t>
      </w:r>
      <w:r>
        <w:t>та</w:t>
      </w:r>
      <w:r>
        <w:rPr>
          <w:spacing w:val="-5"/>
        </w:rPr>
        <w:t xml:space="preserve"> </w:t>
      </w:r>
      <w:r>
        <w:t>якісних</w:t>
      </w:r>
      <w:r>
        <w:rPr>
          <w:spacing w:val="-8"/>
        </w:rPr>
        <w:t xml:space="preserve"> </w:t>
      </w:r>
      <w:r>
        <w:t>характеристик</w:t>
      </w:r>
      <w:r>
        <w:rPr>
          <w:spacing w:val="-6"/>
        </w:rPr>
        <w:t xml:space="preserve"> </w:t>
      </w:r>
      <w:r>
        <w:t>предмета</w:t>
      </w:r>
      <w:r>
        <w:rPr>
          <w:spacing w:val="-5"/>
        </w:rPr>
        <w:t xml:space="preserve"> </w:t>
      </w:r>
      <w:r>
        <w:rPr>
          <w:spacing w:val="-2"/>
        </w:rPr>
        <w:t>закупівлі:</w:t>
      </w:r>
    </w:p>
    <w:p w:rsidR="00EE3D55" w:rsidRDefault="00EE3D55" w:rsidP="00212F5F">
      <w:pPr>
        <w:pStyle w:val="1"/>
        <w:spacing w:line="253" w:lineRule="exact"/>
      </w:pPr>
    </w:p>
    <w:p w:rsidR="00E44D9D" w:rsidRPr="004C041D" w:rsidRDefault="00EE3D55" w:rsidP="004C041D">
      <w:pPr>
        <w:autoSpaceDE/>
        <w:autoSpaceDN/>
        <w:ind w:right="400"/>
        <w:jc w:val="both"/>
        <w:rPr>
          <w:b/>
          <w:bCs/>
          <w:i/>
          <w:sz w:val="24"/>
          <w:szCs w:val="24"/>
          <w:lang w:eastAsia="uk-UA"/>
        </w:rPr>
      </w:pPr>
      <w:r>
        <w:rPr>
          <w:b/>
          <w:bCs/>
          <w:i/>
          <w:sz w:val="24"/>
          <w:szCs w:val="24"/>
          <w:lang w:eastAsia="uk-UA"/>
        </w:rPr>
        <w:t xml:space="preserve">  </w:t>
      </w:r>
      <w:r w:rsidRPr="00EE3D55">
        <w:rPr>
          <w:b/>
          <w:bCs/>
          <w:i/>
          <w:sz w:val="24"/>
          <w:szCs w:val="24"/>
          <w:lang w:eastAsia="uk-UA"/>
        </w:rPr>
        <w:t>Термін надання послуг: до 10 грудня 2025р.</w:t>
      </w:r>
      <w:bookmarkStart w:id="0" w:name="_GoBack"/>
      <w:bookmarkEnd w:id="0"/>
    </w:p>
    <w:p w:rsidR="00EE3D55" w:rsidRPr="00EE3D55" w:rsidRDefault="00EE3D55" w:rsidP="00EE3D55">
      <w:pPr>
        <w:autoSpaceDE/>
        <w:autoSpaceDN/>
        <w:ind w:right="400"/>
        <w:jc w:val="both"/>
        <w:rPr>
          <w:bCs/>
          <w:sz w:val="24"/>
          <w:szCs w:val="24"/>
          <w:lang w:eastAsia="uk-UA"/>
        </w:rPr>
      </w:pPr>
      <w:r>
        <w:rPr>
          <w:bCs/>
          <w:sz w:val="24"/>
          <w:szCs w:val="24"/>
          <w:lang w:eastAsia="uk-UA"/>
        </w:rPr>
        <w:t xml:space="preserve">  </w:t>
      </w:r>
    </w:p>
    <w:tbl>
      <w:tblPr>
        <w:tblW w:w="10632"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3970"/>
        <w:gridCol w:w="1417"/>
        <w:gridCol w:w="992"/>
        <w:gridCol w:w="3828"/>
      </w:tblGrid>
      <w:tr w:rsidR="00EE3D55" w:rsidRPr="00EE3D55" w:rsidTr="004C041D">
        <w:trPr>
          <w:trHeight w:val="620"/>
        </w:trPr>
        <w:tc>
          <w:tcPr>
            <w:tcW w:w="425" w:type="dxa"/>
          </w:tcPr>
          <w:p w:rsidR="00EE3D55" w:rsidRPr="00EE3D55" w:rsidRDefault="00EE3D55" w:rsidP="00EE3D55">
            <w:pPr>
              <w:autoSpaceDE/>
              <w:autoSpaceDN/>
              <w:ind w:right="400"/>
              <w:jc w:val="both"/>
              <w:rPr>
                <w:bCs/>
                <w:sz w:val="24"/>
                <w:szCs w:val="24"/>
                <w:lang w:eastAsia="uk-UA"/>
              </w:rPr>
            </w:pPr>
            <w:r w:rsidRPr="00EE3D55">
              <w:rPr>
                <w:bCs/>
                <w:sz w:val="24"/>
                <w:szCs w:val="24"/>
                <w:lang w:eastAsia="uk-UA"/>
              </w:rPr>
              <w:t>№ з/п</w:t>
            </w:r>
          </w:p>
        </w:tc>
        <w:tc>
          <w:tcPr>
            <w:tcW w:w="3970" w:type="dxa"/>
          </w:tcPr>
          <w:p w:rsidR="00EE3D55" w:rsidRPr="00EE3D55" w:rsidRDefault="00EE3D55" w:rsidP="00EE3D55">
            <w:pPr>
              <w:autoSpaceDE/>
              <w:autoSpaceDN/>
              <w:ind w:right="400"/>
              <w:jc w:val="both"/>
              <w:rPr>
                <w:bCs/>
                <w:sz w:val="24"/>
                <w:szCs w:val="24"/>
                <w:lang w:eastAsia="uk-UA"/>
              </w:rPr>
            </w:pPr>
            <w:r w:rsidRPr="00EE3D55">
              <w:rPr>
                <w:bCs/>
                <w:sz w:val="24"/>
                <w:szCs w:val="24"/>
                <w:lang w:eastAsia="uk-UA"/>
              </w:rPr>
              <w:t>Найменування послуг</w:t>
            </w:r>
          </w:p>
        </w:tc>
        <w:tc>
          <w:tcPr>
            <w:tcW w:w="1417" w:type="dxa"/>
          </w:tcPr>
          <w:p w:rsidR="00EE3D55" w:rsidRPr="00EE3D55" w:rsidRDefault="004C041D" w:rsidP="00EE3D55">
            <w:pPr>
              <w:autoSpaceDE/>
              <w:autoSpaceDN/>
              <w:ind w:right="400"/>
              <w:jc w:val="both"/>
              <w:rPr>
                <w:bCs/>
                <w:sz w:val="24"/>
                <w:szCs w:val="24"/>
                <w:lang w:eastAsia="uk-UA"/>
              </w:rPr>
            </w:pPr>
            <w:r>
              <w:rPr>
                <w:bCs/>
                <w:sz w:val="24"/>
                <w:szCs w:val="24"/>
                <w:lang w:eastAsia="uk-UA"/>
              </w:rPr>
              <w:t>Один</w:t>
            </w:r>
            <w:r w:rsidR="00EE3D55" w:rsidRPr="00EE3D55">
              <w:rPr>
                <w:bCs/>
                <w:sz w:val="24"/>
                <w:szCs w:val="24"/>
                <w:lang w:eastAsia="uk-UA"/>
              </w:rPr>
              <w:t>ця виміру</w:t>
            </w:r>
          </w:p>
        </w:tc>
        <w:tc>
          <w:tcPr>
            <w:tcW w:w="992" w:type="dxa"/>
          </w:tcPr>
          <w:p w:rsidR="00EE3D55" w:rsidRPr="00EE3D55" w:rsidRDefault="004C041D" w:rsidP="004C041D">
            <w:pPr>
              <w:autoSpaceDE/>
              <w:autoSpaceDN/>
              <w:ind w:right="39"/>
              <w:jc w:val="both"/>
              <w:rPr>
                <w:bCs/>
                <w:sz w:val="24"/>
                <w:szCs w:val="24"/>
                <w:lang w:eastAsia="uk-UA"/>
              </w:rPr>
            </w:pPr>
            <w:r>
              <w:rPr>
                <w:bCs/>
                <w:sz w:val="24"/>
                <w:szCs w:val="24"/>
                <w:lang w:eastAsia="uk-UA"/>
              </w:rPr>
              <w:t>Кіл</w:t>
            </w:r>
            <w:r w:rsidR="00EE3D55" w:rsidRPr="00EE3D55">
              <w:rPr>
                <w:bCs/>
                <w:sz w:val="24"/>
                <w:szCs w:val="24"/>
                <w:lang w:eastAsia="uk-UA"/>
              </w:rPr>
              <w:t>ькість</w:t>
            </w:r>
          </w:p>
        </w:tc>
        <w:tc>
          <w:tcPr>
            <w:tcW w:w="3828" w:type="dxa"/>
          </w:tcPr>
          <w:p w:rsidR="00EE3D55" w:rsidRPr="00EE3D55" w:rsidRDefault="00EE3D55" w:rsidP="00EE3D55">
            <w:pPr>
              <w:autoSpaceDE/>
              <w:autoSpaceDN/>
              <w:ind w:right="400"/>
              <w:jc w:val="both"/>
              <w:rPr>
                <w:bCs/>
                <w:sz w:val="24"/>
                <w:szCs w:val="24"/>
                <w:lang w:eastAsia="uk-UA"/>
              </w:rPr>
            </w:pPr>
            <w:r w:rsidRPr="00EE3D55">
              <w:rPr>
                <w:bCs/>
                <w:sz w:val="24"/>
                <w:szCs w:val="24"/>
                <w:lang w:eastAsia="uk-UA"/>
              </w:rPr>
              <w:t>Примітка</w:t>
            </w:r>
          </w:p>
        </w:tc>
      </w:tr>
      <w:tr w:rsidR="00EE3D55" w:rsidRPr="00EE3D55" w:rsidTr="004C041D">
        <w:trPr>
          <w:trHeight w:val="1241"/>
        </w:trPr>
        <w:tc>
          <w:tcPr>
            <w:tcW w:w="425" w:type="dxa"/>
          </w:tcPr>
          <w:p w:rsidR="00EE3D55" w:rsidRPr="00EE3D55" w:rsidRDefault="00EE3D55" w:rsidP="00EE3D55">
            <w:pPr>
              <w:autoSpaceDE/>
              <w:autoSpaceDN/>
              <w:ind w:right="400"/>
              <w:jc w:val="both"/>
              <w:rPr>
                <w:bCs/>
                <w:sz w:val="24"/>
                <w:szCs w:val="24"/>
                <w:lang w:eastAsia="uk-UA"/>
              </w:rPr>
            </w:pPr>
            <w:r w:rsidRPr="00EE3D55">
              <w:rPr>
                <w:bCs/>
                <w:sz w:val="24"/>
                <w:szCs w:val="24"/>
                <w:lang w:eastAsia="uk-UA"/>
              </w:rPr>
              <w:t>1</w:t>
            </w:r>
          </w:p>
        </w:tc>
        <w:tc>
          <w:tcPr>
            <w:tcW w:w="3970" w:type="dxa"/>
          </w:tcPr>
          <w:p w:rsidR="00EE3D55" w:rsidRPr="00EE3D55" w:rsidRDefault="00EE3D55" w:rsidP="00EE3D55">
            <w:pPr>
              <w:autoSpaceDE/>
              <w:autoSpaceDN/>
              <w:ind w:right="400"/>
              <w:jc w:val="both"/>
              <w:rPr>
                <w:bCs/>
                <w:sz w:val="24"/>
                <w:szCs w:val="24"/>
                <w:lang w:eastAsia="uk-UA"/>
              </w:rPr>
            </w:pPr>
            <w:r w:rsidRPr="00EE3D55">
              <w:rPr>
                <w:bCs/>
                <w:sz w:val="24"/>
                <w:szCs w:val="24"/>
                <w:lang w:eastAsia="uk-UA"/>
              </w:rPr>
              <w:t>Заміна ущільнювачів</w:t>
            </w:r>
          </w:p>
        </w:tc>
        <w:tc>
          <w:tcPr>
            <w:tcW w:w="1417" w:type="dxa"/>
          </w:tcPr>
          <w:p w:rsidR="00EE3D55" w:rsidRPr="00EE3D55" w:rsidRDefault="00EE3D55" w:rsidP="00EE3D55">
            <w:pPr>
              <w:autoSpaceDE/>
              <w:autoSpaceDN/>
              <w:ind w:right="400"/>
              <w:jc w:val="both"/>
              <w:rPr>
                <w:bCs/>
                <w:sz w:val="24"/>
                <w:szCs w:val="24"/>
                <w:lang w:eastAsia="uk-UA"/>
              </w:rPr>
            </w:pPr>
            <w:r w:rsidRPr="00EE3D55">
              <w:rPr>
                <w:bCs/>
                <w:sz w:val="24"/>
                <w:szCs w:val="24"/>
                <w:lang w:eastAsia="uk-UA"/>
              </w:rPr>
              <w:t>послуга</w:t>
            </w:r>
          </w:p>
        </w:tc>
        <w:tc>
          <w:tcPr>
            <w:tcW w:w="992" w:type="dxa"/>
          </w:tcPr>
          <w:p w:rsidR="00EE3D55" w:rsidRPr="00EE3D55" w:rsidRDefault="00EE3D55" w:rsidP="00EE3D55">
            <w:pPr>
              <w:autoSpaceDE/>
              <w:autoSpaceDN/>
              <w:ind w:right="400"/>
              <w:jc w:val="both"/>
              <w:rPr>
                <w:bCs/>
                <w:sz w:val="24"/>
                <w:szCs w:val="24"/>
                <w:lang w:eastAsia="uk-UA"/>
              </w:rPr>
            </w:pPr>
            <w:r w:rsidRPr="00EE3D55">
              <w:rPr>
                <w:bCs/>
                <w:sz w:val="24"/>
                <w:szCs w:val="24"/>
                <w:lang w:eastAsia="uk-UA"/>
              </w:rPr>
              <w:t>113</w:t>
            </w:r>
          </w:p>
        </w:tc>
        <w:tc>
          <w:tcPr>
            <w:tcW w:w="3828" w:type="dxa"/>
          </w:tcPr>
          <w:p w:rsidR="00EE3D55" w:rsidRPr="00EE3D55" w:rsidRDefault="00EE3D55" w:rsidP="00EE3D55">
            <w:pPr>
              <w:autoSpaceDE/>
              <w:autoSpaceDN/>
              <w:ind w:right="400"/>
              <w:jc w:val="both"/>
              <w:rPr>
                <w:bCs/>
                <w:sz w:val="24"/>
                <w:szCs w:val="24"/>
                <w:lang w:eastAsia="uk-UA"/>
              </w:rPr>
            </w:pPr>
            <w:r w:rsidRPr="00EE3D55">
              <w:rPr>
                <w:bCs/>
                <w:sz w:val="24"/>
                <w:szCs w:val="24"/>
                <w:lang w:eastAsia="uk-UA"/>
              </w:rPr>
              <w:t xml:space="preserve">Включають в себе 9 </w:t>
            </w:r>
            <w:proofErr w:type="spellStart"/>
            <w:r w:rsidRPr="00EE3D55">
              <w:rPr>
                <w:bCs/>
                <w:sz w:val="24"/>
                <w:szCs w:val="24"/>
                <w:lang w:eastAsia="uk-UA"/>
              </w:rPr>
              <w:t>м.п</w:t>
            </w:r>
            <w:proofErr w:type="spellEnd"/>
            <w:r w:rsidRPr="00EE3D55">
              <w:rPr>
                <w:bCs/>
                <w:sz w:val="24"/>
                <w:szCs w:val="24"/>
                <w:lang w:eastAsia="uk-UA"/>
              </w:rPr>
              <w:t>. ущільнювача притвору (</w:t>
            </w:r>
            <w:proofErr w:type="spellStart"/>
            <w:r w:rsidRPr="00EE3D55">
              <w:rPr>
                <w:bCs/>
                <w:sz w:val="24"/>
                <w:szCs w:val="24"/>
                <w:lang w:eastAsia="uk-UA"/>
              </w:rPr>
              <w:t>рама+стулка</w:t>
            </w:r>
            <w:proofErr w:type="spellEnd"/>
            <w:r w:rsidRPr="00EE3D55">
              <w:rPr>
                <w:bCs/>
                <w:sz w:val="24"/>
                <w:szCs w:val="24"/>
                <w:lang w:eastAsia="uk-UA"/>
              </w:rPr>
              <w:t>)</w:t>
            </w:r>
          </w:p>
        </w:tc>
      </w:tr>
      <w:tr w:rsidR="00EE3D55" w:rsidRPr="00EE3D55" w:rsidTr="004C041D">
        <w:trPr>
          <w:trHeight w:val="620"/>
        </w:trPr>
        <w:tc>
          <w:tcPr>
            <w:tcW w:w="425" w:type="dxa"/>
          </w:tcPr>
          <w:p w:rsidR="00EE3D55" w:rsidRPr="00EE3D55" w:rsidRDefault="00EE3D55" w:rsidP="00EE3D55">
            <w:pPr>
              <w:autoSpaceDE/>
              <w:autoSpaceDN/>
              <w:ind w:right="400"/>
              <w:jc w:val="both"/>
              <w:rPr>
                <w:bCs/>
                <w:sz w:val="24"/>
                <w:szCs w:val="24"/>
                <w:lang w:eastAsia="uk-UA"/>
              </w:rPr>
            </w:pPr>
            <w:r w:rsidRPr="00EE3D55">
              <w:rPr>
                <w:bCs/>
                <w:sz w:val="24"/>
                <w:szCs w:val="24"/>
                <w:lang w:eastAsia="uk-UA"/>
              </w:rPr>
              <w:t>2</w:t>
            </w:r>
          </w:p>
        </w:tc>
        <w:tc>
          <w:tcPr>
            <w:tcW w:w="3970" w:type="dxa"/>
          </w:tcPr>
          <w:p w:rsidR="00EE3D55" w:rsidRPr="00EE3D55" w:rsidRDefault="00EE3D55" w:rsidP="00EE3D55">
            <w:pPr>
              <w:autoSpaceDE/>
              <w:autoSpaceDN/>
              <w:ind w:right="400"/>
              <w:jc w:val="both"/>
              <w:rPr>
                <w:bCs/>
                <w:sz w:val="24"/>
                <w:szCs w:val="24"/>
                <w:lang w:eastAsia="uk-UA"/>
              </w:rPr>
            </w:pPr>
            <w:r w:rsidRPr="00EE3D55">
              <w:rPr>
                <w:bCs/>
                <w:sz w:val="24"/>
                <w:szCs w:val="24"/>
                <w:lang w:eastAsia="uk-UA"/>
              </w:rPr>
              <w:t>Регулювання</w:t>
            </w:r>
            <w:r w:rsidRPr="00EE3D55">
              <w:rPr>
                <w:bCs/>
                <w:sz w:val="24"/>
                <w:szCs w:val="24"/>
                <w:lang w:eastAsia="uk-UA"/>
              </w:rPr>
              <w:tab/>
              <w:t>рухомих механізмів віконної фурнітури</w:t>
            </w:r>
          </w:p>
        </w:tc>
        <w:tc>
          <w:tcPr>
            <w:tcW w:w="1417" w:type="dxa"/>
          </w:tcPr>
          <w:p w:rsidR="00EE3D55" w:rsidRPr="00EE3D55" w:rsidRDefault="00EE3D55" w:rsidP="00EE3D55">
            <w:pPr>
              <w:autoSpaceDE/>
              <w:autoSpaceDN/>
              <w:ind w:right="400"/>
              <w:jc w:val="both"/>
              <w:rPr>
                <w:bCs/>
                <w:sz w:val="24"/>
                <w:szCs w:val="24"/>
                <w:lang w:eastAsia="uk-UA"/>
              </w:rPr>
            </w:pPr>
            <w:r w:rsidRPr="00EE3D55">
              <w:rPr>
                <w:bCs/>
                <w:sz w:val="24"/>
                <w:szCs w:val="24"/>
                <w:lang w:eastAsia="uk-UA"/>
              </w:rPr>
              <w:t>послуга</w:t>
            </w:r>
          </w:p>
        </w:tc>
        <w:tc>
          <w:tcPr>
            <w:tcW w:w="992" w:type="dxa"/>
          </w:tcPr>
          <w:p w:rsidR="00EE3D55" w:rsidRPr="00EE3D55" w:rsidRDefault="00EE3D55" w:rsidP="00EE3D55">
            <w:pPr>
              <w:autoSpaceDE/>
              <w:autoSpaceDN/>
              <w:ind w:right="400"/>
              <w:jc w:val="both"/>
              <w:rPr>
                <w:bCs/>
                <w:sz w:val="24"/>
                <w:szCs w:val="24"/>
                <w:lang w:eastAsia="uk-UA"/>
              </w:rPr>
            </w:pPr>
            <w:r w:rsidRPr="00EE3D55">
              <w:rPr>
                <w:bCs/>
                <w:sz w:val="24"/>
                <w:szCs w:val="24"/>
                <w:lang w:eastAsia="uk-UA"/>
              </w:rPr>
              <w:t>107</w:t>
            </w:r>
          </w:p>
        </w:tc>
        <w:tc>
          <w:tcPr>
            <w:tcW w:w="3828" w:type="dxa"/>
          </w:tcPr>
          <w:p w:rsidR="00EE3D55" w:rsidRPr="00EE3D55" w:rsidRDefault="00EE3D55" w:rsidP="00EE3D55">
            <w:pPr>
              <w:autoSpaceDE/>
              <w:autoSpaceDN/>
              <w:ind w:right="400"/>
              <w:jc w:val="both"/>
              <w:rPr>
                <w:bCs/>
                <w:sz w:val="24"/>
                <w:szCs w:val="24"/>
                <w:lang w:eastAsia="uk-UA"/>
              </w:rPr>
            </w:pPr>
          </w:p>
        </w:tc>
      </w:tr>
      <w:tr w:rsidR="00EE3D55" w:rsidRPr="00EE3D55" w:rsidTr="004C041D">
        <w:trPr>
          <w:trHeight w:val="1552"/>
        </w:trPr>
        <w:tc>
          <w:tcPr>
            <w:tcW w:w="425" w:type="dxa"/>
          </w:tcPr>
          <w:p w:rsidR="00EE3D55" w:rsidRPr="00EE3D55" w:rsidRDefault="00EE3D55" w:rsidP="00EE3D55">
            <w:pPr>
              <w:autoSpaceDE/>
              <w:autoSpaceDN/>
              <w:ind w:right="400"/>
              <w:jc w:val="both"/>
              <w:rPr>
                <w:bCs/>
                <w:sz w:val="24"/>
                <w:szCs w:val="24"/>
                <w:lang w:eastAsia="uk-UA"/>
              </w:rPr>
            </w:pPr>
            <w:r w:rsidRPr="00EE3D55">
              <w:rPr>
                <w:bCs/>
                <w:sz w:val="24"/>
                <w:szCs w:val="24"/>
                <w:lang w:eastAsia="uk-UA"/>
              </w:rPr>
              <w:t>3</w:t>
            </w:r>
          </w:p>
        </w:tc>
        <w:tc>
          <w:tcPr>
            <w:tcW w:w="3970" w:type="dxa"/>
          </w:tcPr>
          <w:p w:rsidR="00EE3D55" w:rsidRPr="00EE3D55" w:rsidRDefault="00EE3D55" w:rsidP="00EE3D55">
            <w:pPr>
              <w:autoSpaceDE/>
              <w:autoSpaceDN/>
              <w:ind w:right="400"/>
              <w:jc w:val="both"/>
              <w:rPr>
                <w:bCs/>
                <w:sz w:val="24"/>
                <w:szCs w:val="24"/>
                <w:lang w:eastAsia="uk-UA"/>
              </w:rPr>
            </w:pPr>
            <w:r w:rsidRPr="00EE3D55">
              <w:rPr>
                <w:bCs/>
                <w:sz w:val="24"/>
                <w:szCs w:val="24"/>
                <w:lang w:eastAsia="uk-UA"/>
              </w:rPr>
              <w:t>Заміна віконної фурнітури</w:t>
            </w:r>
          </w:p>
        </w:tc>
        <w:tc>
          <w:tcPr>
            <w:tcW w:w="1417" w:type="dxa"/>
          </w:tcPr>
          <w:p w:rsidR="00EE3D55" w:rsidRPr="00EE3D55" w:rsidRDefault="00EE3D55" w:rsidP="00EE3D55">
            <w:pPr>
              <w:autoSpaceDE/>
              <w:autoSpaceDN/>
              <w:ind w:right="400"/>
              <w:jc w:val="both"/>
              <w:rPr>
                <w:bCs/>
                <w:sz w:val="24"/>
                <w:szCs w:val="24"/>
                <w:lang w:eastAsia="uk-UA"/>
              </w:rPr>
            </w:pPr>
            <w:r w:rsidRPr="00EE3D55">
              <w:rPr>
                <w:bCs/>
                <w:sz w:val="24"/>
                <w:szCs w:val="24"/>
                <w:lang w:eastAsia="uk-UA"/>
              </w:rPr>
              <w:t>послуга</w:t>
            </w:r>
          </w:p>
        </w:tc>
        <w:tc>
          <w:tcPr>
            <w:tcW w:w="992" w:type="dxa"/>
          </w:tcPr>
          <w:p w:rsidR="00EE3D55" w:rsidRPr="00EE3D55" w:rsidRDefault="00EE3D55" w:rsidP="00EE3D55">
            <w:pPr>
              <w:autoSpaceDE/>
              <w:autoSpaceDN/>
              <w:ind w:right="400"/>
              <w:jc w:val="both"/>
              <w:rPr>
                <w:bCs/>
                <w:sz w:val="24"/>
                <w:szCs w:val="24"/>
                <w:lang w:eastAsia="uk-UA"/>
              </w:rPr>
            </w:pPr>
            <w:r w:rsidRPr="00EE3D55">
              <w:rPr>
                <w:bCs/>
                <w:sz w:val="24"/>
                <w:szCs w:val="24"/>
                <w:lang w:eastAsia="uk-UA"/>
              </w:rPr>
              <w:t>106</w:t>
            </w:r>
          </w:p>
        </w:tc>
        <w:tc>
          <w:tcPr>
            <w:tcW w:w="3828" w:type="dxa"/>
          </w:tcPr>
          <w:p w:rsidR="00EE3D55" w:rsidRPr="00EE3D55" w:rsidRDefault="00EE3D55" w:rsidP="00EE3D55">
            <w:pPr>
              <w:autoSpaceDE/>
              <w:autoSpaceDN/>
              <w:ind w:right="400"/>
              <w:jc w:val="both"/>
              <w:rPr>
                <w:bCs/>
                <w:sz w:val="24"/>
                <w:szCs w:val="24"/>
                <w:lang w:eastAsia="uk-UA"/>
              </w:rPr>
            </w:pPr>
            <w:proofErr w:type="spellStart"/>
            <w:r w:rsidRPr="00EE3D55">
              <w:rPr>
                <w:bCs/>
                <w:sz w:val="24"/>
                <w:szCs w:val="24"/>
                <w:lang w:eastAsia="uk-UA"/>
              </w:rPr>
              <w:t>Maco</w:t>
            </w:r>
            <w:proofErr w:type="spellEnd"/>
            <w:r w:rsidRPr="00EE3D55">
              <w:rPr>
                <w:bCs/>
                <w:sz w:val="24"/>
                <w:szCs w:val="24"/>
                <w:lang w:eastAsia="uk-UA"/>
              </w:rPr>
              <w:t xml:space="preserve"> </w:t>
            </w:r>
            <w:proofErr w:type="spellStart"/>
            <w:r w:rsidRPr="00EE3D55">
              <w:rPr>
                <w:bCs/>
                <w:sz w:val="24"/>
                <w:szCs w:val="24"/>
                <w:lang w:eastAsia="uk-UA"/>
              </w:rPr>
              <w:t>Multi-Matic</w:t>
            </w:r>
            <w:proofErr w:type="spellEnd"/>
            <w:r w:rsidRPr="00EE3D55">
              <w:rPr>
                <w:bCs/>
                <w:sz w:val="24"/>
                <w:szCs w:val="24"/>
                <w:lang w:eastAsia="uk-UA"/>
              </w:rPr>
              <w:t>*. Включають в себе – 1 комплект фурнітури відкидної стулка 1200*800 з віконною ручкою</w:t>
            </w:r>
          </w:p>
        </w:tc>
      </w:tr>
      <w:tr w:rsidR="00EE3D55" w:rsidRPr="00EE3D55" w:rsidTr="004C041D">
        <w:trPr>
          <w:trHeight w:val="2173"/>
        </w:trPr>
        <w:tc>
          <w:tcPr>
            <w:tcW w:w="425" w:type="dxa"/>
          </w:tcPr>
          <w:p w:rsidR="00EE3D55" w:rsidRPr="00EE3D55" w:rsidRDefault="00EE3D55" w:rsidP="00EE3D55">
            <w:pPr>
              <w:autoSpaceDE/>
              <w:autoSpaceDN/>
              <w:ind w:right="400"/>
              <w:jc w:val="both"/>
              <w:rPr>
                <w:bCs/>
                <w:sz w:val="24"/>
                <w:szCs w:val="24"/>
                <w:lang w:eastAsia="uk-UA"/>
              </w:rPr>
            </w:pPr>
            <w:r w:rsidRPr="00EE3D55">
              <w:rPr>
                <w:bCs/>
                <w:sz w:val="24"/>
                <w:szCs w:val="24"/>
                <w:lang w:eastAsia="uk-UA"/>
              </w:rPr>
              <w:lastRenderedPageBreak/>
              <w:t>4</w:t>
            </w:r>
          </w:p>
        </w:tc>
        <w:tc>
          <w:tcPr>
            <w:tcW w:w="3970" w:type="dxa"/>
          </w:tcPr>
          <w:p w:rsidR="00EE3D55" w:rsidRPr="00EE3D55" w:rsidRDefault="00EE3D55" w:rsidP="00EE3D55">
            <w:pPr>
              <w:autoSpaceDE/>
              <w:autoSpaceDN/>
              <w:ind w:right="400"/>
              <w:jc w:val="both"/>
              <w:rPr>
                <w:bCs/>
                <w:sz w:val="24"/>
                <w:szCs w:val="24"/>
                <w:lang w:eastAsia="uk-UA"/>
              </w:rPr>
            </w:pPr>
            <w:r w:rsidRPr="00EE3D55">
              <w:rPr>
                <w:bCs/>
                <w:sz w:val="24"/>
                <w:szCs w:val="24"/>
                <w:lang w:eastAsia="uk-UA"/>
              </w:rPr>
              <w:t>Герметизація стиків</w:t>
            </w:r>
          </w:p>
        </w:tc>
        <w:tc>
          <w:tcPr>
            <w:tcW w:w="1417" w:type="dxa"/>
          </w:tcPr>
          <w:p w:rsidR="00EE3D55" w:rsidRPr="00EE3D55" w:rsidRDefault="00EE3D55" w:rsidP="00EE3D55">
            <w:pPr>
              <w:autoSpaceDE/>
              <w:autoSpaceDN/>
              <w:ind w:right="400"/>
              <w:jc w:val="both"/>
              <w:rPr>
                <w:bCs/>
                <w:sz w:val="24"/>
                <w:szCs w:val="24"/>
                <w:lang w:eastAsia="uk-UA"/>
              </w:rPr>
            </w:pPr>
            <w:r w:rsidRPr="00EE3D55">
              <w:rPr>
                <w:bCs/>
                <w:sz w:val="24"/>
                <w:szCs w:val="24"/>
                <w:lang w:eastAsia="uk-UA"/>
              </w:rPr>
              <w:t>послуга</w:t>
            </w:r>
          </w:p>
        </w:tc>
        <w:tc>
          <w:tcPr>
            <w:tcW w:w="992" w:type="dxa"/>
          </w:tcPr>
          <w:p w:rsidR="00EE3D55" w:rsidRPr="00EE3D55" w:rsidRDefault="00EE3D55" w:rsidP="00EE3D55">
            <w:pPr>
              <w:autoSpaceDE/>
              <w:autoSpaceDN/>
              <w:ind w:right="400"/>
              <w:jc w:val="both"/>
              <w:rPr>
                <w:bCs/>
                <w:sz w:val="24"/>
                <w:szCs w:val="24"/>
                <w:lang w:eastAsia="uk-UA"/>
              </w:rPr>
            </w:pPr>
            <w:r w:rsidRPr="00EE3D55">
              <w:rPr>
                <w:bCs/>
                <w:sz w:val="24"/>
                <w:szCs w:val="24"/>
                <w:lang w:eastAsia="uk-UA"/>
              </w:rPr>
              <w:t>59</w:t>
            </w:r>
          </w:p>
        </w:tc>
        <w:tc>
          <w:tcPr>
            <w:tcW w:w="3828" w:type="dxa"/>
          </w:tcPr>
          <w:p w:rsidR="00EE3D55" w:rsidRPr="00EE3D55" w:rsidRDefault="00EE3D55" w:rsidP="00EE3D55">
            <w:pPr>
              <w:autoSpaceDE/>
              <w:autoSpaceDN/>
              <w:ind w:right="400"/>
              <w:jc w:val="both"/>
              <w:rPr>
                <w:bCs/>
                <w:sz w:val="24"/>
                <w:szCs w:val="24"/>
                <w:lang w:eastAsia="uk-UA"/>
              </w:rPr>
            </w:pPr>
            <w:r w:rsidRPr="00EE3D55">
              <w:rPr>
                <w:bCs/>
                <w:sz w:val="24"/>
                <w:szCs w:val="24"/>
                <w:lang w:eastAsia="uk-UA"/>
              </w:rPr>
              <w:t xml:space="preserve">Послуга включає герметизацію стиків-швів між низом віконної рами та відливом. Витратні матеріали: герметик білий акриловий для швів зовнішніх ,піна монтажна L =2600 мм. Демонтаж </w:t>
            </w:r>
            <w:proofErr w:type="spellStart"/>
            <w:r w:rsidRPr="00EE3D55">
              <w:rPr>
                <w:bCs/>
                <w:sz w:val="24"/>
                <w:szCs w:val="24"/>
                <w:lang w:eastAsia="uk-UA"/>
              </w:rPr>
              <w:t>відлива</w:t>
            </w:r>
            <w:proofErr w:type="spellEnd"/>
            <w:r w:rsidRPr="00EE3D55">
              <w:rPr>
                <w:bCs/>
                <w:sz w:val="24"/>
                <w:szCs w:val="24"/>
                <w:lang w:eastAsia="uk-UA"/>
              </w:rPr>
              <w:t xml:space="preserve">  , </w:t>
            </w:r>
            <w:proofErr w:type="spellStart"/>
            <w:r w:rsidRPr="00EE3D55">
              <w:rPr>
                <w:bCs/>
                <w:sz w:val="24"/>
                <w:szCs w:val="24"/>
                <w:lang w:eastAsia="uk-UA"/>
              </w:rPr>
              <w:t>монаж</w:t>
            </w:r>
            <w:proofErr w:type="spellEnd"/>
            <w:r w:rsidRPr="00EE3D55">
              <w:rPr>
                <w:bCs/>
                <w:sz w:val="24"/>
                <w:szCs w:val="24"/>
                <w:lang w:eastAsia="uk-UA"/>
              </w:rPr>
              <w:t xml:space="preserve">  </w:t>
            </w:r>
            <w:proofErr w:type="spellStart"/>
            <w:r w:rsidRPr="00EE3D55">
              <w:rPr>
                <w:bCs/>
                <w:sz w:val="24"/>
                <w:szCs w:val="24"/>
                <w:lang w:eastAsia="uk-UA"/>
              </w:rPr>
              <w:t>відлива</w:t>
            </w:r>
            <w:proofErr w:type="spellEnd"/>
            <w:r w:rsidRPr="00EE3D55">
              <w:rPr>
                <w:bCs/>
                <w:sz w:val="24"/>
                <w:szCs w:val="24"/>
                <w:lang w:eastAsia="uk-UA"/>
              </w:rPr>
              <w:t xml:space="preserve"> </w:t>
            </w:r>
          </w:p>
        </w:tc>
      </w:tr>
      <w:tr w:rsidR="00EE3D55" w:rsidRPr="00EE3D55" w:rsidTr="004C041D">
        <w:trPr>
          <w:trHeight w:val="1862"/>
        </w:trPr>
        <w:tc>
          <w:tcPr>
            <w:tcW w:w="425" w:type="dxa"/>
          </w:tcPr>
          <w:p w:rsidR="00EE3D55" w:rsidRPr="00EE3D55" w:rsidRDefault="00EE3D55" w:rsidP="00EE3D55">
            <w:pPr>
              <w:autoSpaceDE/>
              <w:autoSpaceDN/>
              <w:ind w:right="400"/>
              <w:jc w:val="both"/>
              <w:rPr>
                <w:bCs/>
                <w:sz w:val="24"/>
                <w:szCs w:val="24"/>
                <w:lang w:eastAsia="uk-UA"/>
              </w:rPr>
            </w:pPr>
            <w:r w:rsidRPr="00EE3D55">
              <w:rPr>
                <w:bCs/>
                <w:sz w:val="24"/>
                <w:szCs w:val="24"/>
                <w:lang w:eastAsia="uk-UA"/>
              </w:rPr>
              <w:t>5</w:t>
            </w:r>
          </w:p>
        </w:tc>
        <w:tc>
          <w:tcPr>
            <w:tcW w:w="3970" w:type="dxa"/>
          </w:tcPr>
          <w:p w:rsidR="00EE3D55" w:rsidRPr="00EE3D55" w:rsidRDefault="00EE3D55" w:rsidP="00EE3D55">
            <w:pPr>
              <w:autoSpaceDE/>
              <w:autoSpaceDN/>
              <w:ind w:right="400"/>
              <w:jc w:val="both"/>
              <w:rPr>
                <w:bCs/>
                <w:sz w:val="24"/>
                <w:szCs w:val="24"/>
                <w:lang w:eastAsia="uk-UA"/>
              </w:rPr>
            </w:pPr>
            <w:r w:rsidRPr="00EE3D55">
              <w:rPr>
                <w:bCs/>
                <w:sz w:val="24"/>
                <w:szCs w:val="24"/>
                <w:lang w:eastAsia="uk-UA"/>
              </w:rPr>
              <w:t>Закріплення віконного блоку розміром 2600*2650 мм (Н)</w:t>
            </w:r>
          </w:p>
        </w:tc>
        <w:tc>
          <w:tcPr>
            <w:tcW w:w="1417" w:type="dxa"/>
          </w:tcPr>
          <w:p w:rsidR="00EE3D55" w:rsidRPr="00EE3D55" w:rsidRDefault="00EE3D55" w:rsidP="00EE3D55">
            <w:pPr>
              <w:autoSpaceDE/>
              <w:autoSpaceDN/>
              <w:ind w:right="400"/>
              <w:jc w:val="both"/>
              <w:rPr>
                <w:bCs/>
                <w:sz w:val="24"/>
                <w:szCs w:val="24"/>
                <w:lang w:eastAsia="uk-UA"/>
              </w:rPr>
            </w:pPr>
            <w:r w:rsidRPr="00EE3D55">
              <w:rPr>
                <w:bCs/>
                <w:sz w:val="24"/>
                <w:szCs w:val="24"/>
                <w:lang w:eastAsia="uk-UA"/>
              </w:rPr>
              <w:t>послуга</w:t>
            </w:r>
          </w:p>
        </w:tc>
        <w:tc>
          <w:tcPr>
            <w:tcW w:w="992" w:type="dxa"/>
          </w:tcPr>
          <w:p w:rsidR="00EE3D55" w:rsidRPr="00EE3D55" w:rsidRDefault="00EE3D55" w:rsidP="00EE3D55">
            <w:pPr>
              <w:autoSpaceDE/>
              <w:autoSpaceDN/>
              <w:ind w:right="400"/>
              <w:jc w:val="both"/>
              <w:rPr>
                <w:bCs/>
                <w:sz w:val="24"/>
                <w:szCs w:val="24"/>
                <w:lang w:eastAsia="uk-UA"/>
              </w:rPr>
            </w:pPr>
            <w:r w:rsidRPr="00EE3D55">
              <w:rPr>
                <w:bCs/>
                <w:sz w:val="24"/>
                <w:szCs w:val="24"/>
                <w:lang w:eastAsia="uk-UA"/>
              </w:rPr>
              <w:t>19</w:t>
            </w:r>
          </w:p>
        </w:tc>
        <w:tc>
          <w:tcPr>
            <w:tcW w:w="3828" w:type="dxa"/>
          </w:tcPr>
          <w:p w:rsidR="00EE3D55" w:rsidRPr="00EE3D55" w:rsidRDefault="00EE3D55" w:rsidP="00EE3D55">
            <w:pPr>
              <w:autoSpaceDE/>
              <w:autoSpaceDN/>
              <w:ind w:right="400"/>
              <w:jc w:val="both"/>
              <w:rPr>
                <w:bCs/>
                <w:sz w:val="24"/>
                <w:szCs w:val="24"/>
                <w:lang w:eastAsia="uk-UA"/>
              </w:rPr>
            </w:pPr>
            <w:r w:rsidRPr="00EE3D55">
              <w:rPr>
                <w:bCs/>
                <w:sz w:val="24"/>
                <w:szCs w:val="24"/>
                <w:lang w:eastAsia="uk-UA"/>
              </w:rPr>
              <w:t>Включає в себе демонтаж металопластикової конструкції, монтаж металопластикової конструкції</w:t>
            </w:r>
          </w:p>
        </w:tc>
      </w:tr>
      <w:tr w:rsidR="00EE3D55" w:rsidRPr="00EE3D55" w:rsidTr="004C041D">
        <w:trPr>
          <w:trHeight w:val="2173"/>
        </w:trPr>
        <w:tc>
          <w:tcPr>
            <w:tcW w:w="425" w:type="dxa"/>
          </w:tcPr>
          <w:p w:rsidR="00EE3D55" w:rsidRPr="00EE3D55" w:rsidRDefault="00EE3D55" w:rsidP="00EE3D55">
            <w:pPr>
              <w:autoSpaceDE/>
              <w:autoSpaceDN/>
              <w:ind w:right="400"/>
              <w:jc w:val="both"/>
              <w:rPr>
                <w:bCs/>
                <w:sz w:val="24"/>
                <w:szCs w:val="24"/>
                <w:lang w:eastAsia="uk-UA"/>
              </w:rPr>
            </w:pPr>
            <w:r w:rsidRPr="00EE3D55">
              <w:rPr>
                <w:bCs/>
                <w:sz w:val="24"/>
                <w:szCs w:val="24"/>
                <w:lang w:eastAsia="uk-UA"/>
              </w:rPr>
              <w:t>6</w:t>
            </w:r>
          </w:p>
        </w:tc>
        <w:tc>
          <w:tcPr>
            <w:tcW w:w="3970" w:type="dxa"/>
          </w:tcPr>
          <w:p w:rsidR="00EE3D55" w:rsidRPr="00EE3D55" w:rsidRDefault="00EE3D55" w:rsidP="00EE3D55">
            <w:pPr>
              <w:autoSpaceDE/>
              <w:autoSpaceDN/>
              <w:ind w:right="400"/>
              <w:jc w:val="both"/>
              <w:rPr>
                <w:bCs/>
                <w:sz w:val="24"/>
                <w:szCs w:val="24"/>
                <w:lang w:eastAsia="uk-UA"/>
              </w:rPr>
            </w:pPr>
            <w:r w:rsidRPr="00EE3D55">
              <w:rPr>
                <w:bCs/>
                <w:sz w:val="24"/>
                <w:szCs w:val="24"/>
                <w:lang w:eastAsia="uk-UA"/>
              </w:rPr>
              <w:t>Заміна горизонтальних планок віконного блоку</w:t>
            </w:r>
          </w:p>
        </w:tc>
        <w:tc>
          <w:tcPr>
            <w:tcW w:w="1417" w:type="dxa"/>
          </w:tcPr>
          <w:p w:rsidR="00EE3D55" w:rsidRPr="00EE3D55" w:rsidRDefault="00EE3D55" w:rsidP="00EE3D55">
            <w:pPr>
              <w:autoSpaceDE/>
              <w:autoSpaceDN/>
              <w:ind w:right="400"/>
              <w:jc w:val="both"/>
              <w:rPr>
                <w:bCs/>
                <w:sz w:val="24"/>
                <w:szCs w:val="24"/>
                <w:lang w:eastAsia="uk-UA"/>
              </w:rPr>
            </w:pPr>
            <w:r w:rsidRPr="00EE3D55">
              <w:rPr>
                <w:bCs/>
                <w:sz w:val="24"/>
                <w:szCs w:val="24"/>
                <w:lang w:eastAsia="uk-UA"/>
              </w:rPr>
              <w:t>послуга</w:t>
            </w:r>
          </w:p>
        </w:tc>
        <w:tc>
          <w:tcPr>
            <w:tcW w:w="992" w:type="dxa"/>
          </w:tcPr>
          <w:p w:rsidR="00EE3D55" w:rsidRPr="00EE3D55" w:rsidRDefault="00EE3D55" w:rsidP="00EE3D55">
            <w:pPr>
              <w:autoSpaceDE/>
              <w:autoSpaceDN/>
              <w:ind w:right="400"/>
              <w:jc w:val="both"/>
              <w:rPr>
                <w:bCs/>
                <w:sz w:val="24"/>
                <w:szCs w:val="24"/>
                <w:lang w:eastAsia="uk-UA"/>
              </w:rPr>
            </w:pPr>
            <w:r w:rsidRPr="00EE3D55">
              <w:rPr>
                <w:bCs/>
                <w:sz w:val="24"/>
                <w:szCs w:val="24"/>
                <w:lang w:eastAsia="uk-UA"/>
              </w:rPr>
              <w:t>40</w:t>
            </w:r>
          </w:p>
        </w:tc>
        <w:tc>
          <w:tcPr>
            <w:tcW w:w="3828" w:type="dxa"/>
          </w:tcPr>
          <w:p w:rsidR="00EE3D55" w:rsidRPr="00EE3D55" w:rsidRDefault="00EE3D55" w:rsidP="00EE3D55">
            <w:pPr>
              <w:autoSpaceDE/>
              <w:autoSpaceDN/>
              <w:ind w:right="400"/>
              <w:jc w:val="both"/>
              <w:rPr>
                <w:bCs/>
                <w:sz w:val="24"/>
                <w:szCs w:val="24"/>
                <w:lang w:eastAsia="uk-UA"/>
              </w:rPr>
            </w:pPr>
            <w:r w:rsidRPr="00EE3D55">
              <w:rPr>
                <w:bCs/>
                <w:sz w:val="24"/>
                <w:szCs w:val="24"/>
                <w:lang w:eastAsia="uk-UA"/>
              </w:rPr>
              <w:t xml:space="preserve">Включає в себе імпост вертикальний колір білий з армуванням 2мм квадрат – 1300 мм, </w:t>
            </w:r>
            <w:proofErr w:type="spellStart"/>
            <w:r w:rsidRPr="00EE3D55">
              <w:rPr>
                <w:bCs/>
                <w:sz w:val="24"/>
                <w:szCs w:val="24"/>
                <w:lang w:eastAsia="uk-UA"/>
              </w:rPr>
              <w:t>мех</w:t>
            </w:r>
            <w:proofErr w:type="spellEnd"/>
            <w:r w:rsidRPr="00EE3D55">
              <w:rPr>
                <w:bCs/>
                <w:sz w:val="24"/>
                <w:szCs w:val="24"/>
                <w:lang w:eastAsia="uk-UA"/>
              </w:rPr>
              <w:t>. з’єднувач (2шт.)</w:t>
            </w:r>
          </w:p>
        </w:tc>
      </w:tr>
      <w:tr w:rsidR="00EE3D55" w:rsidRPr="00EE3D55" w:rsidTr="004C041D">
        <w:trPr>
          <w:trHeight w:val="1241"/>
        </w:trPr>
        <w:tc>
          <w:tcPr>
            <w:tcW w:w="425" w:type="dxa"/>
          </w:tcPr>
          <w:p w:rsidR="00EE3D55" w:rsidRPr="00EE3D55" w:rsidRDefault="00EE3D55" w:rsidP="00EE3D55">
            <w:pPr>
              <w:autoSpaceDE/>
              <w:autoSpaceDN/>
              <w:ind w:right="400"/>
              <w:jc w:val="both"/>
              <w:rPr>
                <w:bCs/>
                <w:sz w:val="24"/>
                <w:szCs w:val="24"/>
                <w:lang w:eastAsia="uk-UA"/>
              </w:rPr>
            </w:pPr>
            <w:r w:rsidRPr="00EE3D55">
              <w:rPr>
                <w:bCs/>
                <w:sz w:val="24"/>
                <w:szCs w:val="24"/>
                <w:lang w:eastAsia="uk-UA"/>
              </w:rPr>
              <w:t>7</w:t>
            </w:r>
          </w:p>
        </w:tc>
        <w:tc>
          <w:tcPr>
            <w:tcW w:w="3970" w:type="dxa"/>
          </w:tcPr>
          <w:p w:rsidR="00EE3D55" w:rsidRPr="00EE3D55" w:rsidRDefault="00EE3D55" w:rsidP="00EE3D55">
            <w:pPr>
              <w:autoSpaceDE/>
              <w:autoSpaceDN/>
              <w:ind w:right="400"/>
              <w:jc w:val="both"/>
              <w:rPr>
                <w:bCs/>
                <w:sz w:val="24"/>
                <w:szCs w:val="24"/>
                <w:lang w:eastAsia="uk-UA"/>
              </w:rPr>
            </w:pPr>
            <w:r w:rsidRPr="00EE3D55">
              <w:rPr>
                <w:bCs/>
                <w:sz w:val="24"/>
                <w:szCs w:val="24"/>
                <w:lang w:eastAsia="uk-UA"/>
              </w:rPr>
              <w:t>Заміна склопакету</w:t>
            </w:r>
          </w:p>
        </w:tc>
        <w:tc>
          <w:tcPr>
            <w:tcW w:w="1417" w:type="dxa"/>
          </w:tcPr>
          <w:p w:rsidR="00EE3D55" w:rsidRPr="00EE3D55" w:rsidRDefault="00EE3D55" w:rsidP="00EE3D55">
            <w:pPr>
              <w:autoSpaceDE/>
              <w:autoSpaceDN/>
              <w:ind w:right="400"/>
              <w:jc w:val="both"/>
              <w:rPr>
                <w:bCs/>
                <w:sz w:val="24"/>
                <w:szCs w:val="24"/>
                <w:lang w:eastAsia="uk-UA"/>
              </w:rPr>
            </w:pPr>
            <w:r w:rsidRPr="00EE3D55">
              <w:rPr>
                <w:bCs/>
                <w:sz w:val="24"/>
                <w:szCs w:val="24"/>
                <w:lang w:eastAsia="uk-UA"/>
              </w:rPr>
              <w:t>послуга</w:t>
            </w:r>
          </w:p>
        </w:tc>
        <w:tc>
          <w:tcPr>
            <w:tcW w:w="992" w:type="dxa"/>
          </w:tcPr>
          <w:p w:rsidR="00EE3D55" w:rsidRPr="00EE3D55" w:rsidRDefault="00EE3D55" w:rsidP="00EE3D55">
            <w:pPr>
              <w:autoSpaceDE/>
              <w:autoSpaceDN/>
              <w:ind w:right="400"/>
              <w:jc w:val="both"/>
              <w:rPr>
                <w:bCs/>
                <w:sz w:val="24"/>
                <w:szCs w:val="24"/>
                <w:lang w:eastAsia="uk-UA"/>
              </w:rPr>
            </w:pPr>
            <w:r w:rsidRPr="00EE3D55">
              <w:rPr>
                <w:bCs/>
                <w:sz w:val="24"/>
                <w:szCs w:val="24"/>
                <w:lang w:eastAsia="uk-UA"/>
              </w:rPr>
              <w:t>7</w:t>
            </w:r>
          </w:p>
        </w:tc>
        <w:tc>
          <w:tcPr>
            <w:tcW w:w="3828" w:type="dxa"/>
          </w:tcPr>
          <w:p w:rsidR="00EE3D55" w:rsidRPr="00EE3D55" w:rsidRDefault="00EE3D55" w:rsidP="00EE3D55">
            <w:pPr>
              <w:autoSpaceDE/>
              <w:autoSpaceDN/>
              <w:ind w:right="400"/>
              <w:jc w:val="both"/>
              <w:rPr>
                <w:bCs/>
                <w:sz w:val="24"/>
                <w:szCs w:val="24"/>
                <w:lang w:eastAsia="uk-UA"/>
              </w:rPr>
            </w:pPr>
            <w:r w:rsidRPr="00EE3D55">
              <w:rPr>
                <w:bCs/>
                <w:sz w:val="24"/>
                <w:szCs w:val="24"/>
                <w:lang w:eastAsia="uk-UA"/>
              </w:rPr>
              <w:t xml:space="preserve">4LowE-10Ar-4-10Ar-4LowE  =  4И арг-10-4-10-арг 4И </w:t>
            </w:r>
          </w:p>
          <w:p w:rsidR="00EE3D55" w:rsidRPr="00EE3D55" w:rsidRDefault="00EE3D55" w:rsidP="00EE3D55">
            <w:pPr>
              <w:autoSpaceDE/>
              <w:autoSpaceDN/>
              <w:ind w:right="400"/>
              <w:jc w:val="both"/>
              <w:rPr>
                <w:bCs/>
                <w:sz w:val="24"/>
                <w:szCs w:val="24"/>
                <w:lang w:eastAsia="uk-UA"/>
              </w:rPr>
            </w:pPr>
          </w:p>
        </w:tc>
      </w:tr>
    </w:tbl>
    <w:p w:rsidR="00EE3D55" w:rsidRDefault="00EE3D55" w:rsidP="00EE3D55">
      <w:pPr>
        <w:autoSpaceDE/>
        <w:autoSpaceDN/>
        <w:ind w:right="400"/>
        <w:jc w:val="both"/>
        <w:rPr>
          <w:b/>
        </w:rPr>
      </w:pPr>
      <w:r w:rsidRPr="0039181C">
        <w:rPr>
          <w:b/>
        </w:rPr>
        <w:t>* вживаються у значенні «…. «або еквівалент».</w:t>
      </w:r>
      <w:r w:rsidRPr="0039181C">
        <w:rPr>
          <w:b/>
        </w:rPr>
        <w:tab/>
      </w:r>
    </w:p>
    <w:p w:rsidR="00E44D9D" w:rsidRPr="00EE3D55" w:rsidRDefault="00E44D9D" w:rsidP="00E44D9D">
      <w:pPr>
        <w:autoSpaceDE/>
        <w:autoSpaceDN/>
        <w:ind w:left="-284" w:right="400"/>
        <w:jc w:val="both"/>
        <w:rPr>
          <w:bCs/>
          <w:sz w:val="24"/>
          <w:szCs w:val="24"/>
          <w:lang w:eastAsia="uk-UA"/>
        </w:rPr>
      </w:pPr>
    </w:p>
    <w:p w:rsidR="00EE3D55" w:rsidRPr="00EE3D55" w:rsidRDefault="00EE3D55" w:rsidP="00EE3D55">
      <w:pPr>
        <w:autoSpaceDE/>
        <w:autoSpaceDN/>
        <w:ind w:firstLine="284"/>
        <w:jc w:val="both"/>
        <w:rPr>
          <w:lang w:eastAsia="ru-RU"/>
        </w:rPr>
      </w:pPr>
      <w:r w:rsidRPr="00EE3D55">
        <w:rPr>
          <w:lang w:eastAsia="ru-RU"/>
        </w:rPr>
        <w:t>Якщо Учасником пропонується еквівалент витратних матеріалів до того, що вимагається Замовником, додатково у складі пропозиції Учасник надає таблицю, складену в довільній формі, яка у порівняльному вигляді містить відомості щодо основних технічних та якісних характеристик витратних матеріалів, що вимагається Замовником до основних технічних та якісних характеристик еквівалентного товару, що пропонується Учасником. При цьому якість запропонованого еквіваленту товару має відповідати якості, що заявлена у технічній характеристиці Замовника.</w:t>
      </w:r>
    </w:p>
    <w:p w:rsidR="00212F5F" w:rsidRDefault="00212F5F" w:rsidP="00EE3D55">
      <w:pPr>
        <w:pStyle w:val="a3"/>
        <w:spacing w:before="237" w:line="465" w:lineRule="auto"/>
        <w:ind w:left="0" w:right="4447"/>
      </w:pPr>
    </w:p>
    <w:p w:rsidR="00763BCA" w:rsidRDefault="00763BCA"/>
    <w:sectPr w:rsidR="00763BCA" w:rsidSect="00E44D9D">
      <w:type w:val="continuous"/>
      <w:pgSz w:w="11910" w:h="16840"/>
      <w:pgMar w:top="760" w:right="708" w:bottom="280" w:left="1276"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F5F"/>
    <w:rsid w:val="00212F5F"/>
    <w:rsid w:val="004C041D"/>
    <w:rsid w:val="00763BCA"/>
    <w:rsid w:val="00E44D9D"/>
    <w:rsid w:val="00EE3D5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D4DCE"/>
  <w15:chartTrackingRefBased/>
  <w15:docId w15:val="{A2AFB5D1-7925-478D-91BE-73DB650D5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212F5F"/>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212F5F"/>
    <w:pPr>
      <w:ind w:left="141"/>
      <w:jc w:val="both"/>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212F5F"/>
    <w:rPr>
      <w:rFonts w:ascii="Times New Roman" w:eastAsia="Times New Roman" w:hAnsi="Times New Roman" w:cs="Times New Roman"/>
      <w:b/>
      <w:bCs/>
    </w:rPr>
  </w:style>
  <w:style w:type="paragraph" w:styleId="a3">
    <w:name w:val="Body Text"/>
    <w:basedOn w:val="a"/>
    <w:link w:val="a4"/>
    <w:uiPriority w:val="1"/>
    <w:qFormat/>
    <w:rsid w:val="00212F5F"/>
    <w:pPr>
      <w:ind w:left="141"/>
    </w:pPr>
  </w:style>
  <w:style w:type="character" w:customStyle="1" w:styleId="a4">
    <w:name w:val="Основний текст Знак"/>
    <w:basedOn w:val="a0"/>
    <w:link w:val="a3"/>
    <w:uiPriority w:val="1"/>
    <w:rsid w:val="00212F5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2187</Words>
  <Characters>1248</Characters>
  <Application>Microsoft Office Word</Application>
  <DocSecurity>0</DocSecurity>
  <Lines>10</Lines>
  <Paragraphs>6</Paragraphs>
  <ScaleCrop>false</ScaleCrop>
  <HeadingPairs>
    <vt:vector size="2" baseType="variant">
      <vt:variant>
        <vt:lpstr>Назва</vt:lpstr>
      </vt:variant>
      <vt:variant>
        <vt:i4>1</vt:i4>
      </vt:variant>
    </vt:vector>
  </HeadingPairs>
  <TitlesOfParts>
    <vt:vector size="1" baseType="lpstr">
      <vt:lpstr/>
    </vt:vector>
  </TitlesOfParts>
  <Company>NSSMC</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2025-10-28T14:17:00Z</dcterms:created>
  <dcterms:modified xsi:type="dcterms:W3CDTF">2025-10-29T08:57:00Z</dcterms:modified>
</cp:coreProperties>
</file>