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A2" w:rsidRPr="00EF4C56" w:rsidRDefault="00BE78A2" w:rsidP="00B71175">
      <w:pPr>
        <w:pStyle w:val="a5"/>
        <w:widowControl w:val="0"/>
        <w:spacing w:before="0" w:beforeAutospacing="0" w:after="0" w:afterAutospacing="0"/>
        <w:ind w:left="5103"/>
        <w:jc w:val="right"/>
      </w:pPr>
      <w:r w:rsidRPr="00E07F17">
        <w:t xml:space="preserve">Додаток </w:t>
      </w:r>
      <w:r w:rsidR="00EF4C56">
        <w:t>55</w:t>
      </w:r>
    </w:p>
    <w:p w:rsidR="00BE78A2" w:rsidRPr="00E07F17" w:rsidRDefault="00BE78A2" w:rsidP="00B71175">
      <w:pPr>
        <w:pStyle w:val="a5"/>
        <w:widowControl w:val="0"/>
        <w:spacing w:before="0" w:beforeAutospacing="0" w:after="0" w:afterAutospacing="0"/>
        <w:ind w:left="5103"/>
        <w:jc w:val="both"/>
      </w:pPr>
      <w:r w:rsidRPr="00E07F17">
        <w:t xml:space="preserve">до розпорядження Голови Національної комісії з цінних паперів та фондового ринку </w:t>
      </w:r>
      <w:r w:rsidR="00304AFF">
        <w:t>від 02.06.2026 № 22/20/4398/С04</w:t>
      </w:r>
    </w:p>
    <w:p w:rsidR="00A2433D" w:rsidRPr="00BE78A2" w:rsidRDefault="00A2433D" w:rsidP="0036708C">
      <w:pPr>
        <w:jc w:val="center"/>
        <w:rPr>
          <w:sz w:val="28"/>
          <w:szCs w:val="28"/>
        </w:rPr>
      </w:pPr>
    </w:p>
    <w:p w:rsidR="00BE78A2" w:rsidRPr="00BE78A2" w:rsidRDefault="00BE78A2" w:rsidP="0036708C">
      <w:pPr>
        <w:jc w:val="center"/>
        <w:rPr>
          <w:sz w:val="28"/>
          <w:szCs w:val="28"/>
        </w:rPr>
      </w:pPr>
    </w:p>
    <w:p w:rsidR="00E75851" w:rsidRPr="00DE342D" w:rsidRDefault="00784293" w:rsidP="0036708C">
      <w:pPr>
        <w:jc w:val="center"/>
        <w:rPr>
          <w:b/>
          <w:sz w:val="28"/>
          <w:szCs w:val="28"/>
        </w:rPr>
      </w:pPr>
      <w:r w:rsidRPr="00DE342D">
        <w:rPr>
          <w:b/>
          <w:sz w:val="28"/>
          <w:szCs w:val="28"/>
        </w:rPr>
        <w:t>ІНФОРМАЦІЙНА КАРТКА</w:t>
      </w:r>
    </w:p>
    <w:p w:rsidR="00784293" w:rsidRDefault="00E75851" w:rsidP="0036708C">
      <w:pPr>
        <w:jc w:val="center"/>
        <w:rPr>
          <w:b/>
          <w:sz w:val="28"/>
          <w:szCs w:val="28"/>
        </w:rPr>
      </w:pPr>
      <w:r w:rsidRPr="00DE342D">
        <w:rPr>
          <w:b/>
          <w:sz w:val="28"/>
          <w:szCs w:val="28"/>
        </w:rPr>
        <w:t>адміністративної послуги</w:t>
      </w:r>
    </w:p>
    <w:p w:rsidR="00DE342D" w:rsidRPr="00DE342D" w:rsidRDefault="00DE342D" w:rsidP="0036708C">
      <w:pPr>
        <w:jc w:val="center"/>
        <w:rPr>
          <w:b/>
          <w:sz w:val="28"/>
          <w:szCs w:val="28"/>
        </w:rPr>
      </w:pPr>
    </w:p>
    <w:p w:rsidR="00831BE2" w:rsidRDefault="00663BA2" w:rsidP="0036708C">
      <w:pPr>
        <w:jc w:val="center"/>
        <w:rPr>
          <w:b/>
          <w:sz w:val="28"/>
          <w:szCs w:val="28"/>
        </w:rPr>
      </w:pPr>
      <w:r w:rsidRPr="007E3416">
        <w:rPr>
          <w:b/>
          <w:sz w:val="28"/>
          <w:szCs w:val="28"/>
        </w:rPr>
        <w:t>«</w:t>
      </w:r>
      <w:r w:rsidR="0039662F" w:rsidRPr="007E3416">
        <w:rPr>
          <w:b/>
          <w:sz w:val="28"/>
          <w:szCs w:val="28"/>
        </w:rPr>
        <w:t>З</w:t>
      </w:r>
      <w:r w:rsidR="00432164" w:rsidRPr="007E3416">
        <w:rPr>
          <w:b/>
          <w:sz w:val="28"/>
          <w:szCs w:val="28"/>
        </w:rPr>
        <w:t xml:space="preserve">атвердження </w:t>
      </w:r>
      <w:r w:rsidR="00B5354C" w:rsidRPr="007E3416">
        <w:rPr>
          <w:b/>
          <w:sz w:val="28"/>
          <w:szCs w:val="28"/>
        </w:rPr>
        <w:t>проспекту</w:t>
      </w:r>
      <w:r w:rsidR="00A76450" w:rsidRPr="007E3416">
        <w:rPr>
          <w:b/>
          <w:sz w:val="28"/>
          <w:szCs w:val="28"/>
        </w:rPr>
        <w:t>/базового проспекту</w:t>
      </w:r>
      <w:r w:rsidR="00B5354C" w:rsidRPr="007E3416">
        <w:rPr>
          <w:b/>
          <w:sz w:val="28"/>
          <w:szCs w:val="28"/>
        </w:rPr>
        <w:t xml:space="preserve"> </w:t>
      </w:r>
      <w:r w:rsidR="00432164" w:rsidRPr="007E3416">
        <w:rPr>
          <w:b/>
          <w:sz w:val="28"/>
          <w:szCs w:val="28"/>
        </w:rPr>
        <w:t>цінних паперів</w:t>
      </w:r>
      <w:r w:rsidR="00B5354C" w:rsidRPr="007E3416">
        <w:rPr>
          <w:b/>
          <w:sz w:val="28"/>
          <w:szCs w:val="28"/>
        </w:rPr>
        <w:t xml:space="preserve"> </w:t>
      </w:r>
    </w:p>
    <w:p w:rsidR="00E75851" w:rsidRPr="00DE342D" w:rsidRDefault="00432164" w:rsidP="0036708C">
      <w:pPr>
        <w:jc w:val="center"/>
        <w:rPr>
          <w:b/>
          <w:sz w:val="28"/>
          <w:szCs w:val="28"/>
        </w:rPr>
      </w:pPr>
      <w:r w:rsidRPr="007E3416">
        <w:rPr>
          <w:b/>
          <w:sz w:val="28"/>
          <w:szCs w:val="28"/>
        </w:rPr>
        <w:t>(</w:t>
      </w:r>
      <w:r w:rsidR="00B5354C" w:rsidRPr="007E3416">
        <w:rPr>
          <w:b/>
          <w:sz w:val="28"/>
          <w:szCs w:val="28"/>
        </w:rPr>
        <w:t>крім</w:t>
      </w:r>
      <w:r w:rsidR="00B5354C" w:rsidRPr="00DE342D">
        <w:rPr>
          <w:b/>
          <w:sz w:val="28"/>
          <w:szCs w:val="28"/>
        </w:rPr>
        <w:t xml:space="preserve"> цінних паперів інститутів спільного інвестування)</w:t>
      </w:r>
      <w:r w:rsidR="00663BA2" w:rsidRPr="00DE342D">
        <w:rPr>
          <w:b/>
          <w:sz w:val="28"/>
          <w:szCs w:val="28"/>
        </w:rPr>
        <w:t>»</w:t>
      </w:r>
    </w:p>
    <w:p w:rsidR="008E62B7" w:rsidRPr="00DE342D" w:rsidRDefault="008E62B7" w:rsidP="0036708C">
      <w:pPr>
        <w:jc w:val="both"/>
        <w:rPr>
          <w:b/>
          <w:sz w:val="28"/>
          <w:szCs w:val="28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37"/>
        <w:gridCol w:w="6835"/>
      </w:tblGrid>
      <w:tr w:rsidR="00B5354C" w:rsidRPr="005D7649" w:rsidTr="00B5354C">
        <w:trPr>
          <w:trHeight w:val="4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4C" w:rsidRPr="005D7649" w:rsidRDefault="00B5354C" w:rsidP="00B5354C">
            <w:pPr>
              <w:jc w:val="center"/>
            </w:pPr>
            <w:r w:rsidRPr="005D7649"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Найменування суб’єкта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0" w:rsidRPr="005D7649" w:rsidRDefault="00B5354C" w:rsidP="00680800">
            <w:pPr>
              <w:ind w:left="34"/>
              <w:jc w:val="both"/>
              <w:rPr>
                <w:shd w:val="clear" w:color="auto" w:fill="FFFFFF"/>
                <w:lang w:eastAsia="ru-RU"/>
              </w:rPr>
            </w:pPr>
            <w:r w:rsidRPr="005D7649">
              <w:rPr>
                <w:shd w:val="clear" w:color="auto" w:fill="FFFFFF"/>
                <w:lang w:eastAsia="ru-RU"/>
              </w:rPr>
              <w:t>Національна комісія з цінних паперів та фондового ринку</w:t>
            </w:r>
          </w:p>
          <w:p w:rsidR="00B5354C" w:rsidRPr="005D7649" w:rsidRDefault="00B5354C" w:rsidP="00B5354C">
            <w:pPr>
              <w:ind w:left="34"/>
              <w:jc w:val="both"/>
              <w:rPr>
                <w:shd w:val="clear" w:color="auto" w:fill="FFFFFF"/>
                <w:lang w:eastAsia="ru-RU"/>
              </w:rPr>
            </w:pP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Місцезнаходження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41515A" w:rsidRDefault="00B5354C" w:rsidP="00680800">
            <w:pPr>
              <w:ind w:left="34"/>
              <w:jc w:val="both"/>
              <w:rPr>
                <w:shd w:val="clear" w:color="auto" w:fill="FFFFFF"/>
                <w:lang w:val="ru-RU" w:eastAsia="ru-RU"/>
              </w:rPr>
            </w:pPr>
            <w:r w:rsidRPr="005D7649">
              <w:rPr>
                <w:color w:val="000000"/>
              </w:rPr>
              <w:t xml:space="preserve">01010, м. Київ, вул. </w:t>
            </w:r>
            <w:r w:rsidR="0041515A" w:rsidRPr="00EF7A1C">
              <w:rPr>
                <w:color w:val="000000"/>
              </w:rPr>
              <w:t>Князів Острозьких</w:t>
            </w:r>
            <w:r w:rsidRPr="005D7649">
              <w:rPr>
                <w:color w:val="000000"/>
              </w:rPr>
              <w:t>, 8, корп. 30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 xml:space="preserve">Режим роботи 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 xml:space="preserve">Понеділок – четвер з 9:00 до 18:00; </w:t>
            </w:r>
          </w:p>
          <w:p w:rsidR="00B5354C" w:rsidRPr="005D7649" w:rsidRDefault="00B5354C" w:rsidP="00B5354C">
            <w:r w:rsidRPr="005D7649">
              <w:t>п’ятниця з 9:00 до 16:45;</w:t>
            </w:r>
          </w:p>
          <w:p w:rsidR="00B5354C" w:rsidRPr="005D7649" w:rsidRDefault="00B5354C" w:rsidP="00B5354C">
            <w:r w:rsidRPr="005D7649">
              <w:t>обідня перерва з 13:00 до 13:45 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4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 xml:space="preserve">Телефон/факс (довідки), адреса електронної пошти та </w:t>
            </w:r>
            <w:r w:rsidRPr="005D7649">
              <w:rPr>
                <w:rStyle w:val="spelle"/>
              </w:rPr>
              <w:t>веб-сайт</w:t>
            </w:r>
            <w:r w:rsidRPr="005D7649">
              <w:t xml:space="preserve"> 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800" w:rsidRDefault="00680800" w:rsidP="00680800">
            <w:r>
              <w:t>Телефон: 280-85-95</w:t>
            </w:r>
          </w:p>
          <w:p w:rsidR="00680800" w:rsidRDefault="00680800" w:rsidP="00680800">
            <w:r>
              <w:t xml:space="preserve">Вебсайт: </w:t>
            </w:r>
            <w:hyperlink r:id="rId7" w:history="1">
              <w:r>
                <w:rPr>
                  <w:rStyle w:val="a3"/>
                </w:rPr>
                <w:t>https://www.nssmc.gov.ua/</w:t>
              </w:r>
            </w:hyperlink>
          </w:p>
          <w:p w:rsidR="00DE342D" w:rsidRPr="005D7649" w:rsidRDefault="00680800" w:rsidP="00680800">
            <w:pPr>
              <w:rPr>
                <w:lang w:val="ru-RU"/>
              </w:rPr>
            </w:pPr>
            <w:r>
              <w:t xml:space="preserve">Засоби комплексної інформаційної системи (КІС) </w:t>
            </w:r>
            <w:hyperlink r:id="rId8" w:history="1">
              <w:r>
                <w:rPr>
                  <w:rStyle w:val="a3"/>
                </w:rPr>
                <w:t>https://services.nssmc.gov.ua</w:t>
              </w:r>
            </w:hyperlink>
          </w:p>
        </w:tc>
      </w:tr>
      <w:tr w:rsidR="00B5354C" w:rsidRPr="005D7649" w:rsidTr="00B5354C">
        <w:trPr>
          <w:trHeight w:val="4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4C" w:rsidRPr="005D7649" w:rsidRDefault="00B5354C" w:rsidP="00B5354C">
            <w:pPr>
              <w:jc w:val="center"/>
              <w:rPr>
                <w:b/>
              </w:rPr>
            </w:pPr>
            <w:r w:rsidRPr="005D7649">
              <w:rPr>
                <w:b/>
                <w:color w:val="000000"/>
                <w:shd w:val="clear" w:color="auto" w:fill="FFFFFF"/>
              </w:rPr>
              <w:t>Нормативні акти, якими регламентується надання адміністративної послуги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5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Закони України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0A8" w:rsidRDefault="00FB10A8" w:rsidP="00FB10A8">
            <w:pPr>
              <w:jc w:val="both"/>
            </w:pPr>
            <w:r>
              <w:t>Закон України «Про державне регулювання ринків капіталу та організованих товарних ринків»</w:t>
            </w:r>
          </w:p>
          <w:p w:rsidR="003C2730" w:rsidRPr="005D7649" w:rsidRDefault="00FB10A8" w:rsidP="00FB10A8">
            <w:pPr>
              <w:pStyle w:val="a5"/>
              <w:spacing w:before="0" w:beforeAutospacing="0" w:after="0" w:afterAutospacing="0"/>
              <w:jc w:val="both"/>
            </w:pPr>
            <w:r>
              <w:t>Закон України «Про ринки капіталу та організовані товарні ринки»</w:t>
            </w:r>
          </w:p>
          <w:p w:rsidR="00B5354C" w:rsidRDefault="003C2730" w:rsidP="00FB10A8">
            <w:pPr>
              <w:pStyle w:val="a5"/>
              <w:spacing w:before="0" w:beforeAutospacing="0" w:after="0" w:afterAutospacing="0"/>
              <w:jc w:val="both"/>
            </w:pPr>
            <w:r w:rsidRPr="005D7649">
              <w:t>Закон України «Про акці</w:t>
            </w:r>
            <w:r w:rsidR="0039662F" w:rsidRPr="005D7649">
              <w:t xml:space="preserve">онерні товариства» </w:t>
            </w:r>
          </w:p>
          <w:p w:rsidR="007374CA" w:rsidRPr="005D7649" w:rsidRDefault="007374CA" w:rsidP="00FB10A8">
            <w:pPr>
              <w:pStyle w:val="a5"/>
              <w:spacing w:before="0" w:beforeAutospacing="0" w:after="0" w:afterAutospacing="0"/>
              <w:jc w:val="both"/>
            </w:pPr>
            <w:r>
              <w:t>Закон України «Про адміністративну процедуру»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rPr>
                <w:color w:val="000000"/>
                <w:shd w:val="clear" w:color="auto" w:fill="FFFFFF"/>
              </w:rPr>
              <w:t>Акти Кабінету Міністрів України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/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rPr>
                <w:color w:val="000000"/>
                <w:shd w:val="clear" w:color="auto" w:fill="FFFFFF"/>
              </w:rPr>
            </w:pPr>
            <w:r w:rsidRPr="005D7649">
              <w:rPr>
                <w:color w:val="000000"/>
                <w:shd w:val="clear" w:color="auto" w:fill="FFFFFF"/>
              </w:rPr>
              <w:t>Нормативні документи НКЦПФР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Default="00432164" w:rsidP="00BE78A2">
            <w:pPr>
              <w:pStyle w:val="a5"/>
              <w:spacing w:before="0" w:beforeAutospacing="0" w:after="0" w:afterAutospacing="0"/>
              <w:ind w:firstLine="161"/>
              <w:jc w:val="both"/>
            </w:pPr>
            <w:r w:rsidRPr="005D7649">
              <w:t xml:space="preserve">Рішення Національної комісії з цінних паперів та фондового ринку від 21 червня 2018 року №424 «Про затвердження Положення про здійснення публічної пропозиції цінних паперів», зареєстроване в Міністерстві юстиції України </w:t>
            </w:r>
            <w:r w:rsidR="00190656">
              <w:br/>
            </w:r>
            <w:r w:rsidRPr="005D7649">
              <w:t>18 липня 2018 року за № 837/32289</w:t>
            </w:r>
            <w:r w:rsidR="005D2158">
              <w:t xml:space="preserve"> (</w:t>
            </w:r>
            <w:r w:rsidR="00B53055">
              <w:t>д</w:t>
            </w:r>
            <w:r w:rsidR="005D2158">
              <w:t>алі –Положення 424)</w:t>
            </w:r>
            <w:r w:rsidR="00B53055">
              <w:t>;</w:t>
            </w:r>
          </w:p>
          <w:p w:rsidR="0061123C" w:rsidRPr="0063175A" w:rsidRDefault="0061123C" w:rsidP="00BE78A2">
            <w:pPr>
              <w:ind w:firstLine="161"/>
              <w:jc w:val="both"/>
              <w:rPr>
                <w:rStyle w:val="rvts9"/>
                <w:bCs/>
                <w:shd w:val="clear" w:color="auto" w:fill="FFFFFF"/>
              </w:rPr>
            </w:pPr>
            <w:r w:rsidRPr="0063175A">
              <w:t xml:space="preserve">Рішення Національної комісії з цінних паперів та фондового ринку від </w:t>
            </w:r>
            <w:r w:rsidRPr="0063175A">
              <w:rPr>
                <w:bCs/>
                <w:shd w:val="clear" w:color="auto" w:fill="FFFFFF"/>
              </w:rPr>
              <w:t xml:space="preserve">27.12.2019  № 801 «Про затвердження Положення про порядок здійснення емісії облігацій міжнародних фінансових організацій та їх обігу», </w:t>
            </w:r>
            <w:r w:rsidRPr="0063175A">
              <w:t xml:space="preserve">зареєстроване в Міністерстві юстиції України </w:t>
            </w:r>
            <w:r w:rsidRPr="0063175A">
              <w:rPr>
                <w:rStyle w:val="rvts9"/>
                <w:bCs/>
                <w:shd w:val="clear" w:color="auto" w:fill="FFFFFF"/>
              </w:rPr>
              <w:t>20 б</w:t>
            </w:r>
            <w:r w:rsidR="00B53055">
              <w:rPr>
                <w:rStyle w:val="rvts9"/>
                <w:bCs/>
                <w:shd w:val="clear" w:color="auto" w:fill="FFFFFF"/>
              </w:rPr>
              <w:t xml:space="preserve">ерезня 2020 р. за № 291/34574 </w:t>
            </w:r>
            <w:r w:rsidR="00B53055">
              <w:rPr>
                <w:rStyle w:val="rvts9"/>
                <w:bCs/>
                <w:shd w:val="clear" w:color="auto" w:fill="FFFFFF"/>
              </w:rPr>
              <w:br/>
              <w:t>(д</w:t>
            </w:r>
            <w:r w:rsidRPr="0063175A">
              <w:rPr>
                <w:rStyle w:val="rvts9"/>
                <w:bCs/>
                <w:shd w:val="clear" w:color="auto" w:fill="FFFFFF"/>
              </w:rPr>
              <w:t>алі - Положення 801)</w:t>
            </w:r>
            <w:r w:rsidR="00B53055">
              <w:rPr>
                <w:rStyle w:val="rvts9"/>
                <w:bCs/>
                <w:shd w:val="clear" w:color="auto" w:fill="FFFFFF"/>
              </w:rPr>
              <w:t>;</w:t>
            </w:r>
          </w:p>
          <w:p w:rsidR="00820577" w:rsidRPr="005D7649" w:rsidRDefault="00820577" w:rsidP="00B53055">
            <w:pPr>
              <w:pStyle w:val="a5"/>
              <w:spacing w:before="0" w:beforeAutospacing="0" w:after="0" w:afterAutospacing="0"/>
              <w:ind w:firstLine="161"/>
              <w:jc w:val="both"/>
            </w:pPr>
            <w:r>
              <w:t xml:space="preserve">Рішення  Національної комісії з цінних паперів та фондового ринку від 13 червня 2022 №620 </w:t>
            </w:r>
            <w:r w:rsidR="00B53055">
              <w:t>«</w:t>
            </w:r>
            <w:r>
              <w:t>Про затвердження Розмірів плати за реєстраційні дії щодо учасників ринків капіталу та інших осіб</w:t>
            </w:r>
            <w:r w:rsidR="00B53055">
              <w:t>»</w:t>
            </w:r>
            <w:r>
              <w:t xml:space="preserve">, зареєстроване в Міністерстві юстиції України </w:t>
            </w:r>
            <w:r w:rsidR="00190656">
              <w:br/>
            </w:r>
            <w:r>
              <w:t>10 серпня 2022 №909/38245 (</w:t>
            </w:r>
            <w:r w:rsidR="00B53055">
              <w:t>д</w:t>
            </w:r>
            <w:r>
              <w:t>алі – Рішення 620)</w:t>
            </w:r>
            <w:r w:rsidR="00B53055">
              <w:t>.</w:t>
            </w:r>
          </w:p>
        </w:tc>
      </w:tr>
      <w:tr w:rsidR="00B5354C" w:rsidRPr="005D7649" w:rsidTr="00B5354C">
        <w:trPr>
          <w:trHeight w:val="4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23C" w:rsidRDefault="0061123C" w:rsidP="00B5354C">
            <w:pPr>
              <w:jc w:val="center"/>
              <w:rPr>
                <w:b/>
              </w:rPr>
            </w:pPr>
          </w:p>
          <w:p w:rsidR="0061123C" w:rsidRDefault="0061123C" w:rsidP="00B5354C">
            <w:pPr>
              <w:jc w:val="center"/>
              <w:rPr>
                <w:b/>
              </w:rPr>
            </w:pPr>
          </w:p>
          <w:p w:rsidR="00B5354C" w:rsidRPr="005D7649" w:rsidRDefault="00B5354C" w:rsidP="00B5354C">
            <w:pPr>
              <w:jc w:val="center"/>
            </w:pPr>
            <w:r w:rsidRPr="005D7649">
              <w:rPr>
                <w:b/>
              </w:rPr>
              <w:t>Умови отримання адміністративної послуги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lastRenderedPageBreak/>
              <w:t>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Перелік документів, необхідних для отримання адміністративної послуги, вимоги до них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3C" w:rsidRPr="00B53055" w:rsidRDefault="0061123C" w:rsidP="005B1106">
            <w:pPr>
              <w:pStyle w:val="ListParagraph1"/>
              <w:ind w:left="0" w:firstLine="170"/>
              <w:jc w:val="both"/>
              <w:rPr>
                <w:b/>
                <w:color w:val="000000"/>
                <w:shd w:val="clear" w:color="auto" w:fill="FFFFFF"/>
                <w:lang w:val="uk-UA"/>
              </w:rPr>
            </w:pPr>
            <w:r w:rsidRPr="00B53055">
              <w:rPr>
                <w:b/>
                <w:color w:val="000000"/>
                <w:shd w:val="clear" w:color="auto" w:fill="FFFFFF"/>
                <w:lang w:val="uk-UA"/>
              </w:rPr>
              <w:t xml:space="preserve">І. Затвердження проспекту/базового проспекту цінних паперів (крім облігацій МФО):  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Для затвердження проспекту/базового проспекту</w:t>
            </w:r>
            <w:r w:rsidR="0061123C">
              <w:rPr>
                <w:color w:val="000000"/>
                <w:shd w:val="clear" w:color="auto" w:fill="FFFFFF"/>
                <w:lang w:val="uk-UA"/>
              </w:rPr>
              <w:t xml:space="preserve"> цінних паперів</w:t>
            </w:r>
            <w:r w:rsidRPr="005D7649">
              <w:rPr>
                <w:color w:val="000000"/>
                <w:shd w:val="clear" w:color="auto" w:fill="FFFFFF"/>
                <w:lang w:val="uk-UA"/>
              </w:rPr>
              <w:t xml:space="preserve"> (далі – проспект) особа, яка оформлює проспект (надалі – заявник), крім випадків здійснення публічної пропозиції цінних паперів під час емісії цінних паперів, подає до реєструвального органу </w:t>
            </w:r>
            <w:r w:rsidR="00B53055" w:rsidRPr="004015DE">
              <w:rPr>
                <w:shd w:val="clear" w:color="auto" w:fill="FFFFFF"/>
                <w:lang w:val="uk-UA"/>
              </w:rPr>
              <w:t xml:space="preserve">органу </w:t>
            </w:r>
            <w:r w:rsidR="00B53055" w:rsidRPr="004015DE">
              <w:rPr>
                <w:bCs/>
                <w:shd w:val="clear" w:color="auto" w:fill="FFFFFF"/>
                <w:lang w:val="uk-UA"/>
              </w:rPr>
              <w:t xml:space="preserve">згідно з пунктом 9 розділу </w:t>
            </w:r>
            <w:r w:rsidR="00B53055" w:rsidRPr="004015DE">
              <w:rPr>
                <w:bCs/>
                <w:shd w:val="clear" w:color="auto" w:fill="FFFFFF"/>
              </w:rPr>
              <w:t>III</w:t>
            </w:r>
            <w:r w:rsidR="00B53055" w:rsidRPr="004015DE">
              <w:rPr>
                <w:bCs/>
                <w:shd w:val="clear" w:color="auto" w:fill="FFFFFF"/>
                <w:lang w:val="uk-UA"/>
              </w:rPr>
              <w:t xml:space="preserve"> Положення № 424</w:t>
            </w:r>
            <w:r w:rsidR="00B53055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5D7649">
              <w:rPr>
                <w:color w:val="000000"/>
                <w:shd w:val="clear" w:color="auto" w:fill="FFFFFF"/>
                <w:lang w:val="uk-UA"/>
              </w:rPr>
              <w:t>такі документи:</w:t>
            </w:r>
          </w:p>
          <w:p w:rsidR="0039662F" w:rsidRPr="00190656" w:rsidRDefault="0039662F" w:rsidP="00190656">
            <w:pPr>
              <w:pStyle w:val="ListParagraph1"/>
              <w:numPr>
                <w:ilvl w:val="0"/>
                <w:numId w:val="3"/>
              </w:numPr>
              <w:ind w:left="0" w:firstLine="170"/>
              <w:jc w:val="both"/>
              <w:rPr>
                <w:shd w:val="clear" w:color="auto" w:fill="FFFFFF"/>
                <w:lang w:val="uk-UA"/>
              </w:rPr>
            </w:pPr>
            <w:r w:rsidRPr="00190656">
              <w:rPr>
                <w:shd w:val="clear" w:color="auto" w:fill="FFFFFF"/>
                <w:lang w:val="uk-UA"/>
              </w:rPr>
              <w:t>заяву про публічну пропозицію</w:t>
            </w:r>
            <w:r w:rsidR="005D2158" w:rsidRPr="00190656">
              <w:rPr>
                <w:shd w:val="clear" w:color="auto" w:fill="FFFFFF"/>
                <w:lang w:val="uk-UA"/>
              </w:rPr>
              <w:t xml:space="preserve"> (Додаток 1</w:t>
            </w:r>
            <w:r w:rsidR="005B1106" w:rsidRPr="00190656">
              <w:rPr>
                <w:shd w:val="clear" w:color="auto" w:fill="FFFFFF"/>
                <w:lang w:val="uk-UA"/>
              </w:rPr>
              <w:t xml:space="preserve"> до</w:t>
            </w:r>
            <w:r w:rsidR="005D2158" w:rsidRPr="00190656">
              <w:rPr>
                <w:shd w:val="clear" w:color="auto" w:fill="FFFFFF"/>
                <w:lang w:val="uk-UA"/>
              </w:rPr>
              <w:t xml:space="preserve"> </w:t>
            </w:r>
            <w:r w:rsidR="00190656">
              <w:rPr>
                <w:shd w:val="clear" w:color="auto" w:fill="FFFFFF"/>
                <w:lang w:val="uk-UA"/>
              </w:rPr>
              <w:br/>
            </w:r>
            <w:r w:rsidR="005D2158" w:rsidRPr="00190656">
              <w:rPr>
                <w:shd w:val="clear" w:color="auto" w:fill="FFFFFF"/>
                <w:lang w:val="uk-UA"/>
              </w:rPr>
              <w:t>Положення 424)</w:t>
            </w:r>
            <w:r w:rsidRPr="00190656">
              <w:rPr>
                <w:shd w:val="clear" w:color="auto" w:fill="FFFFFF"/>
                <w:lang w:val="uk-UA"/>
              </w:rPr>
              <w:t xml:space="preserve">; </w:t>
            </w:r>
          </w:p>
          <w:p w:rsidR="0039662F" w:rsidRPr="005D7649" w:rsidRDefault="0039662F" w:rsidP="005B1106">
            <w:pPr>
              <w:pStyle w:val="ListParagraph1"/>
              <w:tabs>
                <w:tab w:val="num" w:pos="0"/>
              </w:tabs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shd w:val="clear" w:color="auto" w:fill="FFFFFF"/>
                <w:lang w:val="uk-UA"/>
              </w:rPr>
              <w:t>2) якщо заявник є юридичною особою - належним чином засвідчену копію рішення уповноваженого органу заявника про здійснення публічної пропозиції, зокрема:</w:t>
            </w:r>
          </w:p>
          <w:p w:rsidR="0039662F" w:rsidRPr="005D7649" w:rsidRDefault="005B1106" w:rsidP="005B1106">
            <w:pPr>
              <w:pStyle w:val="1"/>
              <w:ind w:left="0" w:firstLine="170"/>
              <w:jc w:val="both"/>
              <w:outlineLvl w:val="0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- </w:t>
            </w:r>
            <w:r w:rsidR="0039662F" w:rsidRPr="005D7649">
              <w:rPr>
                <w:color w:val="000000"/>
                <w:shd w:val="clear" w:color="auto" w:fill="FFFFFF"/>
                <w:lang w:val="uk-UA"/>
              </w:rPr>
              <w:t xml:space="preserve">у разі здійснення публічної пропозиції емітентом щодо викуплених або інших чином набутих цінних паперів - рішення уповноваженого органу емітента про здійснення публічної пропозиції щодо викуплених або інших чином набутих цінних паперів, умови, порядок та строк здійснення публічної пропозиції; </w:t>
            </w:r>
          </w:p>
          <w:p w:rsidR="0039662F" w:rsidRPr="005D7649" w:rsidRDefault="005B1106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 xml:space="preserve">- </w:t>
            </w:r>
            <w:r w:rsidR="0039662F" w:rsidRPr="005D7649">
              <w:rPr>
                <w:color w:val="000000"/>
                <w:shd w:val="clear" w:color="auto" w:fill="FFFFFF"/>
                <w:lang w:val="uk-UA"/>
              </w:rPr>
              <w:t xml:space="preserve">у разі здійснення публічної пропозиції оферентом - рішення уповноваженого органу оферента про здійснення публічної пропозиції належних йому цінних паперів, умови, порядок та строк здійснення публічної пропозиції; 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3) проспект у двох примірниках;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4) у разі здійснення публічної пропозиції оферентом - підтвердження погодження проспекту емітентом;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5) річну фінансову звітність згідно з пунктом 3 розділу I Положення</w:t>
            </w:r>
            <w:r w:rsidR="005B1106">
              <w:rPr>
                <w:color w:val="000000"/>
                <w:shd w:val="clear" w:color="auto" w:fill="FFFFFF"/>
                <w:lang w:val="uk-UA"/>
              </w:rPr>
              <w:t xml:space="preserve"> 424</w:t>
            </w:r>
            <w:r w:rsidRPr="005D7649">
              <w:rPr>
                <w:color w:val="000000"/>
                <w:shd w:val="clear" w:color="auto" w:fill="FFFFFF"/>
                <w:lang w:val="uk-UA"/>
              </w:rPr>
              <w:t>, засвідчену підписами емітента разом із аудиторським звітом (звітом незалежного аудитора) щодо річної фінансової звітності за останні два звітні роки, що передували року, у якому подається проспект, складеним відповідно до Міжнародних стандартів аудиту із врахуванням вимог нормативно-правового акта реєструвального органу, що встановлює вимоги до аудиторського звіту (звіту незалежного аудитора);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6) проміжну фінансову звітність згідно з пунктом 3 розділу I Положення</w:t>
            </w:r>
            <w:r w:rsidR="005B1106">
              <w:rPr>
                <w:color w:val="000000"/>
                <w:shd w:val="clear" w:color="auto" w:fill="FFFFFF"/>
                <w:lang w:val="uk-UA"/>
              </w:rPr>
              <w:t xml:space="preserve"> 424</w:t>
            </w:r>
            <w:r w:rsidRPr="005D7649">
              <w:rPr>
                <w:color w:val="000000"/>
                <w:shd w:val="clear" w:color="auto" w:fill="FFFFFF"/>
                <w:lang w:val="uk-UA"/>
              </w:rPr>
              <w:t xml:space="preserve">, засвідчену підписами емітента, разом із звітом щодо огляду проміжної фінансової звітності за звітний період, що передує періоду, у якому проспект подається до реєструвального органу, складеним відповідно до </w:t>
            </w:r>
            <w:r w:rsidRPr="005D7649">
              <w:rPr>
                <w:lang w:val="uk-UA"/>
              </w:rPr>
              <w:t>Міжнародних стандартів аудиту з урахуванням вимог нормативно-правового акта реєструвального органу, що встановлює вимоги до аудиторського звіту (звіту незалежного аудитора);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7) засвідчену підписом керівника емітента копію статуту емітента в редакції, що була чинною на дату прийняття рішення про здійснення публічної пропозиції (надається у разі відсутності скан-копії статуту в редакції, що була чинною на дату прийняття рішення про здійснення публічної пропозиції</w:t>
            </w:r>
            <w:r w:rsidRPr="005D7649" w:rsidDel="00D92AA3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5D7649">
              <w:rPr>
                <w:color w:val="000000"/>
                <w:shd w:val="clear" w:color="auto" w:fill="FFFFFF"/>
                <w:lang w:val="uk-UA"/>
              </w:rPr>
              <w:t>на офіційному веб-сайті Міністерства юстиції України);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lastRenderedPageBreak/>
              <w:t>8) форму з контактними даними осіб, відповідальних за підготовку та оформлення проспекту, заяви та змін до нього;</w:t>
            </w:r>
          </w:p>
          <w:p w:rsidR="0039662F" w:rsidRPr="005D7649" w:rsidRDefault="0039662F" w:rsidP="005B1106">
            <w:pPr>
              <w:pStyle w:val="ListParagraph1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9) проект повідомлення про те, яким чином буде оприлюднено проспект.</w:t>
            </w:r>
          </w:p>
          <w:p w:rsidR="0039662F" w:rsidRPr="005D7649" w:rsidRDefault="0039662F" w:rsidP="005B1106">
            <w:pPr>
              <w:ind w:firstLine="170"/>
              <w:jc w:val="both"/>
              <w:rPr>
                <w:color w:val="000000"/>
                <w:shd w:val="clear" w:color="auto" w:fill="FFFFFF"/>
              </w:rPr>
            </w:pPr>
            <w:r w:rsidRPr="005D7649">
              <w:rPr>
                <w:color w:val="000000"/>
                <w:shd w:val="clear" w:color="auto" w:fill="FFFFFF"/>
              </w:rPr>
              <w:t>Якщо інформація, зазначена в пунктах 5, 6, є оприлюдненою на веб-сайті емітента та у загальнодоступній інформаційній базі даних реєстраційного органу, заявник може не надавати паперові копії таких документів, але повинен надати реєструвальному органу посилання на конкретну сторінку веб-сайту (URL-адресу), на якому оприлюднена така інформація.</w:t>
            </w:r>
          </w:p>
          <w:p w:rsidR="0039662F" w:rsidRPr="005D7649" w:rsidRDefault="0039662F" w:rsidP="005B1106">
            <w:pPr>
              <w:ind w:firstLine="170"/>
              <w:jc w:val="both"/>
              <w:rPr>
                <w:color w:val="000000"/>
                <w:shd w:val="clear" w:color="auto" w:fill="FFFFFF"/>
              </w:rPr>
            </w:pPr>
            <w:r w:rsidRPr="005D7649">
              <w:rPr>
                <w:color w:val="000000"/>
                <w:shd w:val="clear" w:color="auto" w:fill="FFFFFF"/>
              </w:rPr>
              <w:t>Якщо порядок викладення інформації в проспекті не збігається з порядком викладення інформації, передбаченим у структурних елементах додатка 4, заявник повинен додатково подати до реєструвального органу детальний зміст із</w:t>
            </w:r>
          </w:p>
          <w:p w:rsidR="00B53055" w:rsidRDefault="0039662F" w:rsidP="005B1106">
            <w:pPr>
              <w:ind w:firstLine="170"/>
              <w:jc w:val="both"/>
              <w:rPr>
                <w:color w:val="000000"/>
                <w:shd w:val="clear" w:color="auto" w:fill="FFFFFF"/>
              </w:rPr>
            </w:pPr>
            <w:r w:rsidRPr="005D7649">
              <w:rPr>
                <w:color w:val="000000"/>
                <w:shd w:val="clear" w:color="auto" w:fill="FFFFFF"/>
              </w:rPr>
              <w:t>посиланням на сторінки проспекту, на яких та чи інша інформація може бути знайдена відповідно до послідовності, викладеної у структурних елементах додатка 3.</w:t>
            </w:r>
          </w:p>
          <w:p w:rsidR="0039662F" w:rsidRPr="005D7649" w:rsidRDefault="0039662F" w:rsidP="005B1106">
            <w:pPr>
              <w:ind w:firstLine="170"/>
              <w:jc w:val="both"/>
              <w:rPr>
                <w:color w:val="000000"/>
                <w:shd w:val="clear" w:color="auto" w:fill="FFFFFF"/>
              </w:rPr>
            </w:pPr>
            <w:r w:rsidRPr="005D7649">
              <w:rPr>
                <w:color w:val="000000"/>
                <w:shd w:val="clear" w:color="auto" w:fill="FFFFFF"/>
              </w:rPr>
              <w:t xml:space="preserve"> </w:t>
            </w:r>
          </w:p>
          <w:p w:rsidR="0039662F" w:rsidRPr="005D7649" w:rsidRDefault="0039662F" w:rsidP="005B1106">
            <w:pPr>
              <w:autoSpaceDE w:val="0"/>
              <w:autoSpaceDN w:val="0"/>
              <w:adjustRightInd w:val="0"/>
              <w:ind w:firstLine="170"/>
              <w:jc w:val="both"/>
              <w:rPr>
                <w:color w:val="000000"/>
                <w:shd w:val="clear" w:color="auto" w:fill="FFFFFF"/>
              </w:rPr>
            </w:pPr>
            <w:r w:rsidRPr="005D7649">
              <w:rPr>
                <w:color w:val="000000"/>
                <w:lang w:eastAsia="en-US"/>
              </w:rPr>
              <w:t>Заявник</w:t>
            </w:r>
            <w:r w:rsidRPr="005D7649">
              <w:rPr>
                <w:color w:val="000000"/>
                <w:shd w:val="clear" w:color="auto" w:fill="FFFFFF"/>
              </w:rPr>
              <w:t xml:space="preserve"> повинен забезпечити, щоб:</w:t>
            </w:r>
          </w:p>
          <w:p w:rsidR="0039662F" w:rsidRPr="005D7649" w:rsidRDefault="0039662F" w:rsidP="005B1106">
            <w:pPr>
              <w:pStyle w:val="ListParagraph1"/>
              <w:autoSpaceDE w:val="0"/>
              <w:autoSpaceDN w:val="0"/>
              <w:adjustRightInd w:val="0"/>
              <w:ind w:left="0" w:firstLine="170"/>
              <w:jc w:val="both"/>
              <w:rPr>
                <w:color w:val="000000"/>
                <w:lang w:val="uk-UA" w:eastAsia="en-US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 xml:space="preserve">поданий проспект містив усю необхідну інформацію, що має бути розкрита згідно із законом та цим Положенням; </w:t>
            </w:r>
          </w:p>
          <w:p w:rsidR="00B5354C" w:rsidRDefault="0039662F" w:rsidP="005B1106">
            <w:pPr>
              <w:pStyle w:val="ListParagraph1"/>
              <w:autoSpaceDE w:val="0"/>
              <w:autoSpaceDN w:val="0"/>
              <w:adjustRightInd w:val="0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5D7649">
              <w:rPr>
                <w:color w:val="000000"/>
                <w:shd w:val="clear" w:color="auto" w:fill="FFFFFF"/>
                <w:lang w:val="uk-UA"/>
              </w:rPr>
              <w:t>інформація, яка міститься в поданому проспекті, відповідала дійсності та не містила прогалин, помилок чи неточностей.</w:t>
            </w:r>
          </w:p>
          <w:p w:rsidR="0061123C" w:rsidRDefault="0061123C" w:rsidP="005B1106">
            <w:pPr>
              <w:pStyle w:val="ListParagraph1"/>
              <w:autoSpaceDE w:val="0"/>
              <w:autoSpaceDN w:val="0"/>
              <w:adjustRightInd w:val="0"/>
              <w:ind w:left="0" w:firstLine="170"/>
              <w:jc w:val="both"/>
              <w:rPr>
                <w:color w:val="000000"/>
                <w:shd w:val="clear" w:color="auto" w:fill="FFFFFF"/>
                <w:lang w:val="uk-UA"/>
              </w:rPr>
            </w:pPr>
          </w:p>
          <w:p w:rsidR="0061123C" w:rsidRPr="00B53055" w:rsidRDefault="0061123C" w:rsidP="005B1106">
            <w:pPr>
              <w:pStyle w:val="ListParagraph1"/>
              <w:autoSpaceDE w:val="0"/>
              <w:autoSpaceDN w:val="0"/>
              <w:adjustRightInd w:val="0"/>
              <w:ind w:left="0" w:firstLine="170"/>
              <w:jc w:val="both"/>
              <w:rPr>
                <w:b/>
                <w:color w:val="000000"/>
                <w:shd w:val="clear" w:color="auto" w:fill="FFFFFF"/>
                <w:lang w:val="uk-UA"/>
              </w:rPr>
            </w:pPr>
            <w:r w:rsidRPr="00B53055">
              <w:rPr>
                <w:b/>
                <w:shd w:val="clear" w:color="auto" w:fill="FFFFFF"/>
                <w:lang w:val="uk-UA"/>
              </w:rPr>
              <w:t xml:space="preserve">ІІ. </w:t>
            </w:r>
            <w:r w:rsidR="00B53055" w:rsidRPr="00B53055">
              <w:rPr>
                <w:b/>
                <w:shd w:val="clear" w:color="auto" w:fill="FFFFFF"/>
                <w:lang w:val="uk-UA"/>
              </w:rPr>
              <w:t>Затвердження проспекту облігацій МФО</w:t>
            </w:r>
          </w:p>
          <w:p w:rsidR="0061123C" w:rsidRPr="00B53055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rStyle w:val="spanrvts0"/>
                <w:lang w:val="uk" w:eastAsia="uk"/>
              </w:rPr>
            </w:pPr>
            <w:r w:rsidRPr="00B53055">
              <w:rPr>
                <w:rStyle w:val="spanrvts0"/>
                <w:lang w:val="uk" w:eastAsia="uk"/>
              </w:rPr>
              <w:t>Для здійснення публічної пропозиції облігацій МФО оферентом він повинен подати до реєструвального органу такі документи:</w:t>
            </w:r>
          </w:p>
          <w:p w:rsidR="0061123C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rStyle w:val="spanrvts0"/>
                <w:lang w:val="uk" w:eastAsia="uk"/>
              </w:rPr>
            </w:pPr>
            <w:bookmarkStart w:id="0" w:name="n318"/>
            <w:bookmarkEnd w:id="0"/>
            <w:r>
              <w:rPr>
                <w:rStyle w:val="spanrvts0"/>
                <w:lang w:val="uk" w:eastAsia="uk"/>
              </w:rPr>
              <w:t>1) заяву про публічну пропозицію (</w:t>
            </w:r>
            <w:hyperlink w:anchor="n644" w:history="1">
              <w:r>
                <w:rPr>
                  <w:rStyle w:val="arvts99"/>
                  <w:lang w:val="uk" w:eastAsia="uk"/>
                </w:rPr>
                <w:t>додаток 11</w:t>
              </w:r>
            </w:hyperlink>
            <w:r>
              <w:rPr>
                <w:rStyle w:val="arvts99"/>
                <w:lang w:val="uk" w:eastAsia="uk"/>
              </w:rPr>
              <w:t xml:space="preserve"> до Положення 801</w:t>
            </w:r>
            <w:r>
              <w:rPr>
                <w:rStyle w:val="spanrvts0"/>
                <w:lang w:val="uk" w:eastAsia="uk"/>
              </w:rPr>
              <w:t>);</w:t>
            </w:r>
          </w:p>
          <w:p w:rsidR="0061123C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rStyle w:val="spanrvts0"/>
                <w:lang w:val="uk" w:eastAsia="uk"/>
              </w:rPr>
            </w:pPr>
            <w:bookmarkStart w:id="1" w:name="n319"/>
            <w:bookmarkEnd w:id="1"/>
            <w:r>
              <w:rPr>
                <w:rStyle w:val="spanrvts0"/>
                <w:lang w:val="uk" w:eastAsia="uk"/>
              </w:rPr>
              <w:t xml:space="preserve">2) публічну пропозицію </w:t>
            </w:r>
            <w:hyperlink w:anchor="n608" w:history="1">
              <w:r>
                <w:rPr>
                  <w:rStyle w:val="arvts99"/>
                  <w:lang w:val="uk" w:eastAsia="uk"/>
                </w:rPr>
                <w:t>(додаток 7</w:t>
              </w:r>
            </w:hyperlink>
            <w:r>
              <w:rPr>
                <w:rStyle w:val="spanrvts0"/>
                <w:lang w:val="uk" w:eastAsia="uk"/>
              </w:rPr>
              <w:t>);</w:t>
            </w:r>
          </w:p>
          <w:p w:rsidR="0061123C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rStyle w:val="spanrvts0"/>
                <w:lang w:val="uk" w:eastAsia="uk"/>
              </w:rPr>
            </w:pPr>
            <w:bookmarkStart w:id="2" w:name="n320"/>
            <w:bookmarkEnd w:id="2"/>
            <w:r>
              <w:rPr>
                <w:rStyle w:val="spanrvts0"/>
                <w:lang w:val="uk" w:eastAsia="uk"/>
              </w:rPr>
              <w:t>3) проспект у двох примірниках;</w:t>
            </w:r>
          </w:p>
          <w:p w:rsidR="0061123C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rStyle w:val="spanrvts0"/>
                <w:lang w:val="uk" w:eastAsia="uk"/>
              </w:rPr>
            </w:pPr>
            <w:bookmarkStart w:id="3" w:name="n321"/>
            <w:bookmarkEnd w:id="3"/>
            <w:r>
              <w:rPr>
                <w:rStyle w:val="spanrvts0"/>
                <w:lang w:val="uk" w:eastAsia="uk"/>
              </w:rPr>
              <w:t>4) погодження емітентом проспекту, оформленого оферентом (додаток 10);</w:t>
            </w:r>
          </w:p>
          <w:p w:rsidR="0061123C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rStyle w:val="spanrvts0"/>
                <w:lang w:val="uk" w:eastAsia="uk"/>
              </w:rPr>
            </w:pPr>
            <w:bookmarkStart w:id="4" w:name="n322"/>
            <w:bookmarkEnd w:id="4"/>
            <w:r>
              <w:rPr>
                <w:rStyle w:val="spanrvts0"/>
                <w:lang w:val="uk" w:eastAsia="uk"/>
              </w:rPr>
              <w:t>5) рішення уповноваженого органу оферента (якщо оферент є юридичною особою) або оферента (якщо оферент є фізичною особою) про здійснення публічної пропозиції облігацій, умови, порядок та строк здійснення публічної пропозиції;</w:t>
            </w:r>
          </w:p>
          <w:p w:rsidR="0061123C" w:rsidRPr="00572F7B" w:rsidRDefault="0061123C" w:rsidP="00572F7B">
            <w:pPr>
              <w:pStyle w:val="rvps2"/>
              <w:spacing w:before="0" w:beforeAutospacing="0" w:after="0" w:afterAutospacing="0"/>
              <w:jc w:val="both"/>
              <w:rPr>
                <w:lang w:val="uk" w:eastAsia="uk"/>
              </w:rPr>
            </w:pPr>
            <w:bookmarkStart w:id="5" w:name="n323"/>
            <w:bookmarkEnd w:id="5"/>
            <w:r>
              <w:rPr>
                <w:rStyle w:val="spanrvts0"/>
                <w:lang w:val="uk" w:eastAsia="uk"/>
              </w:rPr>
              <w:t>6) виписку з рахунку в цінних паперах оферента, що підтверджує право власності оферента на облігації, щодо яких здійснюється публічна пропозиція.</w:t>
            </w:r>
          </w:p>
        </w:tc>
      </w:tr>
      <w:tr w:rsidR="005D2158" w:rsidRPr="005D2158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2158" w:rsidRDefault="00B5354C" w:rsidP="00B5354C">
            <w:pPr>
              <w:jc w:val="center"/>
            </w:pPr>
            <w:r w:rsidRPr="005D2158">
              <w:lastRenderedPageBreak/>
              <w:t>9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2158" w:rsidRDefault="00B5354C" w:rsidP="00B5354C">
            <w:r w:rsidRPr="005D2158">
              <w:t>Платність (безоплатність) надання адміністративної послуги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Default="00820577" w:rsidP="005B1106">
            <w:pPr>
              <w:jc w:val="both"/>
            </w:pPr>
            <w:r w:rsidRPr="005D2158">
              <w:t>Послуга є платною. Відповідно до Рішення 620 розмір плати складає 14</w:t>
            </w:r>
            <w:r w:rsidR="005B1106">
              <w:t> </w:t>
            </w:r>
            <w:r w:rsidRPr="005D2158">
              <w:t>000</w:t>
            </w:r>
            <w:r w:rsidR="005B1106">
              <w:t xml:space="preserve"> грн.</w:t>
            </w:r>
          </w:p>
          <w:p w:rsidR="00DF37AD" w:rsidRPr="005D2158" w:rsidRDefault="00DF37AD" w:rsidP="005B1106">
            <w:pPr>
              <w:jc w:val="both"/>
            </w:pPr>
            <w:r w:rsidRPr="00DF37AD">
              <w:t>Оплата здійснюється за кодом бюджетної класифікації 22012500.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10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Порядок та спосіб подання документів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A76450">
            <w:pPr>
              <w:pStyle w:val="rvps2"/>
              <w:jc w:val="both"/>
              <w:rPr>
                <w:color w:val="FF0000"/>
              </w:rPr>
            </w:pPr>
            <w:r w:rsidRPr="005D7649">
              <w:t>Суб’єкт звернення надсилає документи поштою або подає їх особисто до НКЦПФР.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11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Строк надання адміністративної послуги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49" w:rsidRPr="005D7649" w:rsidRDefault="005D7649" w:rsidP="005B1106">
            <w:pPr>
              <w:shd w:val="clear" w:color="auto" w:fill="FFFFFF"/>
              <w:ind w:firstLine="170"/>
              <w:jc w:val="both"/>
              <w:textAlignment w:val="baseline"/>
            </w:pPr>
            <w:r w:rsidRPr="005D7649">
              <w:t>Реєструвальний орган здійснює затвердження проспекту</w:t>
            </w:r>
            <w:r w:rsidR="00A76450">
              <w:t>/базового проспекту</w:t>
            </w:r>
            <w:r w:rsidRPr="005D7649">
              <w:t xml:space="preserve"> </w:t>
            </w:r>
            <w:r w:rsidR="00572F7B">
              <w:t xml:space="preserve">цінних паперів (крім облігацій МФО) </w:t>
            </w:r>
            <w:r w:rsidRPr="005D7649">
              <w:t xml:space="preserve">або відмовляє у відповідному затвердженні після </w:t>
            </w:r>
            <w:r w:rsidRPr="005D7649">
              <w:lastRenderedPageBreak/>
              <w:t>надходження проспекту</w:t>
            </w:r>
            <w:r w:rsidR="00A76450">
              <w:t>/базового проспекту</w:t>
            </w:r>
            <w:r w:rsidRPr="005D7649">
              <w:t xml:space="preserve"> і всіх необхідних документів для його затвердження протягом:   </w:t>
            </w:r>
          </w:p>
          <w:p w:rsidR="005D7649" w:rsidRPr="005D7649" w:rsidRDefault="005B1106" w:rsidP="005B1106">
            <w:pPr>
              <w:shd w:val="clear" w:color="auto" w:fill="FFFFFF"/>
              <w:ind w:firstLine="170"/>
              <w:jc w:val="both"/>
              <w:textAlignment w:val="baseline"/>
            </w:pPr>
            <w:r>
              <w:t>20 робочих днів;</w:t>
            </w:r>
          </w:p>
          <w:p w:rsidR="00B5354C" w:rsidRDefault="005D7649" w:rsidP="005B1106">
            <w:pPr>
              <w:shd w:val="clear" w:color="auto" w:fill="FFFFFF"/>
              <w:ind w:firstLine="170"/>
              <w:jc w:val="both"/>
              <w:textAlignment w:val="baseline"/>
            </w:pPr>
            <w:r w:rsidRPr="005D7649">
              <w:t>10 робочих днів - у разі, якщо в емітента наявні цінні папери, допущені до торгів на фондовій біржі, та/або здійснювалася публічна пропозиція таких цінних паперів</w:t>
            </w:r>
            <w:r w:rsidR="00572F7B">
              <w:t>.</w:t>
            </w:r>
          </w:p>
          <w:p w:rsidR="00572F7B" w:rsidRPr="005D7649" w:rsidRDefault="00572F7B" w:rsidP="00572F7B">
            <w:pPr>
              <w:shd w:val="clear" w:color="auto" w:fill="FFFFFF"/>
              <w:ind w:firstLine="170"/>
              <w:jc w:val="both"/>
              <w:textAlignment w:val="baseline"/>
              <w:rPr>
                <w:rStyle w:val="rvts0"/>
              </w:rPr>
            </w:pPr>
            <w:r w:rsidRPr="00572F7B">
              <w:t xml:space="preserve">Реєструвальний орган здійснює затвердження проспекту облігацій МФО при </w:t>
            </w:r>
            <w:r w:rsidRPr="00572F7B">
              <w:rPr>
                <w:rStyle w:val="spanrvts0"/>
                <w:lang w:val="uk" w:eastAsia="uk"/>
              </w:rPr>
              <w:t xml:space="preserve">здійсненні публічної пропозиції облігацій МФО оферентом -  </w:t>
            </w:r>
            <w:r w:rsidRPr="00572F7B">
              <w:t>протягом 25</w:t>
            </w:r>
            <w:r>
              <w:t xml:space="preserve"> робочих днів.</w:t>
            </w:r>
          </w:p>
        </w:tc>
      </w:tr>
      <w:tr w:rsidR="00B5354C" w:rsidRPr="005D7649" w:rsidTr="005B1106">
        <w:trPr>
          <w:trHeight w:val="62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lastRenderedPageBreak/>
              <w:t>12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Результат надання адміністративної послуги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5D7649" w:rsidP="00BE78A2">
            <w:pPr>
              <w:ind w:firstLine="170"/>
              <w:jc w:val="both"/>
            </w:pPr>
            <w:r w:rsidRPr="005D7649">
              <w:t>Затверджений проспект</w:t>
            </w:r>
            <w:r w:rsidR="00A76450">
              <w:t xml:space="preserve">/базовий проспект </w:t>
            </w:r>
            <w:r w:rsidRPr="005D7649">
              <w:t xml:space="preserve"> цінних паперів засвідчуються підписом уповноваженої особи </w:t>
            </w:r>
            <w:r w:rsidR="00A76450">
              <w:t>НКЦПФР</w:t>
            </w:r>
            <w:r w:rsidR="00572F7B">
              <w:t>.</w:t>
            </w:r>
          </w:p>
        </w:tc>
      </w:tr>
      <w:tr w:rsidR="00B5354C" w:rsidRPr="005D7649" w:rsidTr="005B1106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pPr>
              <w:jc w:val="center"/>
            </w:pPr>
            <w:r w:rsidRPr="005D7649">
              <w:t>13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4C" w:rsidRPr="005D7649" w:rsidRDefault="00B5354C" w:rsidP="00B5354C">
            <w:r w:rsidRPr="005D7649">
              <w:t>Способи отримання відповіді (результату)</w:t>
            </w:r>
          </w:p>
        </w:tc>
        <w:tc>
          <w:tcPr>
            <w:tcW w:w="3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49" w:rsidRPr="005D7649" w:rsidRDefault="005D7649" w:rsidP="005B1106">
            <w:pPr>
              <w:shd w:val="clear" w:color="auto" w:fill="FFFFFF"/>
              <w:ind w:firstLine="170"/>
              <w:jc w:val="both"/>
              <w:textAlignment w:val="baseline"/>
            </w:pPr>
            <w:r w:rsidRPr="005D7649">
              <w:t>Повідомлення особи, яка оформлює проспект</w:t>
            </w:r>
            <w:r w:rsidR="00A76450">
              <w:t>/базовий проспект</w:t>
            </w:r>
            <w:r w:rsidRPr="005D7649">
              <w:t>, про прийняте рішення здійснюється засобами телекомунікаційного зв’язку.</w:t>
            </w:r>
          </w:p>
          <w:p w:rsidR="005D7649" w:rsidRPr="005D7649" w:rsidRDefault="005D7649" w:rsidP="005B1106">
            <w:pPr>
              <w:ind w:firstLine="170"/>
              <w:jc w:val="both"/>
            </w:pPr>
            <w:r w:rsidRPr="005D7649">
              <w:t>Рішення про затвердження проспекту цінних паперів о</w:t>
            </w:r>
            <w:r w:rsidR="00A76450">
              <w:t>прилюднюється на офіційному веб</w:t>
            </w:r>
            <w:r w:rsidRPr="005D7649">
              <w:t>сайті реєструвального органу протягом одного робочого дня після його прийняття.</w:t>
            </w:r>
          </w:p>
          <w:p w:rsidR="00B5354C" w:rsidRPr="005D7649" w:rsidRDefault="0070366D" w:rsidP="005B1106">
            <w:pPr>
              <w:ind w:firstLine="170"/>
              <w:jc w:val="both"/>
            </w:pPr>
            <w:r>
              <w:t>П</w:t>
            </w:r>
            <w:r w:rsidRPr="005D7649">
              <w:t>римірник затвердженого проспекту</w:t>
            </w:r>
            <w:r>
              <w:t>/ базового проспекту</w:t>
            </w:r>
            <w:r w:rsidRPr="005D7649">
              <w:t xml:space="preserve"> </w:t>
            </w:r>
            <w:r>
              <w:t xml:space="preserve">направляється </w:t>
            </w:r>
            <w:r w:rsidRPr="005D7649">
              <w:t>заявнику.</w:t>
            </w:r>
          </w:p>
        </w:tc>
      </w:tr>
    </w:tbl>
    <w:p w:rsidR="00BE78A2" w:rsidRDefault="00BE78A2" w:rsidP="00BE78A2">
      <w:pPr>
        <w:pStyle w:val="a5"/>
        <w:spacing w:before="0" w:beforeAutospacing="0" w:after="0" w:afterAutospacing="0"/>
        <w:jc w:val="both"/>
      </w:pPr>
    </w:p>
    <w:p w:rsidR="00BE78A2" w:rsidRDefault="00BE78A2" w:rsidP="00BE78A2">
      <w:pPr>
        <w:pStyle w:val="a5"/>
        <w:spacing w:before="0" w:beforeAutospacing="0" w:after="0" w:afterAutospacing="0"/>
        <w:jc w:val="both"/>
      </w:pPr>
      <w:r>
        <w:t xml:space="preserve">Примітки: </w:t>
      </w:r>
    </w:p>
    <w:p w:rsidR="00BE78A2" w:rsidRDefault="00BE78A2" w:rsidP="00BE78A2">
      <w:pPr>
        <w:pStyle w:val="a5"/>
        <w:spacing w:before="0" w:beforeAutospacing="0" w:after="0" w:afterAutospacing="0"/>
        <w:jc w:val="both"/>
      </w:pPr>
      <w:r>
        <w:t>Права та обов’язки заявника визначені в статті 28 Закону України «Про адміністративну процедуру».</w:t>
      </w:r>
    </w:p>
    <w:p w:rsidR="00BE78A2" w:rsidRDefault="00BE78A2" w:rsidP="00BE78A2">
      <w:pPr>
        <w:pStyle w:val="a5"/>
        <w:spacing w:before="0" w:beforeAutospacing="0" w:after="0" w:afterAutospacing="0"/>
        <w:jc w:val="both"/>
      </w:pPr>
      <w:r>
        <w:t>За письмовим запитом заявник має можливість ознайомитися з матеріалами справи в порядку та у строки, встановлені статтею 51 Закону України «Про адміністративну процедуру».</w:t>
      </w:r>
    </w:p>
    <w:p w:rsidR="00BE78A2" w:rsidRDefault="00BE78A2" w:rsidP="00BE78A2">
      <w:pPr>
        <w:pStyle w:val="a5"/>
        <w:spacing w:before="0" w:beforeAutospacing="0" w:after="0" w:afterAutospacing="0"/>
        <w:jc w:val="both"/>
      </w:pPr>
      <w:r>
        <w:t xml:space="preserve">На будь-якому етапі адміністративного провадження до моменту прийняття адміністративного акту, заявником можуть бути подані до НКЦПФР пояснення та/або зауваження у справі у спосіб, визначений статтею 54 Закону України «Про адміністративну процедуру». </w:t>
      </w:r>
    </w:p>
    <w:p w:rsidR="00BE78A2" w:rsidRDefault="00BE78A2" w:rsidP="00BE78A2">
      <w:pPr>
        <w:pStyle w:val="a5"/>
        <w:spacing w:before="0" w:beforeAutospacing="0" w:after="0" w:afterAutospacing="0"/>
        <w:jc w:val="both"/>
        <w:rPr>
          <w:spacing w:val="-16"/>
        </w:rPr>
      </w:pPr>
      <w:r>
        <w:t>Результати надання адміністративної послуги можуть бути оскаржені до суду в порядку, встановленому законом.</w:t>
      </w:r>
    </w:p>
    <w:p w:rsidR="00BE78A2" w:rsidRDefault="00BE78A2" w:rsidP="00BE78A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E78A2" w:rsidRDefault="00BE78A2" w:rsidP="00BE78A2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72F7B" w:rsidRDefault="00572F7B" w:rsidP="00EF4C56">
      <w:bookmarkStart w:id="6" w:name="_GoBack"/>
      <w:bookmarkEnd w:id="6"/>
    </w:p>
    <w:sectPr w:rsidR="00572F7B" w:rsidSect="00831BE2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F1" w:rsidRDefault="00C11BF1">
      <w:r>
        <w:separator/>
      </w:r>
    </w:p>
  </w:endnote>
  <w:endnote w:type="continuationSeparator" w:id="0">
    <w:p w:rsidR="00C11BF1" w:rsidRDefault="00C1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F1" w:rsidRDefault="00C11BF1">
      <w:r>
        <w:separator/>
      </w:r>
    </w:p>
  </w:footnote>
  <w:footnote w:type="continuationSeparator" w:id="0">
    <w:p w:rsidR="00C11BF1" w:rsidRDefault="00C1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06" w:rsidRDefault="005B110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04AFF" w:rsidRPr="00304AFF">
      <w:rPr>
        <w:noProof/>
        <w:lang w:val="ru-RU"/>
      </w:rPr>
      <w:t>4</w:t>
    </w:r>
    <w:r>
      <w:fldChar w:fldCharType="end"/>
    </w:r>
  </w:p>
  <w:p w:rsidR="005B1106" w:rsidRDefault="005B11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4F1D"/>
    <w:multiLevelType w:val="hybridMultilevel"/>
    <w:tmpl w:val="BCE075CA"/>
    <w:lvl w:ilvl="0" w:tplc="6E82F66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</w:lvl>
    <w:lvl w:ilvl="3" w:tplc="0422000F" w:tentative="1">
      <w:start w:val="1"/>
      <w:numFmt w:val="decimal"/>
      <w:lvlText w:val="%4."/>
      <w:lvlJc w:val="left"/>
      <w:pPr>
        <w:ind w:left="2772" w:hanging="360"/>
      </w:p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</w:lvl>
    <w:lvl w:ilvl="6" w:tplc="0422000F" w:tentative="1">
      <w:start w:val="1"/>
      <w:numFmt w:val="decimal"/>
      <w:lvlText w:val="%7."/>
      <w:lvlJc w:val="left"/>
      <w:pPr>
        <w:ind w:left="4932" w:hanging="360"/>
      </w:p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5027EF4"/>
    <w:multiLevelType w:val="hybridMultilevel"/>
    <w:tmpl w:val="C32846B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EE6F78"/>
    <w:multiLevelType w:val="hybridMultilevel"/>
    <w:tmpl w:val="F5AA162C"/>
    <w:lvl w:ilvl="0" w:tplc="2558EB50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50" w:hanging="360"/>
      </w:pPr>
    </w:lvl>
    <w:lvl w:ilvl="2" w:tplc="0422001B" w:tentative="1">
      <w:start w:val="1"/>
      <w:numFmt w:val="lowerRoman"/>
      <w:lvlText w:val="%3."/>
      <w:lvlJc w:val="right"/>
      <w:pPr>
        <w:ind w:left="1970" w:hanging="180"/>
      </w:pPr>
    </w:lvl>
    <w:lvl w:ilvl="3" w:tplc="0422000F" w:tentative="1">
      <w:start w:val="1"/>
      <w:numFmt w:val="decimal"/>
      <w:lvlText w:val="%4."/>
      <w:lvlJc w:val="left"/>
      <w:pPr>
        <w:ind w:left="2690" w:hanging="360"/>
      </w:pPr>
    </w:lvl>
    <w:lvl w:ilvl="4" w:tplc="04220019" w:tentative="1">
      <w:start w:val="1"/>
      <w:numFmt w:val="lowerLetter"/>
      <w:lvlText w:val="%5."/>
      <w:lvlJc w:val="left"/>
      <w:pPr>
        <w:ind w:left="3410" w:hanging="360"/>
      </w:pPr>
    </w:lvl>
    <w:lvl w:ilvl="5" w:tplc="0422001B" w:tentative="1">
      <w:start w:val="1"/>
      <w:numFmt w:val="lowerRoman"/>
      <w:lvlText w:val="%6."/>
      <w:lvlJc w:val="right"/>
      <w:pPr>
        <w:ind w:left="4130" w:hanging="180"/>
      </w:pPr>
    </w:lvl>
    <w:lvl w:ilvl="6" w:tplc="0422000F" w:tentative="1">
      <w:start w:val="1"/>
      <w:numFmt w:val="decimal"/>
      <w:lvlText w:val="%7."/>
      <w:lvlJc w:val="left"/>
      <w:pPr>
        <w:ind w:left="4850" w:hanging="360"/>
      </w:pPr>
    </w:lvl>
    <w:lvl w:ilvl="7" w:tplc="04220019" w:tentative="1">
      <w:start w:val="1"/>
      <w:numFmt w:val="lowerLetter"/>
      <w:lvlText w:val="%8."/>
      <w:lvlJc w:val="left"/>
      <w:pPr>
        <w:ind w:left="5570" w:hanging="360"/>
      </w:pPr>
    </w:lvl>
    <w:lvl w:ilvl="8" w:tplc="0422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57"/>
    <w:rsid w:val="00004AAA"/>
    <w:rsid w:val="00010732"/>
    <w:rsid w:val="000349E5"/>
    <w:rsid w:val="000564D2"/>
    <w:rsid w:val="00060C12"/>
    <w:rsid w:val="000802FF"/>
    <w:rsid w:val="00087A75"/>
    <w:rsid w:val="00091720"/>
    <w:rsid w:val="00092801"/>
    <w:rsid w:val="000B6BC6"/>
    <w:rsid w:val="000D6ABF"/>
    <w:rsid w:val="000F2D4A"/>
    <w:rsid w:val="00132756"/>
    <w:rsid w:val="00135FA2"/>
    <w:rsid w:val="00140330"/>
    <w:rsid w:val="00150688"/>
    <w:rsid w:val="00151E8A"/>
    <w:rsid w:val="001625CD"/>
    <w:rsid w:val="00172CFF"/>
    <w:rsid w:val="0018272A"/>
    <w:rsid w:val="00190656"/>
    <w:rsid w:val="001B4B0F"/>
    <w:rsid w:val="001D04BE"/>
    <w:rsid w:val="001D3544"/>
    <w:rsid w:val="001E147F"/>
    <w:rsid w:val="00203B1A"/>
    <w:rsid w:val="0022603C"/>
    <w:rsid w:val="00240EBB"/>
    <w:rsid w:val="00275DB2"/>
    <w:rsid w:val="002A579E"/>
    <w:rsid w:val="002B4BFD"/>
    <w:rsid w:val="002F04B5"/>
    <w:rsid w:val="002F06C6"/>
    <w:rsid w:val="002F6736"/>
    <w:rsid w:val="00304AFF"/>
    <w:rsid w:val="003230DA"/>
    <w:rsid w:val="0035318E"/>
    <w:rsid w:val="0036708C"/>
    <w:rsid w:val="00377E0A"/>
    <w:rsid w:val="0039662F"/>
    <w:rsid w:val="003A3CC7"/>
    <w:rsid w:val="003B6125"/>
    <w:rsid w:val="003B665F"/>
    <w:rsid w:val="003C2730"/>
    <w:rsid w:val="003D055F"/>
    <w:rsid w:val="00401C4F"/>
    <w:rsid w:val="0041515A"/>
    <w:rsid w:val="004228F4"/>
    <w:rsid w:val="00432164"/>
    <w:rsid w:val="00433531"/>
    <w:rsid w:val="00471C6B"/>
    <w:rsid w:val="00473DA2"/>
    <w:rsid w:val="0048275A"/>
    <w:rsid w:val="00487DB1"/>
    <w:rsid w:val="004924E6"/>
    <w:rsid w:val="00492F10"/>
    <w:rsid w:val="00504102"/>
    <w:rsid w:val="00523932"/>
    <w:rsid w:val="0052545E"/>
    <w:rsid w:val="00546400"/>
    <w:rsid w:val="00566EC9"/>
    <w:rsid w:val="00572F7B"/>
    <w:rsid w:val="00586273"/>
    <w:rsid w:val="005934D1"/>
    <w:rsid w:val="005970EA"/>
    <w:rsid w:val="005B1106"/>
    <w:rsid w:val="005D2130"/>
    <w:rsid w:val="005D2158"/>
    <w:rsid w:val="005D7649"/>
    <w:rsid w:val="0060034D"/>
    <w:rsid w:val="0061123C"/>
    <w:rsid w:val="00635B9C"/>
    <w:rsid w:val="00655A0C"/>
    <w:rsid w:val="00657905"/>
    <w:rsid w:val="006601DA"/>
    <w:rsid w:val="00663BA2"/>
    <w:rsid w:val="0066688F"/>
    <w:rsid w:val="00680800"/>
    <w:rsid w:val="0070366D"/>
    <w:rsid w:val="00710B52"/>
    <w:rsid w:val="00734503"/>
    <w:rsid w:val="007374CA"/>
    <w:rsid w:val="00743FC3"/>
    <w:rsid w:val="0075306A"/>
    <w:rsid w:val="0076731E"/>
    <w:rsid w:val="0078159B"/>
    <w:rsid w:val="00784293"/>
    <w:rsid w:val="00795B03"/>
    <w:rsid w:val="007A4557"/>
    <w:rsid w:val="007B005D"/>
    <w:rsid w:val="007B7746"/>
    <w:rsid w:val="007E3416"/>
    <w:rsid w:val="008046C8"/>
    <w:rsid w:val="00820577"/>
    <w:rsid w:val="00831BE2"/>
    <w:rsid w:val="0084446E"/>
    <w:rsid w:val="00845D77"/>
    <w:rsid w:val="00846BBE"/>
    <w:rsid w:val="0085232C"/>
    <w:rsid w:val="00861BD4"/>
    <w:rsid w:val="008827C5"/>
    <w:rsid w:val="008A5623"/>
    <w:rsid w:val="008A659B"/>
    <w:rsid w:val="008B0BB0"/>
    <w:rsid w:val="008B30A9"/>
    <w:rsid w:val="008E55F6"/>
    <w:rsid w:val="008E62B7"/>
    <w:rsid w:val="0092187D"/>
    <w:rsid w:val="009250DA"/>
    <w:rsid w:val="00967ADA"/>
    <w:rsid w:val="00984F77"/>
    <w:rsid w:val="00986541"/>
    <w:rsid w:val="00986DB8"/>
    <w:rsid w:val="00990DBE"/>
    <w:rsid w:val="00991BD2"/>
    <w:rsid w:val="009A0A45"/>
    <w:rsid w:val="009D6BF0"/>
    <w:rsid w:val="009E4903"/>
    <w:rsid w:val="009F060B"/>
    <w:rsid w:val="00A11BDB"/>
    <w:rsid w:val="00A2433D"/>
    <w:rsid w:val="00A25500"/>
    <w:rsid w:val="00A573EA"/>
    <w:rsid w:val="00A652E8"/>
    <w:rsid w:val="00A76450"/>
    <w:rsid w:val="00A76C41"/>
    <w:rsid w:val="00A849C8"/>
    <w:rsid w:val="00AA78B5"/>
    <w:rsid w:val="00AC469E"/>
    <w:rsid w:val="00AC61B9"/>
    <w:rsid w:val="00AE6078"/>
    <w:rsid w:val="00AE7062"/>
    <w:rsid w:val="00B2351E"/>
    <w:rsid w:val="00B43FB9"/>
    <w:rsid w:val="00B53055"/>
    <w:rsid w:val="00B5354C"/>
    <w:rsid w:val="00B71175"/>
    <w:rsid w:val="00BC7E02"/>
    <w:rsid w:val="00BE2D80"/>
    <w:rsid w:val="00BE78A2"/>
    <w:rsid w:val="00C054BE"/>
    <w:rsid w:val="00C11BF1"/>
    <w:rsid w:val="00C25216"/>
    <w:rsid w:val="00C3136C"/>
    <w:rsid w:val="00C42300"/>
    <w:rsid w:val="00C86084"/>
    <w:rsid w:val="00C94D16"/>
    <w:rsid w:val="00CE3FBE"/>
    <w:rsid w:val="00CE5B92"/>
    <w:rsid w:val="00CF6027"/>
    <w:rsid w:val="00D237D7"/>
    <w:rsid w:val="00D41E07"/>
    <w:rsid w:val="00D727D5"/>
    <w:rsid w:val="00DC2CA9"/>
    <w:rsid w:val="00DD603B"/>
    <w:rsid w:val="00DE2995"/>
    <w:rsid w:val="00DE342D"/>
    <w:rsid w:val="00DF37AD"/>
    <w:rsid w:val="00DF7D78"/>
    <w:rsid w:val="00E07F17"/>
    <w:rsid w:val="00E151F5"/>
    <w:rsid w:val="00E1700D"/>
    <w:rsid w:val="00E22024"/>
    <w:rsid w:val="00E50951"/>
    <w:rsid w:val="00E63310"/>
    <w:rsid w:val="00E646D2"/>
    <w:rsid w:val="00E722BA"/>
    <w:rsid w:val="00E75851"/>
    <w:rsid w:val="00E94AF5"/>
    <w:rsid w:val="00E9522E"/>
    <w:rsid w:val="00EA3D20"/>
    <w:rsid w:val="00EC36C9"/>
    <w:rsid w:val="00ED7566"/>
    <w:rsid w:val="00EE619E"/>
    <w:rsid w:val="00EE62D7"/>
    <w:rsid w:val="00EF4C56"/>
    <w:rsid w:val="00F6189D"/>
    <w:rsid w:val="00F635CE"/>
    <w:rsid w:val="00F92F9A"/>
    <w:rsid w:val="00FA2BE0"/>
    <w:rsid w:val="00FB10A8"/>
    <w:rsid w:val="00FF2955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AD74B-5FF4-462C-B16E-B73C88E9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7A4557"/>
  </w:style>
  <w:style w:type="character" w:styleId="a3">
    <w:name w:val="Hyperlink"/>
    <w:rsid w:val="007A4557"/>
    <w:rPr>
      <w:color w:val="0000FF"/>
      <w:u w:val="single"/>
    </w:rPr>
  </w:style>
  <w:style w:type="table" w:styleId="a4">
    <w:name w:val="Table Grid"/>
    <w:basedOn w:val="a1"/>
    <w:rsid w:val="007A4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7A4557"/>
    <w:pPr>
      <w:spacing w:before="100" w:beforeAutospacing="1" w:after="100" w:afterAutospacing="1"/>
    </w:pPr>
  </w:style>
  <w:style w:type="paragraph" w:styleId="a6">
    <w:name w:val="footer"/>
    <w:basedOn w:val="a"/>
    <w:rsid w:val="007A4557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784293"/>
  </w:style>
  <w:style w:type="paragraph" w:styleId="HTML">
    <w:name w:val="HTML Preformatted"/>
    <w:basedOn w:val="a"/>
    <w:link w:val="HTML0"/>
    <w:rsid w:val="00C25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semiHidden/>
    <w:locked/>
    <w:rsid w:val="00C25216"/>
    <w:rPr>
      <w:rFonts w:ascii="Courier New" w:hAnsi="Courier New" w:cs="Courier New"/>
      <w:lang w:val="uk-UA" w:eastAsia="uk-UA" w:bidi="ar-SA"/>
    </w:rPr>
  </w:style>
  <w:style w:type="paragraph" w:customStyle="1" w:styleId="rvps2">
    <w:name w:val="rvps2"/>
    <w:basedOn w:val="a"/>
    <w:rsid w:val="00C25216"/>
    <w:pPr>
      <w:spacing w:before="100" w:beforeAutospacing="1" w:after="100" w:afterAutospacing="1"/>
    </w:pPr>
  </w:style>
  <w:style w:type="character" w:customStyle="1" w:styleId="st131">
    <w:name w:val="st131"/>
    <w:rsid w:val="00FA2BE0"/>
    <w:rPr>
      <w:i/>
      <w:iCs/>
      <w:color w:val="0000FF"/>
    </w:rPr>
  </w:style>
  <w:style w:type="paragraph" w:customStyle="1" w:styleId="rvps14">
    <w:name w:val="rvps14"/>
    <w:basedOn w:val="a"/>
    <w:rsid w:val="0018272A"/>
    <w:pPr>
      <w:spacing w:before="100" w:beforeAutospacing="1" w:after="100" w:afterAutospacing="1"/>
    </w:pPr>
  </w:style>
  <w:style w:type="paragraph" w:customStyle="1" w:styleId="rvps12">
    <w:name w:val="rvps12"/>
    <w:basedOn w:val="a"/>
    <w:rsid w:val="0018272A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8272A"/>
  </w:style>
  <w:style w:type="paragraph" w:customStyle="1" w:styleId="rvps7">
    <w:name w:val="rvps7"/>
    <w:basedOn w:val="a"/>
    <w:rsid w:val="0018272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8272A"/>
  </w:style>
  <w:style w:type="character" w:customStyle="1" w:styleId="rvts82">
    <w:name w:val="rvts82"/>
    <w:basedOn w:val="a0"/>
    <w:rsid w:val="0018272A"/>
  </w:style>
  <w:style w:type="character" w:customStyle="1" w:styleId="st46">
    <w:name w:val="st46"/>
    <w:rsid w:val="0018272A"/>
    <w:rPr>
      <w:i/>
      <w:iCs/>
      <w:color w:val="000000"/>
    </w:rPr>
  </w:style>
  <w:style w:type="paragraph" w:customStyle="1" w:styleId="a7">
    <w:name w:val="Знак Знак Знак Знак Знак Знак Знак Знак Знак Знак Знак Знак"/>
    <w:basedOn w:val="a"/>
    <w:rsid w:val="00377E0A"/>
    <w:rPr>
      <w:rFonts w:ascii="Verdana" w:hAnsi="Verdana" w:cs="Verdana"/>
      <w:sz w:val="20"/>
      <w:szCs w:val="20"/>
      <w:lang w:val="en-US" w:eastAsia="en-US"/>
    </w:rPr>
  </w:style>
  <w:style w:type="character" w:customStyle="1" w:styleId="rvts37">
    <w:name w:val="rvts37"/>
    <w:basedOn w:val="a0"/>
    <w:rsid w:val="00377E0A"/>
  </w:style>
  <w:style w:type="paragraph" w:customStyle="1" w:styleId="a8">
    <w:name w:val="Знак"/>
    <w:basedOn w:val="a"/>
    <w:rsid w:val="00E9522E"/>
    <w:rPr>
      <w:rFonts w:ascii="Verdana" w:hAnsi="Verdana" w:cs="Verdana"/>
      <w:sz w:val="20"/>
      <w:szCs w:val="20"/>
      <w:lang w:val="en-US" w:eastAsia="en-US"/>
    </w:rPr>
  </w:style>
  <w:style w:type="character" w:customStyle="1" w:styleId="rvts46">
    <w:name w:val="rvts46"/>
    <w:basedOn w:val="a0"/>
    <w:rsid w:val="0052545E"/>
  </w:style>
  <w:style w:type="character" w:customStyle="1" w:styleId="rvts11">
    <w:name w:val="rvts11"/>
    <w:basedOn w:val="a0"/>
    <w:rsid w:val="0052545E"/>
  </w:style>
  <w:style w:type="paragraph" w:customStyle="1" w:styleId="mcntrvps2">
    <w:name w:val="mcntrvps2"/>
    <w:basedOn w:val="a"/>
    <w:rsid w:val="00140330"/>
    <w:pPr>
      <w:spacing w:before="100" w:beforeAutospacing="1" w:after="100" w:afterAutospacing="1"/>
    </w:pPr>
    <w:rPr>
      <w:rFonts w:eastAsia="Calibri"/>
    </w:rPr>
  </w:style>
  <w:style w:type="character" w:customStyle="1" w:styleId="mcntrvts0">
    <w:name w:val="mcntrvts0"/>
    <w:rsid w:val="00140330"/>
    <w:rPr>
      <w:rFonts w:cs="Times New Roman"/>
    </w:rPr>
  </w:style>
  <w:style w:type="paragraph" w:customStyle="1" w:styleId="1">
    <w:name w:val="Абзац списку1"/>
    <w:basedOn w:val="a"/>
    <w:rsid w:val="00140330"/>
    <w:pPr>
      <w:ind w:left="720"/>
      <w:contextualSpacing/>
    </w:pPr>
    <w:rPr>
      <w:rFonts w:eastAsia="Calibri"/>
      <w:lang w:val="ru-RU" w:eastAsia="ru-RU"/>
    </w:rPr>
  </w:style>
  <w:style w:type="paragraph" w:customStyle="1" w:styleId="ListParagraph1">
    <w:name w:val="List Paragraph1"/>
    <w:basedOn w:val="a"/>
    <w:rsid w:val="0039662F"/>
    <w:pPr>
      <w:ind w:left="720"/>
      <w:contextualSpacing/>
    </w:pPr>
    <w:rPr>
      <w:lang w:val="ru-RU" w:eastAsia="ru-RU"/>
    </w:rPr>
  </w:style>
  <w:style w:type="paragraph" w:styleId="a9">
    <w:name w:val="header"/>
    <w:basedOn w:val="a"/>
    <w:link w:val="aa"/>
    <w:uiPriority w:val="99"/>
    <w:rsid w:val="005B110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rsid w:val="005B1106"/>
    <w:rPr>
      <w:sz w:val="24"/>
      <w:szCs w:val="24"/>
    </w:rPr>
  </w:style>
  <w:style w:type="character" w:customStyle="1" w:styleId="spanrvts0">
    <w:name w:val="span_rvts0"/>
    <w:rsid w:val="0061123C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arvts99">
    <w:name w:val="a_rvts99"/>
    <w:rsid w:val="0061123C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rsid w:val="00572F7B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table" w:customStyle="1" w:styleId="articletable">
    <w:name w:val="article_table"/>
    <w:basedOn w:val="a1"/>
    <w:rsid w:val="00572F7B"/>
    <w:rPr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s.nssmc.gov.ua/log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smc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5720</Words>
  <Characters>3261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комісія з цінних паперів та фондового ринку</vt:lpstr>
      <vt:lpstr>Національна комісія з цінних паперів та фондового ринку</vt:lpstr>
    </vt:vector>
  </TitlesOfParts>
  <Company>SSMSC</Company>
  <LinksUpToDate>false</LinksUpToDate>
  <CharactersWithSpaces>8964</CharactersWithSpaces>
  <SharedDoc>false</SharedDoc>
  <HLinks>
    <vt:vector size="24" baseType="variant">
      <vt:variant>
        <vt:i4>917598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n608</vt:lpwstr>
      </vt:variant>
      <vt:variant>
        <vt:i4>131162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n644</vt:lpwstr>
      </vt:variant>
      <vt:variant>
        <vt:i4>2162808</vt:i4>
      </vt:variant>
      <vt:variant>
        <vt:i4>3</vt:i4>
      </vt:variant>
      <vt:variant>
        <vt:i4>0</vt:i4>
      </vt:variant>
      <vt:variant>
        <vt:i4>5</vt:i4>
      </vt:variant>
      <vt:variant>
        <vt:lpwstr>https://services.nssmc.gov.ua/login</vt:lpwstr>
      </vt:variant>
      <vt:variant>
        <vt:lpwstr/>
      </vt:variant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https://www.nssmc.gov.ua/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комісія з цінних паперів та фондового ринку</dc:title>
  <dc:subject/>
  <dc:creator>olena.hirchenko</dc:creator>
  <cp:keywords/>
  <cp:lastModifiedBy>Admin</cp:lastModifiedBy>
  <cp:revision>2</cp:revision>
  <cp:lastPrinted>2018-08-13T10:30:00Z</cp:lastPrinted>
  <dcterms:created xsi:type="dcterms:W3CDTF">2026-06-04T09:48:00Z</dcterms:created>
  <dcterms:modified xsi:type="dcterms:W3CDTF">2026-06-04T09:48:00Z</dcterms:modified>
</cp:coreProperties>
</file>