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74" w:rsidRPr="0090485B" w:rsidRDefault="00643B74" w:rsidP="0090485B">
      <w:pPr>
        <w:widowControl w:val="0"/>
        <w:ind w:left="5103"/>
        <w:jc w:val="right"/>
        <w:rPr>
          <w:lang w:val="ru-RU"/>
        </w:rPr>
      </w:pPr>
      <w:r w:rsidRPr="004C7186">
        <w:t xml:space="preserve">Додаток </w:t>
      </w:r>
      <w:r w:rsidR="003561F4" w:rsidRPr="0090485B">
        <w:rPr>
          <w:lang w:val="ru-RU"/>
        </w:rPr>
        <w:t>64</w:t>
      </w:r>
    </w:p>
    <w:p w:rsidR="00643B74" w:rsidRPr="00DA5919" w:rsidRDefault="00643B74" w:rsidP="0090485B">
      <w:pPr>
        <w:widowControl w:val="0"/>
        <w:ind w:left="5103"/>
        <w:jc w:val="both"/>
        <w:rPr>
          <w:lang w:val="ru-RU"/>
        </w:rPr>
      </w:pPr>
      <w:r w:rsidRPr="004C7186">
        <w:t>до розпорядження Голови Національної комісії з цінних паперів та фондового ринку</w:t>
      </w:r>
      <w:r w:rsidR="00DA5919" w:rsidRPr="00DA5919">
        <w:rPr>
          <w:lang w:val="ru-RU"/>
        </w:rPr>
        <w:t xml:space="preserve"> </w:t>
      </w:r>
      <w:r w:rsidR="00DA5919">
        <w:t>від 02.06.2026 № 22/20/4398/С04</w:t>
      </w:r>
    </w:p>
    <w:p w:rsidR="00E675C9" w:rsidRPr="002B5DD6" w:rsidRDefault="00E675C9" w:rsidP="00D60CCD">
      <w:pPr>
        <w:ind w:left="4962"/>
        <w:jc w:val="both"/>
      </w:pPr>
    </w:p>
    <w:p w:rsidR="003B65F1" w:rsidRPr="002B5DD6" w:rsidRDefault="003B65F1" w:rsidP="0036708C">
      <w:pPr>
        <w:jc w:val="center"/>
        <w:rPr>
          <w:b/>
          <w:sz w:val="16"/>
          <w:szCs w:val="16"/>
          <w:vertAlign w:val="subscript"/>
        </w:rPr>
      </w:pPr>
    </w:p>
    <w:p w:rsidR="00E75851" w:rsidRPr="00BE4F91" w:rsidRDefault="00784293" w:rsidP="0036708C">
      <w:pPr>
        <w:jc w:val="center"/>
        <w:rPr>
          <w:b/>
          <w:sz w:val="28"/>
          <w:szCs w:val="28"/>
        </w:rPr>
      </w:pPr>
      <w:r w:rsidRPr="00BE4F91">
        <w:rPr>
          <w:b/>
          <w:sz w:val="28"/>
          <w:szCs w:val="28"/>
        </w:rPr>
        <w:t>ІНФОРМАЦІЙНА КАРТКА</w:t>
      </w:r>
    </w:p>
    <w:p w:rsidR="00784293" w:rsidRDefault="00E75851" w:rsidP="0036708C">
      <w:pPr>
        <w:jc w:val="center"/>
        <w:rPr>
          <w:b/>
          <w:sz w:val="28"/>
          <w:szCs w:val="28"/>
        </w:rPr>
      </w:pPr>
      <w:r w:rsidRPr="00BE4F91">
        <w:rPr>
          <w:b/>
          <w:sz w:val="28"/>
          <w:szCs w:val="28"/>
        </w:rPr>
        <w:t>адміністративної послуги</w:t>
      </w:r>
    </w:p>
    <w:p w:rsidR="00BE4F91" w:rsidRPr="002B5DD6" w:rsidRDefault="00BE4F91" w:rsidP="0036708C">
      <w:pPr>
        <w:jc w:val="center"/>
        <w:rPr>
          <w:b/>
          <w:sz w:val="16"/>
          <w:szCs w:val="16"/>
        </w:rPr>
      </w:pPr>
    </w:p>
    <w:p w:rsidR="004C7186" w:rsidRDefault="00663BA2" w:rsidP="0036708C">
      <w:pPr>
        <w:jc w:val="center"/>
        <w:rPr>
          <w:b/>
          <w:sz w:val="28"/>
          <w:szCs w:val="28"/>
        </w:rPr>
      </w:pPr>
      <w:r w:rsidRPr="00BE4F91">
        <w:rPr>
          <w:b/>
          <w:sz w:val="28"/>
          <w:szCs w:val="28"/>
        </w:rPr>
        <w:t>«</w:t>
      </w:r>
      <w:r w:rsidR="0051036E" w:rsidRPr="00BE4F91">
        <w:rPr>
          <w:b/>
          <w:sz w:val="28"/>
          <w:szCs w:val="28"/>
        </w:rPr>
        <w:t xml:space="preserve">Включення недержавного пенсійного фонду до реєстру </w:t>
      </w:r>
    </w:p>
    <w:p w:rsidR="00E75851" w:rsidRPr="00BE4F91" w:rsidRDefault="0051036E" w:rsidP="0036708C">
      <w:pPr>
        <w:jc w:val="center"/>
        <w:rPr>
          <w:b/>
          <w:sz w:val="28"/>
          <w:szCs w:val="28"/>
        </w:rPr>
      </w:pPr>
      <w:r w:rsidRPr="00BE4F91">
        <w:rPr>
          <w:b/>
          <w:sz w:val="28"/>
          <w:szCs w:val="28"/>
        </w:rPr>
        <w:t>недержавних пенсійних фондів</w:t>
      </w:r>
      <w:r w:rsidR="00663BA2" w:rsidRPr="00BE4F91">
        <w:rPr>
          <w:b/>
          <w:sz w:val="28"/>
          <w:szCs w:val="28"/>
        </w:rPr>
        <w:t>»</w:t>
      </w:r>
    </w:p>
    <w:p w:rsidR="008E62B7" w:rsidRPr="00522946" w:rsidRDefault="008E62B7" w:rsidP="0036708C">
      <w:pPr>
        <w:jc w:val="both"/>
        <w:rPr>
          <w:b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2234"/>
        <w:gridCol w:w="6924"/>
      </w:tblGrid>
      <w:tr w:rsidR="0031153F" w:rsidRPr="00DF3340" w:rsidTr="004C7186">
        <w:trPr>
          <w:trHeight w:val="4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F" w:rsidRPr="00DF3340" w:rsidRDefault="0031153F" w:rsidP="003B65F1">
            <w:pPr>
              <w:jc w:val="center"/>
            </w:pPr>
            <w:r w:rsidRPr="00DF3340">
              <w:rPr>
                <w:b/>
              </w:rPr>
              <w:t>Інформація про суб’єкта надання адміністративної послуги</w:t>
            </w:r>
          </w:p>
        </w:tc>
      </w:tr>
      <w:tr w:rsidR="0031153F" w:rsidRPr="00DF3340" w:rsidTr="004C718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3B65F1">
            <w:pPr>
              <w:jc w:val="both"/>
            </w:pPr>
            <w:r w:rsidRPr="00DF3340">
              <w:t>1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</w:pPr>
            <w:r w:rsidRPr="00DF3340">
              <w:t>Найменування суб’єкта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  <w:rPr>
                <w:shd w:val="clear" w:color="auto" w:fill="FFFFFF"/>
                <w:lang w:eastAsia="ru-RU"/>
              </w:rPr>
            </w:pPr>
            <w:r w:rsidRPr="00DF3340">
              <w:rPr>
                <w:shd w:val="clear" w:color="auto" w:fill="FFFFFF"/>
                <w:lang w:eastAsia="ru-RU"/>
              </w:rPr>
              <w:t>Національна комісія з цінних паперів та фондового ринку</w:t>
            </w:r>
          </w:p>
          <w:p w:rsidR="00D733AD" w:rsidRPr="00BE4F91" w:rsidRDefault="00D733AD" w:rsidP="00DF3340">
            <w:pPr>
              <w:jc w:val="both"/>
            </w:pPr>
          </w:p>
        </w:tc>
      </w:tr>
      <w:tr w:rsidR="0031153F" w:rsidRPr="00DF3340" w:rsidTr="004C718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3B65F1">
            <w:pPr>
              <w:jc w:val="both"/>
            </w:pPr>
            <w:r w:rsidRPr="00DF3340">
              <w:t>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</w:pPr>
            <w:r w:rsidRPr="00DF3340">
              <w:t>Місцезнаходження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D" w:rsidRPr="00BE4F91" w:rsidRDefault="0031153F" w:rsidP="00DF3340">
            <w:pPr>
              <w:jc w:val="both"/>
            </w:pPr>
            <w:smartTag w:uri="urn:schemas-microsoft-com:office:smarttags" w:element="metricconverter">
              <w:smartTagPr>
                <w:attr w:name="ProductID" w:val="01010, м"/>
              </w:smartTagPr>
              <w:r w:rsidRPr="00DF3340">
                <w:t>01010, м</w:t>
              </w:r>
            </w:smartTag>
            <w:r w:rsidRPr="00DF3340">
              <w:t xml:space="preserve">. Київ, вул. </w:t>
            </w:r>
            <w:r w:rsidR="00C77951">
              <w:t>Князів Острозьких</w:t>
            </w:r>
            <w:r w:rsidRPr="00DF3340">
              <w:t>, 8, корп. 30</w:t>
            </w:r>
          </w:p>
        </w:tc>
      </w:tr>
      <w:tr w:rsidR="0031153F" w:rsidRPr="00DF3340" w:rsidTr="004C718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3B65F1">
            <w:pPr>
              <w:jc w:val="both"/>
            </w:pPr>
            <w:r w:rsidRPr="00DF3340">
              <w:t>3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</w:pPr>
            <w:r w:rsidRPr="00DF3340">
              <w:t xml:space="preserve">Режим роботи 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</w:pPr>
            <w:r w:rsidRPr="00DF3340">
              <w:t xml:space="preserve">Понеділок – четвер з 9:00 до 18:00; </w:t>
            </w:r>
          </w:p>
          <w:p w:rsidR="0031153F" w:rsidRPr="00DF3340" w:rsidRDefault="0031153F" w:rsidP="00DF3340">
            <w:pPr>
              <w:jc w:val="both"/>
            </w:pPr>
            <w:r w:rsidRPr="00DF3340">
              <w:t>п’ятниця з 9:00 до 16:45;</w:t>
            </w:r>
          </w:p>
          <w:p w:rsidR="0031153F" w:rsidRPr="00DF3340" w:rsidRDefault="0031153F" w:rsidP="00DF3340">
            <w:pPr>
              <w:jc w:val="both"/>
            </w:pPr>
            <w:r w:rsidRPr="00DF3340">
              <w:t>обідня перерва з 13:00 до 13:45 </w:t>
            </w:r>
          </w:p>
        </w:tc>
      </w:tr>
      <w:tr w:rsidR="00643B74" w:rsidRPr="00DF3340" w:rsidTr="004C718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74" w:rsidRPr="00DF3340" w:rsidRDefault="00643B74" w:rsidP="00643B74">
            <w:pPr>
              <w:jc w:val="both"/>
            </w:pPr>
            <w:r w:rsidRPr="00DF3340">
              <w:t>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74" w:rsidRPr="00522946" w:rsidRDefault="00643B74" w:rsidP="00643B74">
            <w:pPr>
              <w:jc w:val="both"/>
              <w:rPr>
                <w:highlight w:val="yellow"/>
              </w:rPr>
            </w:pPr>
            <w:r w:rsidRPr="00271125">
              <w:t xml:space="preserve">Телефон/факс (довідки), адреса електронної пошти та </w:t>
            </w:r>
            <w:r w:rsidRPr="00271125">
              <w:rPr>
                <w:rStyle w:val="spelle"/>
              </w:rPr>
              <w:t>веб-сайт</w:t>
            </w:r>
            <w:r w:rsidRPr="00271125">
              <w:t xml:space="preserve"> 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74" w:rsidRDefault="00643B74" w:rsidP="00643B74">
            <w:pPr>
              <w:contextualSpacing/>
            </w:pPr>
            <w:r>
              <w:t xml:space="preserve">Телефон: (044) </w:t>
            </w:r>
            <w:r w:rsidRPr="005C7FC7">
              <w:t>280-85-95</w:t>
            </w:r>
          </w:p>
          <w:p w:rsidR="00643B74" w:rsidRDefault="00643B74" w:rsidP="00643B74">
            <w:pPr>
              <w:contextualSpacing/>
            </w:pPr>
            <w:r>
              <w:t xml:space="preserve">Вебсайт: </w:t>
            </w:r>
            <w:hyperlink r:id="rId8" w:history="1">
              <w:r>
                <w:rPr>
                  <w:rStyle w:val="a3"/>
                </w:rPr>
                <w:t>https://www.nssmc.gov.ua/</w:t>
              </w:r>
            </w:hyperlink>
          </w:p>
          <w:p w:rsidR="00643B74" w:rsidRPr="00523932" w:rsidRDefault="00643B74" w:rsidP="00643B74">
            <w:r>
              <w:t xml:space="preserve">Засоби комплексної інформаційної системи (КІС) </w:t>
            </w:r>
            <w:hyperlink r:id="rId9" w:history="1">
              <w:r>
                <w:rPr>
                  <w:rStyle w:val="a3"/>
                </w:rPr>
                <w:t>https://services.nssmc.gov.ua</w:t>
              </w:r>
            </w:hyperlink>
          </w:p>
        </w:tc>
      </w:tr>
      <w:tr w:rsidR="0031153F" w:rsidRPr="00DF3340" w:rsidTr="004C7186">
        <w:trPr>
          <w:trHeight w:val="4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F" w:rsidRPr="00DF3340" w:rsidRDefault="0031153F" w:rsidP="003B65F1">
            <w:pPr>
              <w:jc w:val="center"/>
              <w:rPr>
                <w:b/>
              </w:rPr>
            </w:pPr>
            <w:r w:rsidRPr="00DF3340">
              <w:rPr>
                <w:b/>
                <w:shd w:val="clear" w:color="auto" w:fill="FFFFFF"/>
              </w:rPr>
              <w:t>Нормативні акти, якими регламентується надання адміністративної послуги</w:t>
            </w:r>
          </w:p>
        </w:tc>
      </w:tr>
      <w:tr w:rsidR="0031153F" w:rsidRPr="00DF3340" w:rsidTr="004C718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3B65F1">
            <w:pPr>
              <w:jc w:val="both"/>
            </w:pPr>
            <w:r w:rsidRPr="00DF3340">
              <w:t>5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</w:pPr>
            <w:r w:rsidRPr="00DF3340">
              <w:t>Закони України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CD" w:rsidRDefault="00D60CCD" w:rsidP="00E675C9">
            <w:pPr>
              <w:pStyle w:val="a5"/>
              <w:spacing w:before="0" w:beforeAutospacing="0" w:after="0" w:afterAutospacing="0"/>
              <w:ind w:firstLine="106"/>
              <w:jc w:val="both"/>
            </w:pPr>
            <w:r>
              <w:t>Закон України «Про державне регулювання ринків капіталу та організованих товарних ринків»;</w:t>
            </w:r>
          </w:p>
          <w:p w:rsidR="00D60CCD" w:rsidRDefault="00D60CCD" w:rsidP="00E675C9">
            <w:pPr>
              <w:pStyle w:val="a5"/>
              <w:spacing w:before="0" w:beforeAutospacing="0" w:after="0" w:afterAutospacing="0"/>
              <w:ind w:firstLine="106"/>
              <w:jc w:val="both"/>
            </w:pPr>
            <w:r>
              <w:t>Закон України «Про адміністративну процедуру»;</w:t>
            </w:r>
          </w:p>
          <w:p w:rsidR="00D733AD" w:rsidRPr="00DF3340" w:rsidRDefault="00D60CCD" w:rsidP="00E675C9">
            <w:pPr>
              <w:pStyle w:val="a5"/>
              <w:spacing w:before="0" w:beforeAutospacing="0" w:after="0" w:afterAutospacing="0"/>
              <w:ind w:firstLine="106"/>
              <w:jc w:val="both"/>
            </w:pPr>
            <w:r>
              <w:t>Закон України «Про недержавне пенсійне забезпечення»</w:t>
            </w:r>
          </w:p>
        </w:tc>
      </w:tr>
      <w:tr w:rsidR="00AF151D" w:rsidRPr="00DF3340" w:rsidTr="004C718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1D" w:rsidRPr="00DF3340" w:rsidRDefault="00AF151D" w:rsidP="003B65F1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1D" w:rsidRPr="00DF3340" w:rsidRDefault="00AF151D" w:rsidP="00DF3340">
            <w:pPr>
              <w:jc w:val="both"/>
            </w:pPr>
            <w:r w:rsidRPr="00AF151D">
              <w:t>Акти Кабінету Міністрів України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1D" w:rsidRPr="00AF151D" w:rsidRDefault="00AF151D" w:rsidP="00D60CCD">
            <w:pPr>
              <w:pStyle w:val="a5"/>
              <w:spacing w:before="0" w:beforeAutospacing="0" w:after="0" w:afterAutospacing="0"/>
              <w:ind w:firstLine="384"/>
              <w:jc w:val="both"/>
              <w:rPr>
                <w:lang w:val="ru-RU"/>
              </w:rPr>
            </w:pPr>
          </w:p>
        </w:tc>
      </w:tr>
      <w:tr w:rsidR="0031153F" w:rsidRPr="00DF3340" w:rsidTr="004C718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AF151D" w:rsidRDefault="00AF151D" w:rsidP="003B65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  <w:rPr>
                <w:shd w:val="clear" w:color="auto" w:fill="FFFFFF"/>
              </w:rPr>
            </w:pPr>
            <w:r w:rsidRPr="00DF3340">
              <w:rPr>
                <w:shd w:val="clear" w:color="auto" w:fill="FFFFFF"/>
              </w:rPr>
              <w:t>Нормативні документи НКЦПФР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E" w:rsidRPr="0051036E" w:rsidRDefault="0051036E" w:rsidP="00AF0CE8">
            <w:pPr>
              <w:ind w:firstLine="227"/>
              <w:jc w:val="both"/>
            </w:pPr>
            <w:r>
              <w:t>Поряд</w:t>
            </w:r>
            <w:r w:rsidRPr="0051036E">
              <w:t>о</w:t>
            </w:r>
            <w:r>
              <w:t>к</w:t>
            </w:r>
            <w:r w:rsidRPr="0051036E">
              <w:t xml:space="preserve"> ведення реєстрів учасників ринків капіталу та організованих товарних ринків</w:t>
            </w:r>
            <w:r w:rsidR="00E67D27" w:rsidRPr="00E67D27">
              <w:t>, затверджений рішенням Національної комісії з цінних папе</w:t>
            </w:r>
            <w:r>
              <w:t>рів та фондового ринку від</w:t>
            </w:r>
            <w:r>
              <w:rPr>
                <w:szCs w:val="28"/>
              </w:rPr>
              <w:t xml:space="preserve"> 26.08.2021 № 70</w:t>
            </w:r>
            <w:r w:rsidRPr="00DC3D79">
              <w:rPr>
                <w:szCs w:val="28"/>
              </w:rPr>
              <w:t>0</w:t>
            </w:r>
            <w:r w:rsidR="00B418CA">
              <w:t>, зареєстрований</w:t>
            </w:r>
            <w:r w:rsidR="00E67D27" w:rsidRPr="00E67D27">
              <w:t xml:space="preserve"> в Міністерстві юстиції України </w:t>
            </w:r>
            <w:r>
              <w:t xml:space="preserve">26.10.2021 за </w:t>
            </w:r>
            <w:r w:rsidRPr="0051036E">
              <w:t>№ 1385/37007 (далі – Порядок)</w:t>
            </w:r>
            <w:r w:rsidR="00BE4F91">
              <w:t>;</w:t>
            </w:r>
          </w:p>
          <w:p w:rsidR="00D733AD" w:rsidRDefault="00BE4F91" w:rsidP="00744B5D">
            <w:pPr>
              <w:ind w:firstLine="227"/>
              <w:jc w:val="both"/>
            </w:pPr>
            <w:r w:rsidRPr="00BE4F91">
              <w:t>Рішення Національної комісії з цінних паперів та фондового ринку від 13.06.2022 № 620 «Про затвердження Розмірів плати за реєстраційні дії щодо учасників ринків капіталу та інших осіб», зареєстроване в Міністерстві юстиції України 10.08.2022 за</w:t>
            </w:r>
            <w:r w:rsidR="003B65F1" w:rsidRPr="003B65F1">
              <w:t xml:space="preserve"> </w:t>
            </w:r>
            <w:r w:rsidR="00744B5D">
              <w:t xml:space="preserve"> </w:t>
            </w:r>
            <w:r w:rsidRPr="00BE4F91">
              <w:t>№ 909/38245</w:t>
            </w:r>
            <w:r w:rsidR="00D7754E">
              <w:t>;</w:t>
            </w:r>
          </w:p>
          <w:p w:rsidR="00D60CCD" w:rsidRPr="00DF3340" w:rsidRDefault="00D60CCD" w:rsidP="00744B5D">
            <w:pPr>
              <w:ind w:firstLine="227"/>
              <w:jc w:val="both"/>
            </w:pPr>
            <w:r>
              <w:t>Порядок надання адміністративних послуг Національною комісією з цінних паперів та фондового ринку, затверджений рішенням Національної комісії з цінних паперів та фондового ринку від 17.11.2021 № 1124, зареєстрований в Міністерстві юстиції України 03.02.2022 за № 147/37483</w:t>
            </w:r>
            <w:r w:rsidR="00AF41E3">
              <w:t>.</w:t>
            </w:r>
          </w:p>
        </w:tc>
      </w:tr>
      <w:tr w:rsidR="00AF0CE8" w:rsidRPr="00DF3340" w:rsidTr="004C718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744B5D" w:rsidRDefault="00AF0CE8" w:rsidP="003B65F1">
            <w:pPr>
              <w:jc w:val="both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DF3340" w:rsidRDefault="00AF0CE8" w:rsidP="00DF3340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Default="00AF0CE8" w:rsidP="003B65F1">
            <w:pPr>
              <w:ind w:firstLine="227"/>
              <w:jc w:val="both"/>
            </w:pPr>
            <w:r w:rsidRPr="00DF3340">
              <w:rPr>
                <w:b/>
              </w:rPr>
              <w:t>Умови отримання адміністративної послуги</w:t>
            </w:r>
          </w:p>
        </w:tc>
      </w:tr>
      <w:tr w:rsidR="00AF0CE8" w:rsidRPr="00DF3340" w:rsidTr="004C718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DF3340" w:rsidRDefault="00AF151D" w:rsidP="00AF0CE8">
            <w:pPr>
              <w:jc w:val="both"/>
            </w:pPr>
            <w:r>
              <w:t>8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DF3340" w:rsidRDefault="00AF0CE8" w:rsidP="00AF0CE8">
            <w:pPr>
              <w:jc w:val="both"/>
              <w:rPr>
                <w:shd w:val="clear" w:color="auto" w:fill="FFFFFF"/>
              </w:rPr>
            </w:pPr>
            <w:r w:rsidRPr="00DF3340">
              <w:t xml:space="preserve">Перелік документів, необхідних для отримання адміністративної </w:t>
            </w:r>
            <w:r w:rsidRPr="00DF3340">
              <w:lastRenderedPageBreak/>
              <w:t>послуги, вимоги до них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Default="00290C40" w:rsidP="00290C40">
            <w:pPr>
              <w:pStyle w:val="a5"/>
              <w:jc w:val="both"/>
              <w:rPr>
                <w:b/>
              </w:rPr>
            </w:pPr>
            <w:r w:rsidRPr="00290C40">
              <w:rPr>
                <w:b/>
              </w:rPr>
              <w:lastRenderedPageBreak/>
              <w:t xml:space="preserve">Для включення </w:t>
            </w:r>
            <w:r>
              <w:rPr>
                <w:b/>
              </w:rPr>
              <w:t>недержавного пенсійного</w:t>
            </w:r>
            <w:r w:rsidRPr="00796BBF">
              <w:rPr>
                <w:b/>
              </w:rPr>
              <w:t xml:space="preserve"> ф</w:t>
            </w:r>
            <w:r>
              <w:rPr>
                <w:b/>
              </w:rPr>
              <w:t>онду</w:t>
            </w:r>
            <w:r w:rsidRPr="00290C40">
              <w:rPr>
                <w:b/>
                <w:lang w:val="ru-RU"/>
              </w:rPr>
              <w:t xml:space="preserve"> </w:t>
            </w:r>
            <w:r w:rsidRPr="00796BBF">
              <w:rPr>
                <w:b/>
              </w:rPr>
              <w:t xml:space="preserve">(далі </w:t>
            </w:r>
            <w:r>
              <w:rPr>
                <w:b/>
              </w:rPr>
              <w:t>–</w:t>
            </w:r>
            <w:r w:rsidRPr="00796BBF">
              <w:rPr>
                <w:b/>
              </w:rPr>
              <w:t xml:space="preserve"> НПФ</w:t>
            </w:r>
            <w:r>
              <w:rPr>
                <w:b/>
              </w:rPr>
              <w:t>)</w:t>
            </w:r>
            <w:r w:rsidRPr="00290C40">
              <w:rPr>
                <w:b/>
                <w:lang w:val="ru-RU"/>
              </w:rPr>
              <w:t xml:space="preserve"> </w:t>
            </w:r>
            <w:r w:rsidRPr="00290C40">
              <w:rPr>
                <w:b/>
              </w:rPr>
              <w:t xml:space="preserve"> (далі - заявник) до </w:t>
            </w:r>
            <w:r w:rsidR="00AF41E3">
              <w:rPr>
                <w:b/>
              </w:rPr>
              <w:t>р</w:t>
            </w:r>
            <w:r w:rsidRPr="00796BBF">
              <w:rPr>
                <w:b/>
              </w:rPr>
              <w:t xml:space="preserve">еєстру недержавних пенсійних фондів (далі </w:t>
            </w:r>
            <w:r>
              <w:rPr>
                <w:b/>
              </w:rPr>
              <w:t>–</w:t>
            </w:r>
            <w:r w:rsidRPr="00796BBF">
              <w:rPr>
                <w:b/>
              </w:rPr>
              <w:t xml:space="preserve"> реєстр НПФ) </w:t>
            </w:r>
            <w:r w:rsidRPr="00290C40">
              <w:rPr>
                <w:b/>
              </w:rPr>
              <w:t xml:space="preserve"> уповноважений представник заявника подає</w:t>
            </w:r>
            <w:r w:rsidRPr="00290C40">
              <w:rPr>
                <w:b/>
                <w:lang w:val="ru-RU"/>
              </w:rPr>
              <w:t xml:space="preserve"> </w:t>
            </w:r>
            <w:r w:rsidRPr="00290C40">
              <w:rPr>
                <w:b/>
              </w:rPr>
              <w:t>(надс</w:t>
            </w:r>
            <w:r>
              <w:rPr>
                <w:b/>
              </w:rPr>
              <w:t>илає) до НКЦПФР такі документи:</w:t>
            </w:r>
          </w:p>
          <w:p w:rsidR="00AF0CE8" w:rsidRPr="00BE4F91" w:rsidRDefault="00AF0CE8" w:rsidP="00AF0CE8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>
              <w:lastRenderedPageBreak/>
              <w:t>1) заяву (додаток 1</w:t>
            </w:r>
            <w:r w:rsidRPr="003B65F1">
              <w:rPr>
                <w:lang w:val="ru-RU"/>
              </w:rPr>
              <w:t xml:space="preserve"> </w:t>
            </w:r>
            <w:r w:rsidR="00AF41E3">
              <w:rPr>
                <w:lang w:val="ru-RU"/>
              </w:rPr>
              <w:t>до Порядку</w:t>
            </w:r>
            <w:r>
              <w:t>);</w:t>
            </w:r>
          </w:p>
          <w:p w:rsidR="00AF0CE8" w:rsidRDefault="00AF0CE8" w:rsidP="00AF0CE8">
            <w:pPr>
              <w:pStyle w:val="a5"/>
              <w:spacing w:before="0" w:beforeAutospacing="0" w:after="0" w:afterAutospacing="0"/>
              <w:jc w:val="both"/>
            </w:pPr>
            <w:r>
              <w:t>2) довідку про НПФ (додаток 2</w:t>
            </w:r>
            <w:r w:rsidR="00AF41E3">
              <w:rPr>
                <w:lang w:val="ru-RU"/>
              </w:rPr>
              <w:t xml:space="preserve"> до Порядку</w:t>
            </w:r>
            <w:r>
              <w:t>);</w:t>
            </w:r>
          </w:p>
          <w:p w:rsidR="00AF0CE8" w:rsidRDefault="00AF0CE8" w:rsidP="00AF0CE8">
            <w:pPr>
              <w:pStyle w:val="a5"/>
              <w:spacing w:before="0" w:beforeAutospacing="0" w:after="0" w:afterAutospacing="0"/>
              <w:jc w:val="both"/>
            </w:pPr>
            <w:r>
              <w:t>3) анкету щодо засновника НПФ - юридичної особи (додаток 3</w:t>
            </w:r>
            <w:r w:rsidR="00AF41E3">
              <w:rPr>
                <w:lang w:val="ru-RU"/>
              </w:rPr>
              <w:t xml:space="preserve"> до Порядку</w:t>
            </w:r>
            <w:r>
              <w:t>), подається окремо за кожним таким засновником за його наявності;</w:t>
            </w:r>
          </w:p>
          <w:p w:rsidR="00AF0CE8" w:rsidRDefault="00AF0CE8" w:rsidP="00AF0CE8">
            <w:pPr>
              <w:pStyle w:val="a5"/>
              <w:spacing w:before="0" w:beforeAutospacing="0" w:after="0" w:afterAutospacing="0"/>
              <w:jc w:val="both"/>
            </w:pPr>
            <w:r>
              <w:t>4) анкету щодо засновника НПФ - фізичної особи (додаток 4</w:t>
            </w:r>
            <w:r>
              <w:rPr>
                <w:lang w:val="ru-RU"/>
              </w:rPr>
              <w:t xml:space="preserve"> до Поря</w:t>
            </w:r>
            <w:r w:rsidR="00AF41E3">
              <w:rPr>
                <w:lang w:val="ru-RU"/>
              </w:rPr>
              <w:t>дку</w:t>
            </w:r>
            <w:r>
              <w:t>), подається окремо за кожним таким засновником за його наявності;</w:t>
            </w:r>
          </w:p>
          <w:p w:rsidR="00280F25" w:rsidRDefault="00AF0CE8" w:rsidP="00280F25">
            <w:pPr>
              <w:pStyle w:val="a5"/>
              <w:spacing w:before="0" w:beforeAutospacing="0" w:after="0" w:afterAutospacing="0"/>
              <w:jc w:val="both"/>
            </w:pPr>
            <w:r w:rsidRPr="00D85771">
              <w:t>5) платіжний документ, що підтверджує внесення засновником(ами) плати за включення н</w:t>
            </w:r>
            <w:r w:rsidR="009E1DAB">
              <w:t>едержавного пенсійного фонду до реєстру НПФ</w:t>
            </w:r>
            <w:r w:rsidRPr="00D85771">
              <w:t>.</w:t>
            </w:r>
          </w:p>
          <w:p w:rsidR="00280F25" w:rsidRPr="00280F25" w:rsidRDefault="00280F25" w:rsidP="00280F25">
            <w:pPr>
              <w:pStyle w:val="a5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280F25" w:rsidRPr="00AF41E3" w:rsidRDefault="00280F25" w:rsidP="00280F25">
            <w:pPr>
              <w:pStyle w:val="a5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t>Заява та довідка про НПФ, що додається до неї, мають бути створені в електронній формі та підписані головою ради НПФ або за його дорученням уповноваженою особою з числа членів ради НПФ.</w:t>
            </w:r>
            <w:r>
              <w:cr/>
            </w:r>
          </w:p>
          <w:p w:rsidR="00280F25" w:rsidRDefault="00280F25" w:rsidP="00AF0CE8">
            <w:pPr>
              <w:jc w:val="both"/>
            </w:pPr>
            <w:r>
              <w:t xml:space="preserve">У випадку, якщо заява та довідка про НПФ, що додається до неї, підписані уповноваженою особою з числа членів ради НПФ, до такої заяви додається копія доручення голови ради НПФ на право підписання зазначених документів членом ради НПФ. </w:t>
            </w:r>
          </w:p>
          <w:p w:rsidR="00282BCF" w:rsidRPr="00AF41E3" w:rsidRDefault="00282BCF" w:rsidP="00AF0CE8">
            <w:pPr>
              <w:jc w:val="both"/>
              <w:rPr>
                <w:sz w:val="16"/>
                <w:szCs w:val="16"/>
              </w:rPr>
            </w:pPr>
          </w:p>
          <w:p w:rsidR="00AF41E3" w:rsidRDefault="00282BCF" w:rsidP="00AF0CE8">
            <w:pPr>
              <w:jc w:val="both"/>
            </w:pPr>
            <w:r>
              <w:t xml:space="preserve">НПФ включається до реєстру НПФ за таких умов: </w:t>
            </w:r>
          </w:p>
          <w:p w:rsidR="00282BCF" w:rsidRDefault="00282BCF" w:rsidP="00AF0CE8">
            <w:pPr>
              <w:jc w:val="both"/>
            </w:pPr>
            <w:r>
              <w:t xml:space="preserve">НПФ зареєстрований як юридична особа відповідно до Закону України «Про державну реєстрацію юридичних осіб, фізичних осіб - підприємців та громадських формувань»; </w:t>
            </w:r>
          </w:p>
          <w:p w:rsidR="00BE20C7" w:rsidRDefault="00282BCF" w:rsidP="00BE20C7">
            <w:pPr>
              <w:jc w:val="both"/>
              <w:rPr>
                <w:color w:val="000000"/>
              </w:rPr>
            </w:pPr>
            <w:r w:rsidRPr="00282BCF">
              <w:rPr>
                <w:color w:val="000000"/>
              </w:rPr>
              <w:t>статут та склад ради НПФ погоджені НКЦПФР у встановленому нею порядку</w:t>
            </w:r>
            <w:bookmarkStart w:id="0" w:name="643"/>
            <w:r w:rsidRPr="00282BCF">
              <w:rPr>
                <w:color w:val="000000"/>
              </w:rPr>
              <w:t>.</w:t>
            </w:r>
            <w:bookmarkEnd w:id="0"/>
          </w:p>
          <w:p w:rsidR="00BE20C7" w:rsidRDefault="00BE20C7" w:rsidP="00BE20C7">
            <w:pPr>
              <w:jc w:val="both"/>
              <w:rPr>
                <w:color w:val="000000"/>
              </w:rPr>
            </w:pPr>
          </w:p>
          <w:p w:rsidR="00DB0998" w:rsidRDefault="00BE20C7" w:rsidP="00BE20C7">
            <w:pPr>
              <w:jc w:val="both"/>
            </w:pPr>
            <w:r>
              <w:t>Подання НПФ (далі - заявник) до НКЦПФР та відправлення НКЦПФР заявнику документів, передбачених Порядком, здійснюється в електронній формі з урахуванням вимог законодавства про електронні документи та електронний документообіг офіційним каналом зв'язку засобами, визначеними окремим документом нормативно-технічного характеру, інформація про які оприлюднена на офіційному вебсайті НКЦПФР, відповідно до вимог Порядку.</w:t>
            </w:r>
          </w:p>
          <w:p w:rsidR="00DB0998" w:rsidRDefault="00DB0998" w:rsidP="00DB0998">
            <w:pPr>
              <w:pStyle w:val="rvps2"/>
              <w:jc w:val="both"/>
            </w:pPr>
            <w:r>
              <w:t>У пакеті документів, подання яких до НКЦПФР передбачено Розділом</w:t>
            </w:r>
            <w:r w:rsidRPr="00AE4209">
              <w:t xml:space="preserve"> </w:t>
            </w:r>
            <w:r>
              <w:rPr>
                <w:lang w:val="en-US"/>
              </w:rPr>
              <w:t>III</w:t>
            </w:r>
            <w:r>
              <w:t xml:space="preserve"> Порядку, кожний документ має бути окремим файлом у форматі Portable Document Format/ A (формат специфікації PDF 1.4 ISO 19005-1:2005) - PDF/ A, Rich Text Format - RTF, Excel (.xlsx), Word (.doc), Word (.docx) із застосуванням кваліфікованого електронного підпису або удосконаленого електронного підпису, що базується на кваліфікованому сертифікаті електронного підпису уповноваженої особи заявника, на кожному окремому електронному документі.</w:t>
            </w:r>
          </w:p>
          <w:p w:rsidR="00BE20C7" w:rsidRDefault="00DB0998" w:rsidP="00AF0CE8">
            <w:pPr>
              <w:jc w:val="both"/>
            </w:pPr>
            <w:r>
              <w:t xml:space="preserve">У пакеті документів, подання яких до НКЦПФР передбачено Порядком, кожний документ, створений в електронній формі або створений як електронна копія паперового документа (сканкопія), має бути окремим файлом у текстовому форматі, вид </w:t>
            </w:r>
            <w:r>
              <w:lastRenderedPageBreak/>
              <w:t>якого обирається заявником самостійно, якщо інше не встановлено Порядком, із застосуванням кваліфікованого електронного підпису або удосконаленого електронного підпису, що базується на кваліфікованому сертифікаті електронного підпису уповноваженої особи заявника.</w:t>
            </w:r>
          </w:p>
        </w:tc>
      </w:tr>
      <w:tr w:rsidR="00AF0CE8" w:rsidRPr="00DF3340" w:rsidTr="004C718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DF3340" w:rsidRDefault="00AF151D" w:rsidP="00AF0CE8">
            <w:pPr>
              <w:jc w:val="both"/>
            </w:pPr>
            <w:r>
              <w:lastRenderedPageBreak/>
              <w:t>9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DF3340" w:rsidRDefault="00AF0CE8" w:rsidP="00AF0CE8">
            <w:pPr>
              <w:jc w:val="both"/>
            </w:pPr>
            <w:r w:rsidRPr="00DF3340">
              <w:t>Платність (безоплатність) надання адміністративної послуги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Default="00AF0CE8" w:rsidP="00AF0CE8">
            <w:pPr>
              <w:jc w:val="both"/>
            </w:pPr>
            <w:r w:rsidRPr="006C6C77">
              <w:t>Платна. 7 000 грн.</w:t>
            </w:r>
          </w:p>
          <w:p w:rsidR="00AF0CE8" w:rsidRPr="00DF3340" w:rsidRDefault="00AF0CE8" w:rsidP="00AF0CE8">
            <w:pPr>
              <w:jc w:val="both"/>
            </w:pPr>
            <w:r w:rsidRPr="006C6C77">
              <w:t>Оплата здійснюється за кодом бюджетної класифікації 22012500</w:t>
            </w:r>
            <w:r>
              <w:t>.</w:t>
            </w:r>
          </w:p>
        </w:tc>
      </w:tr>
      <w:tr w:rsidR="00AF0CE8" w:rsidRPr="00DF3340" w:rsidTr="004C718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DF3340" w:rsidRDefault="00AF151D" w:rsidP="00AF0CE8">
            <w:pPr>
              <w:jc w:val="both"/>
            </w:pPr>
            <w:r>
              <w:t>10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DF3340" w:rsidRDefault="00AF0CE8" w:rsidP="00AF0CE8">
            <w:pPr>
              <w:jc w:val="both"/>
            </w:pPr>
            <w:r w:rsidRPr="00DF3340">
              <w:t>Порядок та спосіб подання документів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27" w:rsidRDefault="006F5D27" w:rsidP="006F5D27">
            <w:pPr>
              <w:pStyle w:val="rvps2"/>
              <w:jc w:val="both"/>
            </w:pPr>
            <w:r>
              <w:t>Подання НПФ (далі - заявник) до НКЦПФР та відправлення НКЦПФР заявнику докум</w:t>
            </w:r>
            <w:r w:rsidR="00AF41E3">
              <w:t>ентів, передбачених Порядком</w:t>
            </w:r>
            <w:r>
              <w:t>, здійснюється в електронній формі з урахуванням вимог законодавства про електронні документи та електронний документообіг офіційним каналом зв'язку засобами, визначеними окремим документом нормативно-технічного характеру, інформація про які оприлюднена на офіційному вебсайті Н</w:t>
            </w:r>
            <w:r w:rsidR="00AE4209">
              <w:t>КЦПФР, відповідно до вимог</w:t>
            </w:r>
            <w:r>
              <w:t xml:space="preserve"> Порядку.</w:t>
            </w:r>
          </w:p>
          <w:p w:rsidR="006F5D27" w:rsidRDefault="006F5D27" w:rsidP="006F5D27">
            <w:pPr>
              <w:pStyle w:val="rvps2"/>
              <w:jc w:val="both"/>
            </w:pPr>
            <w:r>
              <w:t xml:space="preserve">Заявник подає до НКЦПФР документи, перелік </w:t>
            </w:r>
            <w:r w:rsidR="00AE4209">
              <w:t xml:space="preserve">яких визначений пунктом 6 </w:t>
            </w:r>
            <w:r>
              <w:t>Розділу</w:t>
            </w:r>
            <w:r w:rsidR="00AE4209">
              <w:t xml:space="preserve"> </w:t>
            </w:r>
            <w:r w:rsidR="00AE4209">
              <w:rPr>
                <w:lang w:val="en-US"/>
              </w:rPr>
              <w:t>III</w:t>
            </w:r>
            <w:r w:rsidR="00AE4209" w:rsidRPr="00AE4209">
              <w:rPr>
                <w:lang w:val="ru-RU"/>
              </w:rPr>
              <w:t xml:space="preserve"> </w:t>
            </w:r>
            <w:r w:rsidR="00AE4209">
              <w:t>Порядку</w:t>
            </w:r>
            <w:r>
              <w:t>, з використанням засобу електронної пошти, адресу якої зазначено у відповідній заяві, поданої до НКЦПФР.</w:t>
            </w:r>
          </w:p>
          <w:p w:rsidR="006F5D27" w:rsidRDefault="006F5D27" w:rsidP="006F5D27">
            <w:pPr>
              <w:pStyle w:val="rvps2"/>
              <w:jc w:val="both"/>
            </w:pPr>
            <w:r>
              <w:t>У пакеті документів, подання</w:t>
            </w:r>
            <w:r w:rsidR="00AE4209">
              <w:t xml:space="preserve"> яких до НКЦПФР передбачено </w:t>
            </w:r>
            <w:r>
              <w:t>Розділом</w:t>
            </w:r>
            <w:r w:rsidR="00AE4209" w:rsidRPr="00AE4209">
              <w:t xml:space="preserve"> </w:t>
            </w:r>
            <w:r w:rsidR="00AE4209">
              <w:rPr>
                <w:lang w:val="en-US"/>
              </w:rPr>
              <w:t>III</w:t>
            </w:r>
            <w:r w:rsidR="00AF41E3">
              <w:t xml:space="preserve"> </w:t>
            </w:r>
            <w:r w:rsidR="00C900A5">
              <w:t>Порядку</w:t>
            </w:r>
            <w:r>
              <w:t>, кожний документ має бути окремим файлом у форматі Portable Document Format/ A (формат специфікації PDF 1.4 ISO 19005-1:2005) - PDF/ A, Rich Text Format - RTF, Excel (.xlsx), Word (.doc), Word (.docx) із застосуванням кваліфікованого електронного підпису або удосконаленого електронного підпису, що базується на кваліфікованому сертифікаті електронного підпису уповноваженої особи заявника, на кожному окремому електронному документі.</w:t>
            </w:r>
          </w:p>
          <w:p w:rsidR="00AF0CE8" w:rsidRPr="00DF3340" w:rsidRDefault="006F5D27" w:rsidP="006F5D27">
            <w:pPr>
              <w:pStyle w:val="rvps2"/>
              <w:jc w:val="both"/>
            </w:pPr>
            <w:r>
              <w:t>У пакеті документів, подання</w:t>
            </w:r>
            <w:r w:rsidR="00AE4209">
              <w:t xml:space="preserve"> яких до НКЦПФР передбачено </w:t>
            </w:r>
            <w:r>
              <w:t>Порядком, кожний документ, створений в електронній формі або створений як електронна копія паперового документа (сканкопія), має бути окремим файлом у текстовому форматі, вид якого обирається заявником самостійно, я</w:t>
            </w:r>
            <w:r w:rsidR="00AE4209">
              <w:t xml:space="preserve">кщо інше не встановлено </w:t>
            </w:r>
            <w:r>
              <w:t>Порядком, із застосуванням кваліфікованого електронного підпису або удосконаленого електронного підпису, що базується на кваліфікованому сертифікаті електронного підпису уповноваженої особи заявника.</w:t>
            </w:r>
          </w:p>
        </w:tc>
      </w:tr>
      <w:tr w:rsidR="00AF0CE8" w:rsidRPr="00DF3340" w:rsidTr="004C718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AB1E81" w:rsidRDefault="00AF0CE8" w:rsidP="00AF0CE8">
            <w:pPr>
              <w:jc w:val="both"/>
              <w:rPr>
                <w:lang w:val="en-US"/>
              </w:rPr>
            </w:pPr>
            <w:r>
              <w:t>1</w:t>
            </w:r>
            <w:r w:rsidR="00AF151D">
              <w:rPr>
                <w:lang w:val="en-US"/>
              </w:rPr>
              <w:t>1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DF3340" w:rsidRDefault="00AF0CE8" w:rsidP="00AF0CE8">
            <w:pPr>
              <w:jc w:val="both"/>
            </w:pPr>
            <w:r w:rsidRPr="00DF3340">
              <w:t>Строк надання адміністративної послуги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DF3340" w:rsidRDefault="00454CAC" w:rsidP="00454CAC">
            <w:pPr>
              <w:jc w:val="both"/>
              <w:rPr>
                <w:rStyle w:val="rvts0"/>
              </w:rPr>
            </w:pPr>
            <w:r>
              <w:t xml:space="preserve">НКЦПФР приймає постанову про включення НПФ до реєстру НПФ або про відмову у включенні до зазначеного реєстру протягом 30 календарних днів з дня подання документів, визначених пунктом 6 Розділу </w:t>
            </w:r>
            <w:r>
              <w:rPr>
                <w:lang w:val="en-US"/>
              </w:rPr>
              <w:t>III</w:t>
            </w:r>
            <w:r w:rsidR="00595429">
              <w:t xml:space="preserve"> Порядку</w:t>
            </w:r>
            <w:r>
              <w:t>.</w:t>
            </w:r>
          </w:p>
        </w:tc>
      </w:tr>
      <w:tr w:rsidR="00AF0CE8" w:rsidRPr="00DF3340" w:rsidTr="004C7186">
        <w:trPr>
          <w:trHeight w:val="276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DF3340" w:rsidRDefault="00AF0CE8" w:rsidP="00AF0CE8">
            <w:pPr>
              <w:jc w:val="both"/>
            </w:pPr>
            <w:r>
              <w:t>1</w:t>
            </w:r>
            <w:r w:rsidR="00AF151D">
              <w:t>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DF3340" w:rsidRDefault="00AF0CE8" w:rsidP="00AF0CE8">
            <w:pPr>
              <w:jc w:val="both"/>
            </w:pPr>
            <w:r w:rsidRPr="00DF3340">
              <w:t>Результат надання адміністративної послуги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A45D16" w:rsidRDefault="00AF0CE8" w:rsidP="00AF0CE8">
            <w:pPr>
              <w:jc w:val="both"/>
              <w:rPr>
                <w:lang w:val="ru-RU"/>
              </w:rPr>
            </w:pPr>
            <w:r w:rsidRPr="00A45D16">
              <w:t>Включення недержавного пенсійного фонду до реєстру недержавних пенсійних фондів</w:t>
            </w:r>
            <w:r w:rsidRPr="00A45D16">
              <w:rPr>
                <w:lang w:val="ru-RU"/>
              </w:rPr>
              <w:t>.</w:t>
            </w:r>
          </w:p>
          <w:p w:rsidR="00AF0CE8" w:rsidRPr="00A45D16" w:rsidRDefault="00AF0CE8" w:rsidP="00AF0CE8">
            <w:pPr>
              <w:jc w:val="both"/>
              <w:rPr>
                <w:lang w:val="ru-RU"/>
              </w:rPr>
            </w:pPr>
          </w:p>
        </w:tc>
      </w:tr>
      <w:tr w:rsidR="00AF0CE8" w:rsidRPr="00DF3340" w:rsidTr="004C718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DF3340" w:rsidRDefault="00AF0CE8" w:rsidP="00AF0CE8">
            <w:pPr>
              <w:jc w:val="both"/>
            </w:pPr>
            <w:r w:rsidRPr="00DF3340">
              <w:lastRenderedPageBreak/>
              <w:t>1</w:t>
            </w:r>
            <w:r w:rsidR="00AF151D">
              <w:t>3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DF3340" w:rsidRDefault="00AF0CE8" w:rsidP="00AF0CE8">
            <w:pPr>
              <w:jc w:val="both"/>
            </w:pPr>
            <w:r w:rsidRPr="00DF3340">
              <w:t>Способи отримання відповіді (результату)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8" w:rsidRPr="00DF3340" w:rsidRDefault="003754CE" w:rsidP="002B5DD6">
            <w:pPr>
              <w:jc w:val="both"/>
            </w:pPr>
            <w:r w:rsidRPr="003754CE">
              <w:rPr>
                <w:color w:val="000000"/>
              </w:rPr>
              <w:t>Письмове повідомлення, про прийняття постанови про включення/відмову у включенні до реєстру НПФ (з доданням копії відповідної постанови) надсилається заявникові протягом п'яти робочих днів з дати її прийняття (підписується керівником структурного підрозділу НКЦПФР, що здійснює розгляд заяви та відповідних документів) офіційним каналом зв'язку в електронній формі.</w:t>
            </w:r>
          </w:p>
        </w:tc>
      </w:tr>
    </w:tbl>
    <w:p w:rsidR="0031153F" w:rsidRPr="00DF3340" w:rsidRDefault="0031153F" w:rsidP="00DF3340">
      <w:pPr>
        <w:jc w:val="both"/>
      </w:pPr>
    </w:p>
    <w:p w:rsidR="00643B74" w:rsidRDefault="00643B74" w:rsidP="00643B74">
      <w:pPr>
        <w:jc w:val="both"/>
      </w:pPr>
      <w:r>
        <w:t xml:space="preserve">Примітки: </w:t>
      </w:r>
    </w:p>
    <w:p w:rsidR="00643B74" w:rsidRDefault="00643B74" w:rsidP="00643B74">
      <w:pPr>
        <w:jc w:val="both"/>
      </w:pPr>
      <w:r>
        <w:t>Права та обов’язки заявника визначені в статті 28 Закону України «Про адміністративну процедуру».</w:t>
      </w:r>
    </w:p>
    <w:p w:rsidR="00643B74" w:rsidRDefault="00643B74" w:rsidP="00643B74">
      <w:pPr>
        <w:jc w:val="both"/>
      </w:pPr>
      <w:r>
        <w:t>За письмовим запитом заявник має можливість ознайомитися з матеріалами справи в порядку та у строки, встановлені статтею 51 Закону України «Про адміністративну процедуру».</w:t>
      </w:r>
    </w:p>
    <w:p w:rsidR="00643B74" w:rsidRDefault="00643B74" w:rsidP="00643B74">
      <w:pPr>
        <w:jc w:val="both"/>
      </w:pPr>
      <w:r>
        <w:t xml:space="preserve">На будь-якому етапі адміністративного провадження до моменту прийняття адміністративного акту, заявником можуть бути подані до НКЦПФР пояснення та/або зауваження у справі у спосіб, визначений статтею 54 Закону України «Про адміністративну процедуру». </w:t>
      </w:r>
    </w:p>
    <w:p w:rsidR="00643B74" w:rsidRDefault="00643B74" w:rsidP="00643B74">
      <w:pPr>
        <w:pStyle w:val="a5"/>
        <w:spacing w:before="0" w:beforeAutospacing="0" w:after="0" w:afterAutospacing="0"/>
        <w:jc w:val="both"/>
      </w:pPr>
      <w:r>
        <w:t>Результати надання адміністративної послуги можуть бути оскаржені до суду в порядку, встановленому законом</w:t>
      </w:r>
    </w:p>
    <w:p w:rsidR="00643B74" w:rsidRDefault="00643B74" w:rsidP="00643B74">
      <w:pPr>
        <w:pStyle w:val="a5"/>
        <w:spacing w:before="0" w:beforeAutospacing="0" w:after="0" w:afterAutospacing="0"/>
        <w:jc w:val="both"/>
      </w:pPr>
    </w:p>
    <w:p w:rsidR="00643B74" w:rsidRDefault="00643B74" w:rsidP="00643B74">
      <w:pPr>
        <w:pStyle w:val="a5"/>
        <w:spacing w:before="0" w:beforeAutospacing="0" w:after="0" w:afterAutospacing="0"/>
        <w:jc w:val="both"/>
      </w:pPr>
    </w:p>
    <w:p w:rsidR="00473DA2" w:rsidRPr="005F2258" w:rsidRDefault="00473DA2" w:rsidP="004C7186">
      <w:pPr>
        <w:jc w:val="both"/>
        <w:rPr>
          <w:b/>
        </w:rPr>
      </w:pPr>
      <w:bookmarkStart w:id="1" w:name="_GoBack"/>
      <w:bookmarkEnd w:id="1"/>
    </w:p>
    <w:sectPr w:rsidR="00473DA2" w:rsidRPr="005F2258" w:rsidSect="003561F4">
      <w:headerReference w:type="default" r:id="rId10"/>
      <w:pgSz w:w="11906" w:h="16838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02B" w:rsidRDefault="0055702B" w:rsidP="001322FA">
      <w:r>
        <w:separator/>
      </w:r>
    </w:p>
  </w:endnote>
  <w:endnote w:type="continuationSeparator" w:id="0">
    <w:p w:rsidR="0055702B" w:rsidRDefault="0055702B" w:rsidP="0013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02B" w:rsidRDefault="0055702B" w:rsidP="001322FA">
      <w:r>
        <w:separator/>
      </w:r>
    </w:p>
  </w:footnote>
  <w:footnote w:type="continuationSeparator" w:id="0">
    <w:p w:rsidR="0055702B" w:rsidRDefault="0055702B" w:rsidP="00132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FA" w:rsidRDefault="001322F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A5919">
      <w:rPr>
        <w:noProof/>
      </w:rPr>
      <w:t>4</w:t>
    </w:r>
    <w:r>
      <w:fldChar w:fldCharType="end"/>
    </w:r>
  </w:p>
  <w:p w:rsidR="001322FA" w:rsidRDefault="001322F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27EF4"/>
    <w:multiLevelType w:val="hybridMultilevel"/>
    <w:tmpl w:val="C32846B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57"/>
    <w:rsid w:val="00004AAA"/>
    <w:rsid w:val="00010732"/>
    <w:rsid w:val="000349E5"/>
    <w:rsid w:val="00060C12"/>
    <w:rsid w:val="00065EDE"/>
    <w:rsid w:val="00087A75"/>
    <w:rsid w:val="00091720"/>
    <w:rsid w:val="000A3BD5"/>
    <w:rsid w:val="000C2857"/>
    <w:rsid w:val="000D6ABF"/>
    <w:rsid w:val="000F2D4A"/>
    <w:rsid w:val="001322FA"/>
    <w:rsid w:val="00132756"/>
    <w:rsid w:val="00151E8A"/>
    <w:rsid w:val="0018272A"/>
    <w:rsid w:val="001B4B0F"/>
    <w:rsid w:val="001D04BE"/>
    <w:rsid w:val="001D3544"/>
    <w:rsid w:val="00203B1A"/>
    <w:rsid w:val="002078FA"/>
    <w:rsid w:val="0022603C"/>
    <w:rsid w:val="00240EBB"/>
    <w:rsid w:val="00271125"/>
    <w:rsid w:val="002711C1"/>
    <w:rsid w:val="00280F25"/>
    <w:rsid w:val="00282BCF"/>
    <w:rsid w:val="00290C40"/>
    <w:rsid w:val="002B5DD6"/>
    <w:rsid w:val="002F6736"/>
    <w:rsid w:val="0031153F"/>
    <w:rsid w:val="0032052D"/>
    <w:rsid w:val="003230DA"/>
    <w:rsid w:val="00325EE3"/>
    <w:rsid w:val="003561F4"/>
    <w:rsid w:val="0036708C"/>
    <w:rsid w:val="003754CE"/>
    <w:rsid w:val="00377E0A"/>
    <w:rsid w:val="00384609"/>
    <w:rsid w:val="003A3CC7"/>
    <w:rsid w:val="003A4AF7"/>
    <w:rsid w:val="003B65F1"/>
    <w:rsid w:val="003B665F"/>
    <w:rsid w:val="003D2281"/>
    <w:rsid w:val="003E47FF"/>
    <w:rsid w:val="00454CAC"/>
    <w:rsid w:val="004560EE"/>
    <w:rsid w:val="00473DA2"/>
    <w:rsid w:val="004756E9"/>
    <w:rsid w:val="00487DB1"/>
    <w:rsid w:val="004924E6"/>
    <w:rsid w:val="004C7186"/>
    <w:rsid w:val="00504102"/>
    <w:rsid w:val="00504FD9"/>
    <w:rsid w:val="0051036E"/>
    <w:rsid w:val="00522946"/>
    <w:rsid w:val="00523932"/>
    <w:rsid w:val="00525367"/>
    <w:rsid w:val="0052545E"/>
    <w:rsid w:val="00546400"/>
    <w:rsid w:val="0055702B"/>
    <w:rsid w:val="00566EC9"/>
    <w:rsid w:val="00586273"/>
    <w:rsid w:val="005931D8"/>
    <w:rsid w:val="005934D1"/>
    <w:rsid w:val="005952A1"/>
    <w:rsid w:val="00595429"/>
    <w:rsid w:val="005970EA"/>
    <w:rsid w:val="005D2130"/>
    <w:rsid w:val="005F2258"/>
    <w:rsid w:val="0060034D"/>
    <w:rsid w:val="00635B9C"/>
    <w:rsid w:val="00643B74"/>
    <w:rsid w:val="00655A0C"/>
    <w:rsid w:val="00657905"/>
    <w:rsid w:val="006601DA"/>
    <w:rsid w:val="00663BA2"/>
    <w:rsid w:val="00663C1D"/>
    <w:rsid w:val="0066688F"/>
    <w:rsid w:val="00667569"/>
    <w:rsid w:val="00691525"/>
    <w:rsid w:val="006B1857"/>
    <w:rsid w:val="006B7E55"/>
    <w:rsid w:val="006C5034"/>
    <w:rsid w:val="006F5D27"/>
    <w:rsid w:val="00716EDA"/>
    <w:rsid w:val="00743FC3"/>
    <w:rsid w:val="00744B5D"/>
    <w:rsid w:val="0076731E"/>
    <w:rsid w:val="00770F56"/>
    <w:rsid w:val="007814DA"/>
    <w:rsid w:val="0078159B"/>
    <w:rsid w:val="00784293"/>
    <w:rsid w:val="00795B03"/>
    <w:rsid w:val="00796BBF"/>
    <w:rsid w:val="007A4557"/>
    <w:rsid w:val="007B005D"/>
    <w:rsid w:val="007B7746"/>
    <w:rsid w:val="007C7C5B"/>
    <w:rsid w:val="00821F34"/>
    <w:rsid w:val="008314DE"/>
    <w:rsid w:val="0084189C"/>
    <w:rsid w:val="0084446E"/>
    <w:rsid w:val="00845D77"/>
    <w:rsid w:val="00846BBE"/>
    <w:rsid w:val="0085232C"/>
    <w:rsid w:val="008827C5"/>
    <w:rsid w:val="0088333F"/>
    <w:rsid w:val="008A5623"/>
    <w:rsid w:val="008B0BB0"/>
    <w:rsid w:val="008B30A9"/>
    <w:rsid w:val="008D2A8F"/>
    <w:rsid w:val="008E62B7"/>
    <w:rsid w:val="0090058F"/>
    <w:rsid w:val="0090485B"/>
    <w:rsid w:val="00914B6A"/>
    <w:rsid w:val="0092187D"/>
    <w:rsid w:val="009241AF"/>
    <w:rsid w:val="009247AF"/>
    <w:rsid w:val="009250DA"/>
    <w:rsid w:val="00967ADA"/>
    <w:rsid w:val="009705BA"/>
    <w:rsid w:val="00976FF1"/>
    <w:rsid w:val="00977ADB"/>
    <w:rsid w:val="00984F77"/>
    <w:rsid w:val="00986DB8"/>
    <w:rsid w:val="00991BD2"/>
    <w:rsid w:val="009A0A45"/>
    <w:rsid w:val="009D6BF0"/>
    <w:rsid w:val="009E1DAB"/>
    <w:rsid w:val="009E2EE0"/>
    <w:rsid w:val="009E5FA1"/>
    <w:rsid w:val="009F060B"/>
    <w:rsid w:val="009F25BE"/>
    <w:rsid w:val="00A2644F"/>
    <w:rsid w:val="00A407F2"/>
    <w:rsid w:val="00A45D16"/>
    <w:rsid w:val="00A554AB"/>
    <w:rsid w:val="00A573EA"/>
    <w:rsid w:val="00A652E8"/>
    <w:rsid w:val="00AA28E5"/>
    <w:rsid w:val="00AA78B5"/>
    <w:rsid w:val="00AB1E81"/>
    <w:rsid w:val="00AB3662"/>
    <w:rsid w:val="00AC469E"/>
    <w:rsid w:val="00AC61B9"/>
    <w:rsid w:val="00AE4209"/>
    <w:rsid w:val="00AE6078"/>
    <w:rsid w:val="00AE7062"/>
    <w:rsid w:val="00AF0CE8"/>
    <w:rsid w:val="00AF151D"/>
    <w:rsid w:val="00AF41E3"/>
    <w:rsid w:val="00B21346"/>
    <w:rsid w:val="00B418CA"/>
    <w:rsid w:val="00B43FB9"/>
    <w:rsid w:val="00B8596E"/>
    <w:rsid w:val="00BC7E02"/>
    <w:rsid w:val="00BD4265"/>
    <w:rsid w:val="00BE20C7"/>
    <w:rsid w:val="00BE2D80"/>
    <w:rsid w:val="00BE4F91"/>
    <w:rsid w:val="00BE6A7B"/>
    <w:rsid w:val="00C25216"/>
    <w:rsid w:val="00C27890"/>
    <w:rsid w:val="00C3136C"/>
    <w:rsid w:val="00C77951"/>
    <w:rsid w:val="00C900A5"/>
    <w:rsid w:val="00CA5642"/>
    <w:rsid w:val="00CE3FBE"/>
    <w:rsid w:val="00CE5B92"/>
    <w:rsid w:val="00CF6027"/>
    <w:rsid w:val="00D237D7"/>
    <w:rsid w:val="00D60CCD"/>
    <w:rsid w:val="00D733AD"/>
    <w:rsid w:val="00D7754E"/>
    <w:rsid w:val="00D85771"/>
    <w:rsid w:val="00D95C2E"/>
    <w:rsid w:val="00DA5919"/>
    <w:rsid w:val="00DA7B28"/>
    <w:rsid w:val="00DB0998"/>
    <w:rsid w:val="00DC2CA9"/>
    <w:rsid w:val="00DC4FF1"/>
    <w:rsid w:val="00DD2ED1"/>
    <w:rsid w:val="00DD3A8B"/>
    <w:rsid w:val="00DE2995"/>
    <w:rsid w:val="00DF3340"/>
    <w:rsid w:val="00DF6818"/>
    <w:rsid w:val="00DF7D78"/>
    <w:rsid w:val="00E151F5"/>
    <w:rsid w:val="00E22024"/>
    <w:rsid w:val="00E63310"/>
    <w:rsid w:val="00E646D2"/>
    <w:rsid w:val="00E675C9"/>
    <w:rsid w:val="00E67D27"/>
    <w:rsid w:val="00E722BA"/>
    <w:rsid w:val="00E75851"/>
    <w:rsid w:val="00E94AF5"/>
    <w:rsid w:val="00E9522E"/>
    <w:rsid w:val="00EA3D20"/>
    <w:rsid w:val="00ED70A0"/>
    <w:rsid w:val="00ED7566"/>
    <w:rsid w:val="00EE2CCC"/>
    <w:rsid w:val="00EE62D7"/>
    <w:rsid w:val="00EF7264"/>
    <w:rsid w:val="00F329C4"/>
    <w:rsid w:val="00F526E3"/>
    <w:rsid w:val="00F62F98"/>
    <w:rsid w:val="00F635CE"/>
    <w:rsid w:val="00F92F9A"/>
    <w:rsid w:val="00FA2BE0"/>
    <w:rsid w:val="00FD2DDB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EA4883"/>
  <w15:chartTrackingRefBased/>
  <w15:docId w15:val="{C2699D3D-D1F2-4756-B394-079D6C91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57"/>
    <w:rPr>
      <w:sz w:val="24"/>
      <w:szCs w:val="24"/>
    </w:rPr>
  </w:style>
  <w:style w:type="paragraph" w:styleId="3">
    <w:name w:val="heading 3"/>
    <w:basedOn w:val="a"/>
    <w:link w:val="30"/>
    <w:qFormat/>
    <w:rsid w:val="003115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7A4557"/>
  </w:style>
  <w:style w:type="character" w:styleId="a3">
    <w:name w:val="Hyperlink"/>
    <w:rsid w:val="007A4557"/>
    <w:rPr>
      <w:color w:val="0000FF"/>
      <w:u w:val="single"/>
    </w:rPr>
  </w:style>
  <w:style w:type="table" w:styleId="a4">
    <w:name w:val="Table Grid"/>
    <w:basedOn w:val="a1"/>
    <w:rsid w:val="007A4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7A4557"/>
    <w:pPr>
      <w:spacing w:before="100" w:beforeAutospacing="1" w:after="100" w:afterAutospacing="1"/>
    </w:pPr>
  </w:style>
  <w:style w:type="paragraph" w:styleId="a6">
    <w:name w:val="footer"/>
    <w:basedOn w:val="a"/>
    <w:rsid w:val="007A4557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784293"/>
  </w:style>
  <w:style w:type="paragraph" w:styleId="HTML">
    <w:name w:val="HTML Preformatted"/>
    <w:basedOn w:val="a"/>
    <w:link w:val="HTML0"/>
    <w:rsid w:val="00C25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semiHidden/>
    <w:locked/>
    <w:rsid w:val="00C25216"/>
    <w:rPr>
      <w:rFonts w:ascii="Courier New" w:hAnsi="Courier New" w:cs="Courier New"/>
      <w:lang w:val="uk-UA" w:eastAsia="uk-UA" w:bidi="ar-SA"/>
    </w:rPr>
  </w:style>
  <w:style w:type="paragraph" w:customStyle="1" w:styleId="rvps2">
    <w:name w:val="rvps2"/>
    <w:basedOn w:val="a"/>
    <w:rsid w:val="00C25216"/>
    <w:pPr>
      <w:spacing w:before="100" w:beforeAutospacing="1" w:after="100" w:afterAutospacing="1"/>
    </w:pPr>
  </w:style>
  <w:style w:type="character" w:customStyle="1" w:styleId="st131">
    <w:name w:val="st131"/>
    <w:rsid w:val="00FA2BE0"/>
    <w:rPr>
      <w:i/>
      <w:iCs/>
      <w:color w:val="0000FF"/>
    </w:rPr>
  </w:style>
  <w:style w:type="paragraph" w:customStyle="1" w:styleId="rvps14">
    <w:name w:val="rvps14"/>
    <w:basedOn w:val="a"/>
    <w:rsid w:val="0018272A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18272A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8272A"/>
  </w:style>
  <w:style w:type="paragraph" w:customStyle="1" w:styleId="rvps7">
    <w:name w:val="rvps7"/>
    <w:basedOn w:val="a"/>
    <w:rsid w:val="0018272A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8272A"/>
  </w:style>
  <w:style w:type="character" w:customStyle="1" w:styleId="rvts82">
    <w:name w:val="rvts82"/>
    <w:basedOn w:val="a0"/>
    <w:rsid w:val="0018272A"/>
  </w:style>
  <w:style w:type="character" w:customStyle="1" w:styleId="st46">
    <w:name w:val="st46"/>
    <w:rsid w:val="0018272A"/>
    <w:rPr>
      <w:i/>
      <w:iCs/>
      <w:color w:val="000000"/>
    </w:rPr>
  </w:style>
  <w:style w:type="paragraph" w:customStyle="1" w:styleId="a7">
    <w:name w:val="Знак Знак Знак Знак Знак Знак Знак Знак Знак Знак Знак Знак"/>
    <w:basedOn w:val="a"/>
    <w:rsid w:val="00377E0A"/>
    <w:rPr>
      <w:rFonts w:ascii="Verdana" w:hAnsi="Verdana" w:cs="Verdana"/>
      <w:sz w:val="20"/>
      <w:szCs w:val="20"/>
      <w:lang w:val="en-US" w:eastAsia="en-US"/>
    </w:rPr>
  </w:style>
  <w:style w:type="character" w:customStyle="1" w:styleId="rvts37">
    <w:name w:val="rvts37"/>
    <w:basedOn w:val="a0"/>
    <w:rsid w:val="00377E0A"/>
  </w:style>
  <w:style w:type="paragraph" w:customStyle="1" w:styleId="a8">
    <w:name w:val="Знак"/>
    <w:basedOn w:val="a"/>
    <w:rsid w:val="00E9522E"/>
    <w:rPr>
      <w:rFonts w:ascii="Verdana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52545E"/>
  </w:style>
  <w:style w:type="character" w:customStyle="1" w:styleId="rvts11">
    <w:name w:val="rvts11"/>
    <w:basedOn w:val="a0"/>
    <w:rsid w:val="0052545E"/>
  </w:style>
  <w:style w:type="character" w:customStyle="1" w:styleId="30">
    <w:name w:val="Заголовок 3 Знак"/>
    <w:link w:val="3"/>
    <w:rsid w:val="0031153F"/>
    <w:rPr>
      <w:b/>
      <w:bCs/>
      <w:sz w:val="27"/>
      <w:szCs w:val="27"/>
    </w:rPr>
  </w:style>
  <w:style w:type="paragraph" w:customStyle="1" w:styleId="tjbmf">
    <w:name w:val="tj bmf"/>
    <w:basedOn w:val="a"/>
    <w:rsid w:val="0031153F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FD2DDB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FD2DD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1322F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rsid w:val="00132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smc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es.nssmc.gov.ua/login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7A8A-152C-4641-BA44-DE798F18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5239</Words>
  <Characters>2987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Національна комісія з цінних паперів та фондового ринку</vt:lpstr>
      <vt:lpstr>Національна комісія з цінних паперів та фондового ринку</vt:lpstr>
    </vt:vector>
  </TitlesOfParts>
  <Company>SSMSC</Company>
  <LinksUpToDate>false</LinksUpToDate>
  <CharactersWithSpaces>8210</CharactersWithSpaces>
  <SharedDoc>false</SharedDoc>
  <HLinks>
    <vt:vector size="18" baseType="variant">
      <vt:variant>
        <vt:i4>2162808</vt:i4>
      </vt:variant>
      <vt:variant>
        <vt:i4>6</vt:i4>
      </vt:variant>
      <vt:variant>
        <vt:i4>0</vt:i4>
      </vt:variant>
      <vt:variant>
        <vt:i4>5</vt:i4>
      </vt:variant>
      <vt:variant>
        <vt:lpwstr>https://services.nssmc.gov.ua/login</vt:lpwstr>
      </vt:variant>
      <vt:variant>
        <vt:lpwstr/>
      </vt:variant>
      <vt:variant>
        <vt:i4>5767258</vt:i4>
      </vt:variant>
      <vt:variant>
        <vt:i4>3</vt:i4>
      </vt:variant>
      <vt:variant>
        <vt:i4>0</vt:i4>
      </vt:variant>
      <vt:variant>
        <vt:i4>5</vt:i4>
      </vt:variant>
      <vt:variant>
        <vt:lpwstr>https://www.nssmc.gov.ua/</vt:lpwstr>
      </vt:variant>
      <vt:variant>
        <vt:lpwstr/>
      </vt:variant>
      <vt:variant>
        <vt:i4>4718626</vt:i4>
      </vt:variant>
      <vt:variant>
        <vt:i4>0</vt:i4>
      </vt:variant>
      <vt:variant>
        <vt:i4>0</vt:i4>
      </vt:variant>
      <vt:variant>
        <vt:i4>5</vt:i4>
      </vt:variant>
      <vt:variant>
        <vt:lpwstr>mailto:admittance@nssmc.gov.ua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комісія з цінних паперів та фондового ринку</dc:title>
  <dc:subject/>
  <dc:creator>olena.hirchenko</dc:creator>
  <cp:keywords/>
  <cp:lastModifiedBy>Admin</cp:lastModifiedBy>
  <cp:revision>2</cp:revision>
  <cp:lastPrinted>2021-11-25T14:08:00Z</cp:lastPrinted>
  <dcterms:created xsi:type="dcterms:W3CDTF">2026-06-04T09:52:00Z</dcterms:created>
  <dcterms:modified xsi:type="dcterms:W3CDTF">2026-06-04T09:52:00Z</dcterms:modified>
</cp:coreProperties>
</file>